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DC8AC" w14:textId="77777777" w:rsidR="00216387" w:rsidRPr="006F0EA1" w:rsidRDefault="00216387" w:rsidP="00216387">
      <w:pPr>
        <w:spacing w:line="360" w:lineRule="auto"/>
        <w:jc w:val="both"/>
        <w:rPr>
          <w:b/>
          <w:bCs/>
          <w:color w:val="000000" w:themeColor="text1"/>
        </w:rPr>
      </w:pPr>
      <w:r w:rsidRPr="006F0EA1">
        <w:rPr>
          <w:b/>
          <w:bCs/>
          <w:color w:val="000000" w:themeColor="text1"/>
        </w:rPr>
        <w:t>Figure  Legends</w:t>
      </w:r>
    </w:p>
    <w:p w14:paraId="78A8269A" w14:textId="77777777" w:rsidR="00216387" w:rsidRDefault="00216387" w:rsidP="00216387">
      <w:pPr>
        <w:spacing w:line="360" w:lineRule="auto"/>
        <w:jc w:val="both"/>
        <w:rPr>
          <w:color w:val="000000" w:themeColor="text1"/>
          <w:kern w:val="24"/>
        </w:rPr>
      </w:pPr>
      <w:r w:rsidRPr="006F0EA1">
        <w:rPr>
          <w:b/>
          <w:bCs/>
          <w:color w:val="000000" w:themeColor="text1"/>
          <w:kern w:val="24"/>
        </w:rPr>
        <w:t>Figure 1.</w:t>
      </w:r>
      <w:r w:rsidRPr="006F0EA1">
        <w:rPr>
          <w:color w:val="000000" w:themeColor="text1"/>
          <w:kern w:val="24"/>
        </w:rPr>
        <w:t xml:space="preserve"> Genome-wide association results for prevalent high-risk HPV. </w:t>
      </w:r>
      <w:r w:rsidRPr="006F0EA1">
        <w:rPr>
          <w:color w:val="000000"/>
          <w:kern w:val="24"/>
        </w:rPr>
        <w:sym w:font="Symbol" w:char="F06C"/>
      </w:r>
      <w:r w:rsidRPr="006F0EA1">
        <w:rPr>
          <w:color w:val="000000" w:themeColor="text1"/>
          <w:kern w:val="24"/>
        </w:rPr>
        <w:t>=1.02. (A) Manhattan plot (B) Quantile–quantile plot  (C) Regional plot for rs149473200</w:t>
      </w:r>
    </w:p>
    <w:p w14:paraId="65DDE405" w14:textId="77777777" w:rsidR="00216387" w:rsidRPr="006F0EA1" w:rsidRDefault="00216387" w:rsidP="00216387">
      <w:pPr>
        <w:spacing w:line="360" w:lineRule="auto"/>
        <w:jc w:val="both"/>
      </w:pPr>
    </w:p>
    <w:p w14:paraId="0C817A3F" w14:textId="77777777" w:rsidR="00216387" w:rsidRPr="006F0EA1" w:rsidRDefault="00216387" w:rsidP="00216387">
      <w:pPr>
        <w:spacing w:line="360" w:lineRule="auto"/>
        <w:jc w:val="both"/>
      </w:pPr>
      <w:r w:rsidRPr="006F0EA1">
        <w:rPr>
          <w:b/>
          <w:bCs/>
          <w:color w:val="000000" w:themeColor="text1"/>
          <w:kern w:val="24"/>
        </w:rPr>
        <w:t>Figure 2.</w:t>
      </w:r>
      <w:r w:rsidRPr="006F0EA1">
        <w:rPr>
          <w:color w:val="000000" w:themeColor="text1"/>
          <w:kern w:val="24"/>
        </w:rPr>
        <w:t xml:space="preserve"> Genome-wide association results for persistent high-risk HPV. </w:t>
      </w:r>
      <w:r w:rsidRPr="006F0EA1">
        <w:rPr>
          <w:color w:val="000000"/>
          <w:kern w:val="24"/>
        </w:rPr>
        <w:sym w:font="Symbol" w:char="F06C"/>
      </w:r>
      <w:r w:rsidRPr="006F0EA1">
        <w:rPr>
          <w:color w:val="000000" w:themeColor="text1"/>
          <w:kern w:val="24"/>
        </w:rPr>
        <w:t>=1.00. (A) Manhattan plot (B) Quantile–quantile plot (C) Regional plot for rs116834259</w:t>
      </w:r>
    </w:p>
    <w:p w14:paraId="5E3B81FA" w14:textId="77777777" w:rsidR="00216387" w:rsidRDefault="00216387" w:rsidP="00216387">
      <w:pPr>
        <w:rPr>
          <w:color w:val="000000" w:themeColor="text1"/>
        </w:rPr>
      </w:pPr>
    </w:p>
    <w:p w14:paraId="71651614" w14:textId="77777777" w:rsidR="00216387" w:rsidRDefault="00216387"/>
    <w:sectPr w:rsidR="002163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387"/>
    <w:rsid w:val="0021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F17B4"/>
  <w15:chartTrackingRefBased/>
  <w15:docId w15:val="{E1F45B47-3211-47ED-B048-AEED884E3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2020-06-10T15:11:00Z</dcterms:created>
  <dcterms:modified xsi:type="dcterms:W3CDTF">2020-06-10T15:11:00Z</dcterms:modified>
</cp:coreProperties>
</file>