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C2051" w14:textId="77777777" w:rsidR="00354E12" w:rsidRPr="006B09D2" w:rsidRDefault="00354E12" w:rsidP="00354E12">
      <w:pPr>
        <w:jc w:val="both"/>
        <w:rPr>
          <w:sz w:val="24"/>
          <w:lang w:val="en-US"/>
        </w:rPr>
      </w:pPr>
      <w:r w:rsidRPr="006B09D2">
        <w:rPr>
          <w:sz w:val="24"/>
          <w:lang w:val="en-US"/>
        </w:rPr>
        <w:t>Tables</w:t>
      </w:r>
    </w:p>
    <w:p w14:paraId="3BA09759" w14:textId="77777777" w:rsidR="00354E12" w:rsidRDefault="00354E12" w:rsidP="00354E12">
      <w:pPr>
        <w:jc w:val="both"/>
        <w:rPr>
          <w:b/>
          <w:sz w:val="24"/>
          <w:lang w:val="en-US"/>
        </w:rPr>
      </w:pPr>
      <w:r w:rsidRPr="006B09D2">
        <w:rPr>
          <w:b/>
          <w:sz w:val="24"/>
          <w:lang w:val="en-US"/>
        </w:rPr>
        <w:t>Table 1. Clinical characteristics of the enrolled very preterm infants.</w:t>
      </w:r>
    </w:p>
    <w:p w14:paraId="1ADAF598" w14:textId="77777777" w:rsidR="00354E12" w:rsidRPr="006B09D2" w:rsidRDefault="00354E12" w:rsidP="00354E12">
      <w:pPr>
        <w:jc w:val="both"/>
        <w:rPr>
          <w:b/>
          <w:sz w:val="24"/>
          <w:lang w:val="en-US"/>
        </w:rPr>
      </w:pPr>
      <w:r>
        <w:rPr>
          <w:b/>
          <w:noProof/>
          <w:sz w:val="24"/>
          <w:lang w:eastAsia="fr-FR"/>
        </w:rPr>
        <w:drawing>
          <wp:inline distT="0" distB="0" distL="0" distR="0" wp14:anchorId="211E3AAB" wp14:editId="75D69E44">
            <wp:extent cx="5759907" cy="2943592"/>
            <wp:effectExtent l="0" t="0" r="0" b="9525"/>
            <wp:docPr id="12" name="Image 12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A close-up of a documen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34" b="54786"/>
                    <a:stretch/>
                  </pic:blipFill>
                  <pic:spPr bwMode="auto">
                    <a:xfrm>
                      <a:off x="0" y="0"/>
                      <a:ext cx="5760720" cy="2944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0C8DE7" w14:textId="77777777" w:rsidR="00354E12" w:rsidRPr="006B09D2" w:rsidRDefault="00354E12" w:rsidP="00354E12">
      <w:pPr>
        <w:jc w:val="both"/>
        <w:rPr>
          <w:b/>
          <w:sz w:val="24"/>
          <w:lang w:val="en-US"/>
        </w:rPr>
      </w:pPr>
      <w:r w:rsidRPr="006B09D2">
        <w:rPr>
          <w:b/>
          <w:sz w:val="24"/>
          <w:lang w:val="en-US"/>
        </w:rPr>
        <w:t>Table 2. Microbiological and clinical features of the identified microbial endotypes.</w:t>
      </w:r>
    </w:p>
    <w:p w14:paraId="45ACADE9" w14:textId="77777777" w:rsidR="00354E12" w:rsidRDefault="00354E12" w:rsidP="00354E12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>
        <w:rPr>
          <w:rFonts w:eastAsia="Times New Roman" w:cstheme="minorHAnsi"/>
          <w:noProof/>
          <w:sz w:val="24"/>
          <w:szCs w:val="24"/>
          <w:lang w:eastAsia="fr-FR"/>
        </w:rPr>
        <w:drawing>
          <wp:inline distT="0" distB="0" distL="0" distR="0" wp14:anchorId="417EFE47" wp14:editId="4582878C">
            <wp:extent cx="5760720" cy="3240405"/>
            <wp:effectExtent l="0" t="0" r="0" b="0"/>
            <wp:docPr id="13" name="Image 13" descr="A table of text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A table of text with number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89911" w14:textId="77777777" w:rsidR="00354E12" w:rsidRDefault="00354E12" w:rsidP="00354E12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14:paraId="5534D759" w14:textId="77777777" w:rsidR="00354E12" w:rsidRDefault="00354E12" w:rsidP="00354E12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14:paraId="673657AF" w14:textId="77777777" w:rsidR="00354E12" w:rsidRDefault="00354E12" w:rsidP="00354E12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14:paraId="2ACEB30F" w14:textId="77777777" w:rsidR="00354E12" w:rsidRDefault="00354E12" w:rsidP="00354E12">
      <w:pPr>
        <w:spacing w:before="240" w:after="240" w:line="36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  <w:r w:rsidRPr="002B674A">
        <w:rPr>
          <w:rFonts w:eastAsia="Times New Roman" w:cstheme="minorHAnsi"/>
          <w:b/>
          <w:sz w:val="24"/>
          <w:szCs w:val="24"/>
          <w:lang w:val="en-US" w:eastAsia="fr-FR"/>
        </w:rPr>
        <w:t>SUPPLEMENTARY</w:t>
      </w:r>
    </w:p>
    <w:p w14:paraId="56B82229" w14:textId="77777777" w:rsidR="00354E12" w:rsidRPr="00B43EFA" w:rsidRDefault="00354E12" w:rsidP="00354E12">
      <w:pPr>
        <w:jc w:val="both"/>
        <w:rPr>
          <w:b/>
          <w:sz w:val="24"/>
          <w:lang w:val="en-US"/>
        </w:rPr>
      </w:pPr>
      <w:r w:rsidRPr="00B43EFA">
        <w:rPr>
          <w:b/>
          <w:sz w:val="24"/>
          <w:lang w:val="en-US"/>
        </w:rPr>
        <w:t>Supplementary Figures</w:t>
      </w:r>
    </w:p>
    <w:p w14:paraId="71036552" w14:textId="77777777" w:rsidR="00354E12" w:rsidRPr="00B43EFA" w:rsidRDefault="00354E12" w:rsidP="00354E12">
      <w:pPr>
        <w:jc w:val="both"/>
        <w:rPr>
          <w:sz w:val="24"/>
          <w:lang w:val="en-US"/>
        </w:rPr>
      </w:pPr>
      <w:r w:rsidRPr="00B43EFA">
        <w:rPr>
          <w:b/>
          <w:sz w:val="24"/>
          <w:lang w:val="en-US"/>
        </w:rPr>
        <w:t xml:space="preserve">Figure S1. </w:t>
      </w:r>
      <w:r w:rsidRPr="00B43EFA">
        <w:rPr>
          <w:sz w:val="24"/>
          <w:lang w:val="en-US"/>
        </w:rPr>
        <w:t xml:space="preserve">Boxplots representing relative abundances of bacteriophages and eukaryotic viruses stratified by gestational age </w:t>
      </w:r>
      <w:r>
        <w:rPr>
          <w:sz w:val="24"/>
          <w:lang w:val="en-US"/>
        </w:rPr>
        <w:t>(left), delivery mode (middle) and BPD status (right</w:t>
      </w:r>
      <w:r w:rsidRPr="00B43EFA">
        <w:rPr>
          <w:sz w:val="24"/>
          <w:lang w:val="en-US"/>
        </w:rPr>
        <w:t>). (</w:t>
      </w:r>
      <w:r>
        <w:rPr>
          <w:sz w:val="24"/>
          <w:lang w:val="en-US"/>
        </w:rPr>
        <w:t>Mann-Whitney U</w:t>
      </w:r>
      <w:r w:rsidRPr="00B43EFA">
        <w:rPr>
          <w:sz w:val="24"/>
          <w:lang w:val="en-US"/>
        </w:rPr>
        <w:t xml:space="preserve"> test: *p &lt; 0.05, **p &lt; 0.01, ***p &lt; 0.001)</w:t>
      </w:r>
    </w:p>
    <w:p w14:paraId="2A52E03E" w14:textId="77777777" w:rsidR="00354E12" w:rsidRPr="00B43EFA" w:rsidRDefault="00354E12" w:rsidP="00354E12">
      <w:pPr>
        <w:jc w:val="both"/>
        <w:rPr>
          <w:b/>
          <w:sz w:val="24"/>
          <w:lang w:val="en-US"/>
        </w:rPr>
      </w:pPr>
      <w:r w:rsidRPr="00B43EFA">
        <w:rPr>
          <w:b/>
          <w:sz w:val="24"/>
          <w:lang w:val="en-US"/>
        </w:rPr>
        <w:t xml:space="preserve">Figure S2. </w:t>
      </w:r>
      <w:r w:rsidRPr="00B43EFA">
        <w:rPr>
          <w:sz w:val="24"/>
          <w:lang w:val="en-US"/>
        </w:rPr>
        <w:t>Boxplots of virulent, temperate, and undetermined lifecycle phage abundances (VDR), stratified by delivery mode (left) and BPD status (right). (</w:t>
      </w:r>
      <w:r>
        <w:rPr>
          <w:sz w:val="24"/>
          <w:lang w:val="en-US"/>
        </w:rPr>
        <w:t>Mann-Whitney U</w:t>
      </w:r>
      <w:r w:rsidRPr="00B43EFA">
        <w:rPr>
          <w:sz w:val="24"/>
          <w:lang w:val="en-US"/>
        </w:rPr>
        <w:t xml:space="preserve"> test: *p &lt; 0.05, **p &lt; 0.01, ***p &lt; 0.001)</w:t>
      </w:r>
    </w:p>
    <w:p w14:paraId="48718244" w14:textId="77777777" w:rsidR="00354E12" w:rsidRPr="00B43EFA" w:rsidRDefault="00354E12" w:rsidP="00354E12">
      <w:pPr>
        <w:jc w:val="both"/>
        <w:rPr>
          <w:b/>
          <w:sz w:val="24"/>
          <w:lang w:val="en-US"/>
        </w:rPr>
      </w:pPr>
      <w:r w:rsidRPr="00B43EFA">
        <w:rPr>
          <w:b/>
          <w:sz w:val="24"/>
          <w:lang w:val="en-US"/>
        </w:rPr>
        <w:t xml:space="preserve">Figure S3. </w:t>
      </w:r>
      <w:r w:rsidRPr="00B43EFA">
        <w:rPr>
          <w:sz w:val="24"/>
          <w:lang w:val="en-US"/>
        </w:rPr>
        <w:t>Relative abundances (top) and occurrences (bottom) of endotracheal bacterial genera identified via 16S rRNA-seq.</w:t>
      </w:r>
    </w:p>
    <w:p w14:paraId="459F3914" w14:textId="77777777" w:rsidR="00354E12" w:rsidRPr="00B43EFA" w:rsidRDefault="00354E12" w:rsidP="00354E12">
      <w:pPr>
        <w:jc w:val="both"/>
        <w:rPr>
          <w:b/>
          <w:sz w:val="24"/>
          <w:lang w:val="en-US"/>
        </w:rPr>
      </w:pPr>
      <w:r w:rsidRPr="00B43EFA">
        <w:rPr>
          <w:b/>
          <w:sz w:val="24"/>
          <w:lang w:val="en-US"/>
        </w:rPr>
        <w:t xml:space="preserve">Figure S4. </w:t>
      </w:r>
      <w:r w:rsidRPr="00B43EFA">
        <w:rPr>
          <w:sz w:val="24"/>
          <w:lang w:val="en-US"/>
        </w:rPr>
        <w:t>Abundance of transcriptionally active bacterial species (log₁₀ bacterial decontaminated ratio) in endotracheal samples.</w:t>
      </w:r>
    </w:p>
    <w:p w14:paraId="085D8DF5" w14:textId="77777777" w:rsidR="00354E12" w:rsidRPr="00B43EFA" w:rsidRDefault="00354E12" w:rsidP="00354E12">
      <w:pPr>
        <w:jc w:val="both"/>
        <w:rPr>
          <w:b/>
          <w:sz w:val="24"/>
          <w:lang w:val="en-US"/>
        </w:rPr>
      </w:pPr>
      <w:r w:rsidRPr="00B43EFA">
        <w:rPr>
          <w:b/>
          <w:sz w:val="24"/>
          <w:lang w:val="en-US"/>
        </w:rPr>
        <w:t xml:space="preserve">Figure S5. </w:t>
      </w:r>
      <w:r w:rsidRPr="00B43EFA">
        <w:rPr>
          <w:sz w:val="24"/>
          <w:lang w:val="en-US"/>
        </w:rPr>
        <w:t xml:space="preserve">Boxplots of Shannon index and richness according to bacterial genera identified by 16S rRNA-seq (A-B) and RNA bacterial species identified by </w:t>
      </w:r>
      <w:proofErr w:type="spellStart"/>
      <w:r w:rsidRPr="00B43EFA">
        <w:rPr>
          <w:sz w:val="24"/>
          <w:lang w:val="en-US"/>
        </w:rPr>
        <w:t>metaRNA</w:t>
      </w:r>
      <w:proofErr w:type="spellEnd"/>
      <w:r w:rsidRPr="00B43EFA">
        <w:rPr>
          <w:sz w:val="24"/>
          <w:lang w:val="en-US"/>
        </w:rPr>
        <w:t>-seq (C-D), and stratified by gestational age (left), delivery mode (</w:t>
      </w:r>
      <w:proofErr w:type="spellStart"/>
      <w:r w:rsidRPr="00B43EFA">
        <w:rPr>
          <w:sz w:val="24"/>
          <w:lang w:val="en-US"/>
        </w:rPr>
        <w:t>midlle</w:t>
      </w:r>
      <w:proofErr w:type="spellEnd"/>
      <w:r w:rsidRPr="00B43EFA">
        <w:rPr>
          <w:sz w:val="24"/>
          <w:lang w:val="en-US"/>
        </w:rPr>
        <w:t>) and BPD status (right). (</w:t>
      </w:r>
      <w:r>
        <w:rPr>
          <w:sz w:val="24"/>
          <w:lang w:val="en-US"/>
        </w:rPr>
        <w:t>Mann-Whitney U</w:t>
      </w:r>
      <w:r w:rsidRPr="00B43EFA">
        <w:rPr>
          <w:sz w:val="24"/>
          <w:lang w:val="en-US"/>
        </w:rPr>
        <w:t xml:space="preserve"> test: *p &lt; 0.05, **p &lt; 0.01, ***p &lt; 0.001)</w:t>
      </w:r>
    </w:p>
    <w:p w14:paraId="081BB3BE" w14:textId="77777777" w:rsidR="00354E12" w:rsidRPr="00B43EFA" w:rsidRDefault="00354E12" w:rsidP="00354E12">
      <w:pPr>
        <w:jc w:val="both"/>
        <w:rPr>
          <w:b/>
          <w:sz w:val="24"/>
          <w:lang w:val="en-US"/>
        </w:rPr>
      </w:pPr>
      <w:r w:rsidRPr="00B43EFA">
        <w:rPr>
          <w:b/>
          <w:sz w:val="24"/>
          <w:lang w:val="en-US"/>
        </w:rPr>
        <w:t xml:space="preserve">Figure S6. </w:t>
      </w:r>
      <w:r w:rsidRPr="00B43EFA">
        <w:rPr>
          <w:sz w:val="24"/>
          <w:lang w:val="en-US"/>
        </w:rPr>
        <w:t>Optimal number of clusters as suggested by the gap statistic method.</w:t>
      </w:r>
    </w:p>
    <w:p w14:paraId="29CB3B4B" w14:textId="77777777" w:rsidR="00354E12" w:rsidRPr="00B43EFA" w:rsidRDefault="00354E12" w:rsidP="00354E12">
      <w:pPr>
        <w:jc w:val="both"/>
        <w:rPr>
          <w:b/>
          <w:sz w:val="24"/>
          <w:lang w:val="en-US"/>
        </w:rPr>
      </w:pPr>
      <w:r w:rsidRPr="00B43EFA">
        <w:rPr>
          <w:b/>
          <w:sz w:val="24"/>
          <w:lang w:val="en-US"/>
        </w:rPr>
        <w:t xml:space="preserve">Figure S7. </w:t>
      </w:r>
      <w:r w:rsidRPr="00B43EFA">
        <w:rPr>
          <w:sz w:val="24"/>
          <w:lang w:val="en-US"/>
        </w:rPr>
        <w:t xml:space="preserve">Expression levels of transcripts </w:t>
      </w:r>
      <w:proofErr w:type="gramStart"/>
      <w:r w:rsidRPr="00B43EFA">
        <w:rPr>
          <w:sz w:val="24"/>
          <w:lang w:val="en-US"/>
        </w:rPr>
        <w:t>involved in</w:t>
      </w:r>
      <w:proofErr w:type="gramEnd"/>
      <w:r w:rsidRPr="00B43EFA">
        <w:rPr>
          <w:sz w:val="24"/>
          <w:lang w:val="en-US"/>
        </w:rPr>
        <w:t xml:space="preserve"> antiviral responses across microbial endotypes.</w:t>
      </w:r>
      <w:r w:rsidRPr="00B43EFA">
        <w:rPr>
          <w:b/>
          <w:sz w:val="24"/>
          <w:lang w:val="en-US"/>
        </w:rPr>
        <w:t xml:space="preserve"> </w:t>
      </w:r>
      <w:r w:rsidRPr="00B43EFA">
        <w:rPr>
          <w:sz w:val="24"/>
          <w:lang w:val="en-US"/>
        </w:rPr>
        <w:t>(</w:t>
      </w:r>
      <w:r>
        <w:rPr>
          <w:sz w:val="24"/>
          <w:lang w:val="en-US"/>
        </w:rPr>
        <w:t>Mann-Whitney U</w:t>
      </w:r>
      <w:r w:rsidRPr="00B43EFA">
        <w:rPr>
          <w:sz w:val="24"/>
          <w:lang w:val="en-US"/>
        </w:rPr>
        <w:t xml:space="preserve"> test: *p &lt; 0.05, **p &lt; 0.01, ***p &lt; 0.001)</w:t>
      </w:r>
    </w:p>
    <w:p w14:paraId="74AE79B8" w14:textId="77777777" w:rsidR="00354E12" w:rsidRPr="00B43EFA" w:rsidRDefault="00354E12" w:rsidP="00354E12">
      <w:pPr>
        <w:jc w:val="both"/>
        <w:rPr>
          <w:sz w:val="24"/>
          <w:lang w:val="en-US"/>
        </w:rPr>
      </w:pPr>
    </w:p>
    <w:p w14:paraId="64808100" w14:textId="77777777" w:rsidR="00354E12" w:rsidRPr="00B43EFA" w:rsidRDefault="00354E12" w:rsidP="00354E12">
      <w:pPr>
        <w:jc w:val="both"/>
        <w:rPr>
          <w:b/>
          <w:sz w:val="24"/>
          <w:lang w:val="en-US"/>
        </w:rPr>
      </w:pPr>
      <w:r w:rsidRPr="00B43EFA">
        <w:rPr>
          <w:b/>
          <w:sz w:val="24"/>
          <w:lang w:val="en-US"/>
        </w:rPr>
        <w:t>Supplementary Tables</w:t>
      </w:r>
    </w:p>
    <w:p w14:paraId="30E1D244" w14:textId="77777777" w:rsidR="00354E12" w:rsidRPr="00A131F3" w:rsidRDefault="00354E12" w:rsidP="00354E12">
      <w:pPr>
        <w:jc w:val="both"/>
        <w:rPr>
          <w:b/>
          <w:sz w:val="24"/>
          <w:lang w:val="en-US"/>
        </w:rPr>
      </w:pPr>
      <w:r w:rsidRPr="00B43EFA">
        <w:rPr>
          <w:b/>
          <w:sz w:val="24"/>
          <w:lang w:val="en-US"/>
        </w:rPr>
        <w:t xml:space="preserve">Table S1. </w:t>
      </w:r>
      <w:r w:rsidRPr="00B43EFA">
        <w:rPr>
          <w:sz w:val="24"/>
          <w:lang w:val="en-US"/>
        </w:rPr>
        <w:t>Summary of sequencing data characteristics.</w:t>
      </w:r>
    </w:p>
    <w:p w14:paraId="624C3871" w14:textId="77777777" w:rsidR="00354E12" w:rsidRDefault="00354E12" w:rsidP="00354E12">
      <w:pPr>
        <w:spacing w:before="240" w:after="240" w:line="36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val="en-US" w:eastAsia="fr-FR"/>
        </w:rPr>
      </w:pPr>
    </w:p>
    <w:p w14:paraId="2A86ECE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E12"/>
    <w:rsid w:val="00354E12"/>
    <w:rsid w:val="003A4E89"/>
    <w:rsid w:val="008B07A6"/>
    <w:rsid w:val="00AF32C2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92C66"/>
  <w15:chartTrackingRefBased/>
  <w15:docId w15:val="{3B90A485-8553-4D72-BCD6-8E807CCD1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E12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4E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E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E1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E1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E1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E1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E1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E1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E1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E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E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E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E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E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E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E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E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E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E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4E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E1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4E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E1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4E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E12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4E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E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E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E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1330</Characters>
  <Application>Microsoft Office Word</Application>
  <DocSecurity>0</DocSecurity>
  <Lines>21</Lines>
  <Paragraphs>5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2025-10-09T13:39:00Z</dcterms:created>
  <dcterms:modified xsi:type="dcterms:W3CDTF">2025-10-09T13:40:00Z</dcterms:modified>
</cp:coreProperties>
</file>