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Heading1"/>
        <w:spacing w:before="96"/>
        <w:ind w:left="2116"/>
      </w:pPr>
      <w:r>
        <w:rPr/>
        <w:t>Our patient</w:t>
      </w:r>
    </w:p>
    <w:p>
      <w:pPr>
        <w:pStyle w:val="BodyText"/>
        <w:spacing w:before="3"/>
        <w:rPr>
          <w:b/>
          <w:sz w:val="14"/>
        </w:rPr>
      </w:pPr>
    </w:p>
    <w:p>
      <w:pPr>
        <w:pStyle w:val="BodyText"/>
        <w:tabs>
          <w:tab w:pos="2287" w:val="left" w:leader="none"/>
        </w:tabs>
        <w:ind w:left="116"/>
      </w:pPr>
      <w:r>
        <w:rPr>
          <w:spacing w:val="-3"/>
        </w:rPr>
        <w:t>Gender</w:t>
        <w:tab/>
        <w:t>Female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pos="2314" w:val="left" w:leader="none"/>
        </w:tabs>
        <w:spacing w:before="1"/>
        <w:ind w:left="116"/>
      </w:pPr>
      <w:r>
        <w:rPr/>
        <w:t>Age</w:t>
        <w:tab/>
        <w:t>21</w:t>
      </w:r>
      <w:r>
        <w:rPr>
          <w:spacing w:val="6"/>
        </w:rPr>
        <w:t> </w:t>
      </w:r>
      <w:r>
        <w:rPr>
          <w:spacing w:val="-3"/>
        </w:rPr>
        <w:t>mo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pos="2314" w:val="left" w:leader="none"/>
        </w:tabs>
        <w:spacing w:before="1"/>
        <w:ind w:left="116"/>
      </w:pPr>
      <w:r>
        <w:rPr>
          <w:spacing w:val="-3"/>
        </w:rPr>
        <w:t>Etnictiy</w:t>
        <w:tab/>
      </w:r>
      <w:r>
        <w:rPr/>
        <w:t>Syrian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pos="2391" w:val="left" w:leader="none"/>
        </w:tabs>
        <w:ind w:left="116"/>
      </w:pPr>
      <w:r>
        <w:rPr>
          <w:spacing w:val="-4"/>
        </w:rPr>
        <w:t>Consanguinity</w:t>
        <w:tab/>
      </w:r>
      <w:r>
        <w:rPr/>
        <w:t>Yes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pos="2224" w:val="left" w:leader="none"/>
        </w:tabs>
        <w:spacing w:before="1"/>
        <w:ind w:left="116"/>
      </w:pPr>
      <w:r>
        <w:rPr/>
        <w:t>Age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onset</w:t>
        <w:tab/>
        <w:t>4 </w:t>
      </w:r>
      <w:r>
        <w:rPr>
          <w:spacing w:val="-3"/>
        </w:rPr>
        <w:t>months</w:t>
      </w:r>
    </w:p>
    <w:p>
      <w:pPr>
        <w:pStyle w:val="BodyText"/>
        <w:rPr>
          <w:sz w:val="18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tabs>
          <w:tab w:pos="1953" w:val="left" w:leader="none"/>
        </w:tabs>
        <w:ind w:left="116"/>
      </w:pPr>
      <w:r>
        <w:rPr>
          <w:spacing w:val="-4"/>
        </w:rPr>
        <w:t>Initial</w:t>
      </w:r>
      <w:r>
        <w:rPr>
          <w:spacing w:val="-2"/>
        </w:rPr>
        <w:t> </w:t>
      </w:r>
      <w:r>
        <w:rPr/>
        <w:t>symptom</w:t>
        <w:tab/>
        <w:t>Jaundice, pruritus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tabs>
          <w:tab w:pos="2404" w:val="left" w:leader="none"/>
        </w:tabs>
        <w:spacing w:before="130"/>
        <w:ind w:left="116"/>
      </w:pPr>
      <w:r>
        <w:rPr/>
        <w:t>Other symptoms</w:t>
        <w:tab/>
        <w:t>NA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Heading1"/>
        <w:tabs>
          <w:tab w:pos="2116" w:val="left" w:leader="none"/>
        </w:tabs>
      </w:pPr>
      <w:r>
        <w:rPr/>
        <w:t>Laboratory</w:t>
        <w:tab/>
        <w:t>First /</w:t>
      </w:r>
      <w:r>
        <w:rPr>
          <w:spacing w:val="1"/>
        </w:rPr>
        <w:t> </w:t>
      </w:r>
      <w:r>
        <w:rPr/>
        <w:t>Last</w:t>
      </w:r>
    </w:p>
    <w:p>
      <w:pPr>
        <w:pStyle w:val="BodyText"/>
        <w:spacing w:before="4"/>
        <w:rPr>
          <w:b/>
          <w:sz w:val="26"/>
        </w:rPr>
      </w:pPr>
    </w:p>
    <w:p>
      <w:pPr>
        <w:pStyle w:val="BodyText"/>
        <w:tabs>
          <w:tab w:pos="2292" w:val="left" w:leader="none"/>
        </w:tabs>
        <w:spacing w:before="1"/>
        <w:ind w:left="116"/>
      </w:pPr>
      <w:r>
        <w:rPr/>
        <w:t>AST</w:t>
      </w:r>
      <w:r>
        <w:rPr>
          <w:spacing w:val="-6"/>
        </w:rPr>
        <w:t> </w:t>
      </w:r>
      <w:r>
        <w:rPr/>
        <w:t>(IU/L)</w:t>
        <w:tab/>
        <w:t>53 /</w:t>
      </w:r>
      <w:r>
        <w:rPr>
          <w:spacing w:val="6"/>
        </w:rPr>
        <w:t> </w:t>
      </w:r>
      <w:r>
        <w:rPr/>
        <w:t>52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pos="2292" w:val="left" w:leader="none"/>
        </w:tabs>
        <w:ind w:left="116"/>
      </w:pPr>
      <w:r>
        <w:rPr/>
        <w:t>ALT</w:t>
      </w:r>
      <w:r>
        <w:rPr>
          <w:spacing w:val="-6"/>
        </w:rPr>
        <w:t> </w:t>
      </w:r>
      <w:r>
        <w:rPr/>
        <w:t>(IU/L)</w:t>
        <w:tab/>
        <w:t>29 /</w:t>
      </w:r>
      <w:r>
        <w:rPr>
          <w:spacing w:val="6"/>
        </w:rPr>
        <w:t> </w:t>
      </w:r>
      <w:r>
        <w:rPr/>
        <w:t>24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pos="2210" w:val="left" w:leader="none"/>
        </w:tabs>
        <w:ind w:left="116"/>
      </w:pPr>
      <w:r>
        <w:rPr/>
        <w:t>ALP</w:t>
      </w:r>
      <w:r>
        <w:rPr>
          <w:spacing w:val="-2"/>
        </w:rPr>
        <w:t> </w:t>
      </w:r>
      <w:r>
        <w:rPr/>
        <w:t>(IU/L)</w:t>
        <w:tab/>
        <w:t>622 / 396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pos="2292" w:val="left" w:leader="none"/>
        </w:tabs>
        <w:spacing w:before="1"/>
        <w:ind w:left="116"/>
      </w:pPr>
      <w:r>
        <w:rPr>
          <w:spacing w:val="-4"/>
        </w:rPr>
        <w:t>GGT </w:t>
      </w:r>
      <w:r>
        <w:rPr/>
        <w:t>(IU/L)</w:t>
        <w:tab/>
        <w:t>32 / 15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pos="2170" w:val="left" w:leader="none"/>
        </w:tabs>
        <w:ind w:left="116"/>
      </w:pPr>
      <w:r>
        <w:rPr/>
        <w:t>Total </w:t>
      </w:r>
      <w:r>
        <w:rPr>
          <w:spacing w:val="-4"/>
        </w:rPr>
        <w:t>Bilrubin</w:t>
      </w:r>
      <w:r>
        <w:rPr>
          <w:spacing w:val="-6"/>
        </w:rPr>
        <w:t> </w:t>
      </w:r>
      <w:r>
        <w:rPr/>
        <w:t>(mg/dL)</w:t>
        <w:tab/>
        <w:t>5,09 / 0,93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31660" w:h="22390" w:orient="landscape"/>
          <w:pgMar w:top="1920" w:bottom="280" w:left="560" w:right="1320"/>
        </w:sectPr>
      </w:pPr>
    </w:p>
    <w:p>
      <w:pPr>
        <w:pStyle w:val="BodyText"/>
        <w:spacing w:line="271" w:lineRule="auto" w:before="96"/>
        <w:ind w:left="116"/>
      </w:pPr>
      <w:r>
        <w:rPr/>
        <w:t>Direct </w:t>
      </w:r>
      <w:r>
        <w:rPr>
          <w:spacing w:val="-6"/>
        </w:rPr>
        <w:t>Bilirubin </w:t>
      </w:r>
      <w:r>
        <w:rPr/>
        <w:t>(mg/dL)</w:t>
      </w:r>
    </w:p>
    <w:p>
      <w:pPr>
        <w:pStyle w:val="BodyText"/>
        <w:spacing w:line="271" w:lineRule="auto" w:before="76"/>
        <w:ind w:left="116"/>
      </w:pPr>
      <w:r>
        <w:rPr/>
        <w:t>Serum </w:t>
      </w:r>
      <w:r>
        <w:rPr>
          <w:spacing w:val="-4"/>
        </w:rPr>
        <w:t>bile </w:t>
      </w:r>
      <w:r>
        <w:rPr/>
        <w:t>acid </w:t>
      </w:r>
      <w:r>
        <w:rPr>
          <w:spacing w:val="-5"/>
        </w:rPr>
        <w:t>levels </w:t>
      </w:r>
      <w:r>
        <w:rPr/>
        <w:t>(umol/L)</w:t>
      </w:r>
    </w:p>
    <w:p>
      <w:pPr>
        <w:pStyle w:val="BodyText"/>
        <w:spacing w:before="4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BodyText"/>
        <w:ind w:left="103" w:right="26898"/>
        <w:jc w:val="center"/>
      </w:pPr>
      <w:r>
        <w:rPr/>
        <w:t>4,46 / 0,86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1"/>
        <w:ind w:left="103" w:right="26898"/>
        <w:jc w:val="center"/>
      </w:pPr>
      <w:r>
        <w:rPr/>
        <w:t>123</w:t>
      </w:r>
    </w:p>
    <w:p>
      <w:pPr>
        <w:spacing w:after="0"/>
        <w:jc w:val="center"/>
        <w:sectPr>
          <w:type w:val="continuous"/>
          <w:pgSz w:w="31660" w:h="22390" w:orient="landscape"/>
          <w:pgMar w:top="1920" w:bottom="280" w:left="560" w:right="1320"/>
          <w:cols w:num="2" w:equalWidth="0">
            <w:col w:w="1556" w:space="497"/>
            <w:col w:w="27727"/>
          </w:cols>
        </w:sectPr>
      </w:pPr>
    </w:p>
    <w:p>
      <w:pPr>
        <w:tabs>
          <w:tab w:pos="1917" w:val="left" w:leader="none"/>
        </w:tabs>
        <w:spacing w:line="170" w:lineRule="auto" w:before="56"/>
        <w:ind w:left="2080" w:right="26660" w:hanging="1964"/>
        <w:jc w:val="left"/>
        <w:rPr>
          <w:sz w:val="16"/>
        </w:rPr>
      </w:pPr>
      <w:r>
        <w:rPr>
          <w:b/>
          <w:position w:val="-10"/>
          <w:sz w:val="16"/>
        </w:rPr>
        <w:t>Abdomen</w:t>
      </w:r>
      <w:r>
        <w:rPr>
          <w:b/>
          <w:spacing w:val="-3"/>
          <w:position w:val="-10"/>
          <w:sz w:val="16"/>
        </w:rPr>
        <w:t> </w:t>
      </w:r>
      <w:r>
        <w:rPr>
          <w:b/>
          <w:position w:val="-10"/>
          <w:sz w:val="16"/>
        </w:rPr>
        <w:t>USG</w:t>
        <w:tab/>
      </w:r>
      <w:r>
        <w:rPr>
          <w:sz w:val="16"/>
        </w:rPr>
        <w:t>Hepatomegaly </w:t>
      </w:r>
      <w:r>
        <w:rPr>
          <w:spacing w:val="-9"/>
          <w:sz w:val="16"/>
        </w:rPr>
        <w:t>and </w:t>
      </w:r>
      <w:r>
        <w:rPr>
          <w:sz w:val="16"/>
        </w:rPr>
        <w:t>splenomegaly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31660" w:h="22390" w:orient="landscape"/>
          <w:pgMar w:top="1920" w:bottom="280" w:left="560" w:right="13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Heading1"/>
      </w:pPr>
      <w:r>
        <w:rPr/>
        <w:t>Liver Biopsy</w:t>
      </w:r>
    </w:p>
    <w:p>
      <w:pPr>
        <w:pStyle w:val="BodyText"/>
        <w:spacing w:line="271" w:lineRule="auto" w:before="95"/>
        <w:ind w:left="116" w:right="26393" w:firstLine="4"/>
        <w:jc w:val="center"/>
      </w:pPr>
      <w:r>
        <w:rPr/>
        <w:br w:type="column"/>
      </w:r>
      <w:r>
        <w:rPr>
          <w:spacing w:val="-3"/>
        </w:rPr>
        <w:t>canalicular </w:t>
      </w:r>
      <w:r>
        <w:rPr/>
        <w:t>cholestasis, sparse </w:t>
      </w:r>
      <w:r>
        <w:rPr>
          <w:spacing w:val="-3"/>
        </w:rPr>
        <w:t>giant </w:t>
      </w:r>
      <w:r>
        <w:rPr/>
        <w:t>cell </w:t>
      </w:r>
      <w:r>
        <w:rPr>
          <w:spacing w:val="-3"/>
        </w:rPr>
        <w:t>formation, </w:t>
      </w:r>
      <w:r>
        <w:rPr/>
        <w:t>periportal ductular proliferation, porto-portal, porto-central </w:t>
      </w:r>
      <w:r>
        <w:rPr>
          <w:spacing w:val="-3"/>
        </w:rPr>
        <w:t>and centrilobular </w:t>
      </w:r>
      <w:r>
        <w:rPr/>
        <w:t>fibrosis, complete </w:t>
      </w:r>
      <w:r>
        <w:rPr>
          <w:spacing w:val="-3"/>
        </w:rPr>
        <w:t>and incomplete </w:t>
      </w:r>
      <w:r>
        <w:rPr>
          <w:spacing w:val="-4"/>
        </w:rPr>
        <w:t>nodule </w:t>
      </w:r>
      <w:r>
        <w:rPr/>
        <w:t>formation </w:t>
      </w:r>
      <w:r>
        <w:rPr>
          <w:spacing w:val="-3"/>
        </w:rPr>
        <w:t>and </w:t>
      </w:r>
      <w:r>
        <w:rPr>
          <w:spacing w:val="-4"/>
        </w:rPr>
        <w:t>mild </w:t>
      </w:r>
      <w:r>
        <w:rPr/>
        <w:t>portal </w:t>
      </w:r>
      <w:r>
        <w:rPr>
          <w:spacing w:val="-3"/>
        </w:rPr>
        <w:t>inflammation</w:t>
      </w:r>
    </w:p>
    <w:p>
      <w:pPr>
        <w:spacing w:after="0" w:line="271" w:lineRule="auto"/>
        <w:jc w:val="center"/>
        <w:sectPr>
          <w:type w:val="continuous"/>
          <w:pgSz w:w="31660" w:h="22390" w:orient="landscape"/>
          <w:pgMar w:top="1920" w:bottom="280" w:left="560" w:right="1320"/>
          <w:cols w:num="2" w:equalWidth="0">
            <w:col w:w="1037" w:space="502"/>
            <w:col w:w="28241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tabs>
          <w:tab w:pos="2274" w:val="left" w:leader="none"/>
        </w:tabs>
        <w:spacing w:before="0"/>
        <w:ind w:left="116" w:right="0" w:firstLine="0"/>
        <w:jc w:val="left"/>
        <w:rPr>
          <w:sz w:val="16"/>
        </w:rPr>
      </w:pPr>
      <w:r>
        <w:rPr>
          <w:b/>
          <w:sz w:val="16"/>
        </w:rPr>
        <w:t>Hearing</w:t>
        <w:tab/>
      </w:r>
      <w:r>
        <w:rPr>
          <w:sz w:val="16"/>
        </w:rPr>
        <w:t>Normal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9"/>
        </w:rPr>
      </w:pPr>
    </w:p>
    <w:p>
      <w:pPr>
        <w:tabs>
          <w:tab w:pos="1813" w:val="left" w:leader="none"/>
        </w:tabs>
        <w:spacing w:before="0"/>
        <w:ind w:left="116" w:right="0" w:firstLine="0"/>
        <w:jc w:val="left"/>
        <w:rPr>
          <w:sz w:val="16"/>
        </w:rPr>
      </w:pPr>
      <w:r>
        <w:rPr>
          <w:b/>
          <w:sz w:val="16"/>
        </w:rPr>
        <w:t>Treatment</w:t>
        <w:tab/>
      </w:r>
      <w:r>
        <w:rPr>
          <w:sz w:val="16"/>
        </w:rPr>
        <w:t>UDCA </w:t>
      </w:r>
      <w:r>
        <w:rPr>
          <w:spacing w:val="-3"/>
          <w:sz w:val="16"/>
        </w:rPr>
        <w:t>and</w:t>
      </w:r>
      <w:r>
        <w:rPr>
          <w:spacing w:val="-5"/>
          <w:sz w:val="16"/>
        </w:rPr>
        <w:t> </w:t>
      </w:r>
      <w:r>
        <w:rPr>
          <w:sz w:val="16"/>
        </w:rPr>
        <w:t>rifampicin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31660" w:h="22390" w:orient="landscape"/>
          <w:pgMar w:top="1920" w:bottom="280" w:left="560" w:right="1320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spacing w:line="271" w:lineRule="auto"/>
        <w:ind w:right="-20"/>
      </w:pPr>
      <w:r>
        <w:rPr/>
        <w:t>Situation of after the treatment</w:t>
      </w:r>
    </w:p>
    <w:p>
      <w:pPr>
        <w:pStyle w:val="BodyText"/>
        <w:spacing w:line="271" w:lineRule="auto" w:before="95"/>
        <w:ind w:left="82" w:right="26394"/>
        <w:jc w:val="center"/>
      </w:pPr>
      <w:r>
        <w:rPr/>
        <w:br w:type="column"/>
      </w:r>
      <w:r>
        <w:rPr>
          <w:spacing w:val="-3"/>
        </w:rPr>
        <w:t>At </w:t>
      </w:r>
      <w:r>
        <w:rPr/>
        <w:t>last follow </w:t>
      </w:r>
      <w:r>
        <w:rPr>
          <w:spacing w:val="-3"/>
        </w:rPr>
        <w:t>up </w:t>
      </w:r>
      <w:r>
        <w:rPr/>
        <w:t>(21 </w:t>
      </w:r>
      <w:r>
        <w:rPr>
          <w:spacing w:val="-3"/>
        </w:rPr>
        <w:t>months) </w:t>
      </w:r>
      <w:r>
        <w:rPr>
          <w:spacing w:val="-5"/>
        </w:rPr>
        <w:t>no </w:t>
      </w:r>
      <w:r>
        <w:rPr>
          <w:spacing w:val="-3"/>
        </w:rPr>
        <w:t>jaundice,  </w:t>
      </w:r>
      <w:r>
        <w:rPr>
          <w:spacing w:val="-4"/>
        </w:rPr>
        <w:t>mildly </w:t>
      </w:r>
      <w:r>
        <w:rPr/>
        <w:t>pruritus, </w:t>
      </w:r>
      <w:r>
        <w:rPr>
          <w:spacing w:val="-3"/>
        </w:rPr>
        <w:t>and </w:t>
      </w:r>
      <w:r>
        <w:rPr>
          <w:spacing w:val="-5"/>
        </w:rPr>
        <w:t>normal </w:t>
      </w:r>
      <w:r>
        <w:rPr>
          <w:spacing w:val="-3"/>
        </w:rPr>
        <w:t>transaminases and </w:t>
      </w:r>
      <w:r>
        <w:rPr>
          <w:spacing w:val="-5"/>
        </w:rPr>
        <w:t>no </w:t>
      </w:r>
      <w:r>
        <w:rPr/>
        <w:t>organomegaly</w:t>
      </w:r>
    </w:p>
    <w:p>
      <w:pPr>
        <w:spacing w:after="0" w:line="271" w:lineRule="auto"/>
        <w:jc w:val="center"/>
        <w:sectPr>
          <w:type w:val="continuous"/>
          <w:pgSz w:w="31660" w:h="22390" w:orient="landscape"/>
          <w:pgMar w:top="1920" w:bottom="280" w:left="560" w:right="1320"/>
          <w:cols w:num="2" w:equalWidth="0">
            <w:col w:w="1534" w:space="40"/>
            <w:col w:w="28206"/>
          </w:cols>
        </w:sectPr>
      </w:pPr>
    </w:p>
    <w:p>
      <w:pPr>
        <w:pStyle w:val="BodyText"/>
        <w:rPr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8.339523pt;margin-top:95.90715pt;width:1299.850pt;height:917.1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84"/>
                    <w:gridCol w:w="1780"/>
                    <w:gridCol w:w="2022"/>
                    <w:gridCol w:w="2105"/>
                    <w:gridCol w:w="1859"/>
                    <w:gridCol w:w="1266"/>
                    <w:gridCol w:w="2247"/>
                    <w:gridCol w:w="2512"/>
                    <w:gridCol w:w="1516"/>
                    <w:gridCol w:w="1783"/>
                    <w:gridCol w:w="1625"/>
                    <w:gridCol w:w="966"/>
                    <w:gridCol w:w="1455"/>
                    <w:gridCol w:w="1043"/>
                    <w:gridCol w:w="1591"/>
                  </w:tblGrid>
                  <w:tr>
                    <w:trPr>
                      <w:trHeight w:val="723" w:hRule="atLeast"/>
                    </w:trPr>
                    <w:tc>
                      <w:tcPr>
                        <w:tcW w:w="21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Porta, Gilda et al. (20)</w:t>
                        </w:r>
                      </w:p>
                    </w:tc>
                    <w:tc>
                      <w:tcPr>
                        <w:tcW w:w="13791" w:type="dxa"/>
                        <w:gridSpan w:val="7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5905" w:right="58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Zhang, Jing et al. [5]</w:t>
                        </w:r>
                      </w:p>
                    </w:tc>
                    <w:tc>
                      <w:tcPr>
                        <w:tcW w:w="9979" w:type="dxa"/>
                        <w:gridSpan w:val="7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855" w:right="381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Bull, Laura N et al. [19]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2184" w:type="dxa"/>
                        <w:tcBorders>
                          <w:top w:val="single" w:sz="12" w:space="0" w:color="000000"/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P1</w:t>
                        </w:r>
                      </w:p>
                    </w:tc>
                    <w:tc>
                      <w:tcPr>
                        <w:tcW w:w="1780" w:type="dxa"/>
                        <w:tcBorders>
                          <w:top w:val="single" w:sz="12" w:space="0" w:color="000000"/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7" w:right="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P1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71" w:right="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P2</w:t>
                        </w:r>
                      </w:p>
                    </w:tc>
                    <w:tc>
                      <w:tcPr>
                        <w:tcW w:w="2105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41" w:right="22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P3</w:t>
                        </w:r>
                      </w:p>
                    </w:tc>
                    <w:tc>
                      <w:tcPr>
                        <w:tcW w:w="1859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77" w:right="13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P4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55" w:right="1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P5</w:t>
                        </w:r>
                      </w:p>
                    </w:tc>
                    <w:tc>
                      <w:tcPr>
                        <w:tcW w:w="2247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45" w:right="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P6</w:t>
                        </w:r>
                      </w:p>
                    </w:tc>
                    <w:tc>
                      <w:tcPr>
                        <w:tcW w:w="2512" w:type="dxa"/>
                        <w:tcBorders>
                          <w:top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88" w:right="4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P7</w:t>
                        </w:r>
                      </w:p>
                    </w:tc>
                    <w:tc>
                      <w:tcPr>
                        <w:tcW w:w="1516" w:type="dxa"/>
                        <w:tcBorders>
                          <w:top w:val="single" w:sz="12" w:space="0" w:color="000000"/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5" w:right="1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P1</w:t>
                        </w:r>
                      </w:p>
                    </w:tc>
                    <w:tc>
                      <w:tcPr>
                        <w:tcW w:w="1783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41" w:right="1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P2</w:t>
                        </w:r>
                      </w:p>
                    </w:tc>
                    <w:tc>
                      <w:tcPr>
                        <w:tcW w:w="1625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09" w:right="4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P3</w:t>
                        </w:r>
                      </w:p>
                    </w:tc>
                    <w:tc>
                      <w:tcPr>
                        <w:tcW w:w="96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76" w:right="3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P4</w:t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1" w:right="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P5</w:t>
                        </w:r>
                      </w:p>
                    </w:tc>
                    <w:tc>
                      <w:tcPr>
                        <w:tcW w:w="1043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40" w:right="1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P6</w:t>
                        </w:r>
                      </w:p>
                    </w:tc>
                    <w:tc>
                      <w:tcPr>
                        <w:tcW w:w="1591" w:type="dxa"/>
                        <w:tcBorders>
                          <w:top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33" w:right="7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P7</w:t>
                        </w:r>
                      </w:p>
                    </w:tc>
                  </w:tr>
                  <w:tr>
                    <w:trPr>
                      <w:trHeight w:val="419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22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79"/>
                          <w:ind w:left="67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79"/>
                          <w:ind w:left="236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79"/>
                          <w:ind w:left="77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79"/>
                          <w:ind w:left="15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79"/>
                          <w:ind w:left="145" w:right="5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79"/>
                          <w:ind w:left="36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79"/>
                          <w:ind w:left="109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79"/>
                          <w:ind w:left="71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79"/>
                          <w:ind w:left="21" w:right="3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79"/>
                          <w:ind w:left="36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133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</w:tr>
                  <w:tr>
                    <w:trPr>
                      <w:trHeight w:val="439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 months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3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 mo 21d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51"/>
                          <w:ind w:left="66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 mo 15d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51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8mo 25d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51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9mo 25d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51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4mo 18d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6mo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8mo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5" w:right="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41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9" w:right="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51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595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Brazilian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22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66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236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77" w:right="14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5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45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Chinese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Turkish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36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Turkish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09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Turkish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line="271" w:lineRule="auto" w:before="99"/>
                          <w:ind w:left="277" w:right="211" w:hanging="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Middle eastern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21" w:right="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Middle eastern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45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North African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South Asian</w:t>
                        </w:r>
                      </w:p>
                    </w:tc>
                  </w:tr>
                  <w:tr>
                    <w:trPr>
                      <w:trHeight w:val="440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99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99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99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99"/>
                          <w:ind w:left="155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99"/>
                          <w:ind w:left="14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55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 days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3d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51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2d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51"/>
                          <w:ind w:left="236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6mo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51"/>
                          <w:ind w:left="77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5mo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51"/>
                          <w:ind w:left="15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1mo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5mo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7mo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3mo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36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2mo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9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5mo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51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7y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Neonatal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15y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4y</w:t>
                        </w:r>
                      </w:p>
                    </w:tc>
                  </w:tr>
                  <w:tr>
                    <w:trPr>
                      <w:trHeight w:val="776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Cholestasis, Jaundice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22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66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236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77" w:right="14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5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45" w:right="5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29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40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5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29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Cholestasis</w:t>
                        </w:r>
                      </w:p>
                    </w:tc>
                  </w:tr>
                  <w:tr>
                    <w:trPr>
                      <w:trHeight w:val="1114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55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4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35" w:right="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0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heart failure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09" w:right="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893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130 (N:30)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121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225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29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40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222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105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38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74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39"/>
                          <w:ind w:left="129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69( N:35)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184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51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70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51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51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51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169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5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51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78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29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330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51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548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51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636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51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543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342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283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43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 (N:19)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51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51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51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51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9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62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5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47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  <w:p>
                        <w:pPr>
                          <w:pStyle w:val="TableParagraph"/>
                          <w:spacing w:before="24"/>
                          <w:ind w:left="71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“Normal”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29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</w:t>
                        </w:r>
                      </w:p>
                    </w:tc>
                  </w:tr>
                  <w:tr>
                    <w:trPr>
                      <w:trHeight w:val="439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8,98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99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90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99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99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308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99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275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99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153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6,6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99"/>
                          <w:ind w:left="36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5,2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99"/>
                          <w:ind w:left="109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18,4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99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99"/>
                          <w:ind w:left="21" w:right="3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3,9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99"/>
                          <w:ind w:left="36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3,4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133" w:righ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6,3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6,69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51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65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51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51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167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51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137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6,1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36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3,8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9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14,6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51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3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1,9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33" w:righ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2,8</w:t>
                        </w:r>
                      </w:p>
                    </w:tc>
                  </w:tr>
                  <w:tr>
                    <w:trPr>
                      <w:trHeight w:val="476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 (N:10)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9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219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41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ND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5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ND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51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51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ND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29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798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Hepatomegaly and cholelithiasis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135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35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35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135"/>
                          <w:ind w:left="155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35"/>
                          <w:ind w:left="14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Splenomegaly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35"/>
                          <w:ind w:left="41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35"/>
                          <w:ind w:left="109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Splenomegaly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35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35"/>
                          <w:ind w:left="21" w:right="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Splenomegaly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35"/>
                          <w:ind w:left="45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Splenomegaly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1947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300" w:right="262" w:firstLine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marked cholestasis, </w:t>
                        </w:r>
                        <w:r>
                          <w:rPr>
                            <w:spacing w:val="-3"/>
                            <w:sz w:val="16"/>
                          </w:rPr>
                          <w:t>giant </w:t>
                        </w:r>
                        <w:r>
                          <w:rPr>
                            <w:sz w:val="16"/>
                          </w:rPr>
                          <w:t>cell </w:t>
                        </w:r>
                        <w:r>
                          <w:rPr>
                            <w:spacing w:val="-3"/>
                            <w:sz w:val="16"/>
                          </w:rPr>
                          <w:t>transformation, </w:t>
                        </w:r>
                        <w:r>
                          <w:rPr>
                            <w:sz w:val="16"/>
                          </w:rPr>
                          <w:t>portal septal</w:t>
                        </w:r>
                        <w:r>
                          <w:rPr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fibrosis,</w:t>
                        </w:r>
                      </w:p>
                      <w:p>
                        <w:pPr>
                          <w:pStyle w:val="TableParagraph"/>
                          <w:spacing w:line="183" w:lineRule="exact"/>
                          <w:ind w:left="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periportal ductular proliferation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71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07" w:right="91" w:firstLine="4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Lobular </w:t>
                        </w:r>
                        <w:r>
                          <w:rPr>
                            <w:sz w:val="16"/>
                          </w:rPr>
                          <w:t>disarray </w:t>
                        </w:r>
                        <w:r>
                          <w:rPr>
                            <w:spacing w:val="-3"/>
                            <w:sz w:val="16"/>
                          </w:rPr>
                          <w:t>and </w:t>
                        </w:r>
                        <w:r>
                          <w:rPr>
                            <w:sz w:val="16"/>
                          </w:rPr>
                          <w:t>hepatocellular cholestasis </w:t>
                        </w:r>
                        <w:r>
                          <w:rPr>
                            <w:spacing w:val="-8"/>
                            <w:sz w:val="16"/>
                          </w:rPr>
                          <w:t>and </w:t>
                        </w:r>
                        <w:r>
                          <w:rPr>
                            <w:sz w:val="16"/>
                          </w:rPr>
                          <w:t>rosetting, with </w:t>
                        </w:r>
                        <w:r>
                          <w:rPr>
                            <w:spacing w:val="-3"/>
                            <w:sz w:val="16"/>
                          </w:rPr>
                          <w:t>canalicular </w:t>
                        </w:r>
                        <w:r>
                          <w:rPr>
                            <w:sz w:val="16"/>
                          </w:rPr>
                          <w:t>cholestasis,</w:t>
                        </w:r>
                      </w:p>
                      <w:p>
                        <w:pPr>
                          <w:pStyle w:val="TableParagraph"/>
                          <w:spacing w:line="271" w:lineRule="auto"/>
                          <w:ind w:left="241" w:right="221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Giant-cell </w:t>
                        </w:r>
                        <w:r>
                          <w:rPr>
                            <w:sz w:val="16"/>
                          </w:rPr>
                          <w:t>change </w:t>
                        </w:r>
                        <w:r>
                          <w:rPr>
                            <w:spacing w:val="-7"/>
                            <w:sz w:val="16"/>
                          </w:rPr>
                          <w:t>of </w:t>
                        </w:r>
                        <w:r>
                          <w:rPr>
                            <w:sz w:val="16"/>
                          </w:rPr>
                          <w:t>hepatocytes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77" w:righ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Lobular disarray and hepatocellular cholestasis and rosetting, with canalicular cholestasis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55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16" w:right="124" w:firstLine="4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Lobular </w:t>
                        </w:r>
                        <w:r>
                          <w:rPr>
                            <w:sz w:val="16"/>
                          </w:rPr>
                          <w:t>disarray </w:t>
                        </w:r>
                        <w:r>
                          <w:rPr>
                            <w:spacing w:val="-3"/>
                            <w:sz w:val="16"/>
                          </w:rPr>
                          <w:t>and </w:t>
                        </w:r>
                        <w:r>
                          <w:rPr>
                            <w:sz w:val="16"/>
                          </w:rPr>
                          <w:t>hepatocellular cholestasis </w:t>
                        </w:r>
                        <w:r>
                          <w:rPr>
                            <w:spacing w:val="-8"/>
                            <w:sz w:val="16"/>
                          </w:rPr>
                          <w:t>and </w:t>
                        </w:r>
                        <w:r>
                          <w:rPr>
                            <w:sz w:val="16"/>
                          </w:rPr>
                          <w:t>rosetting, with </w:t>
                        </w:r>
                        <w:r>
                          <w:rPr>
                            <w:spacing w:val="-3"/>
                            <w:sz w:val="16"/>
                          </w:rPr>
                          <w:t>canalicular </w:t>
                        </w:r>
                        <w:r>
                          <w:rPr>
                            <w:sz w:val="16"/>
                          </w:rPr>
                          <w:t>cholestasis,</w:t>
                        </w:r>
                      </w:p>
                      <w:p>
                        <w:pPr>
                          <w:pStyle w:val="TableParagraph"/>
                          <w:spacing w:line="271" w:lineRule="auto"/>
                          <w:ind w:left="473" w:right="377" w:hanging="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Giant-cell change of hepatocytes, cirrhosis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90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Lobular disarray and hepatocellular cholestasis and rosetting, with canalicular cholestasis,</w:t>
                        </w:r>
                      </w:p>
                      <w:p>
                        <w:pPr>
                          <w:pStyle w:val="TableParagraph"/>
                          <w:spacing w:line="271" w:lineRule="auto"/>
                          <w:ind w:left="90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Giant-cell change of hepatocytes, portal-tract fibrosis and mixed acute and chronic inflammation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31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porto- septal fibrosis, biliary rosette formation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 w:before="1"/>
                          <w:ind w:left="83" w:right="59" w:firstLine="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Porto-septal fibrosis hepatocyte giant cell change canalicular and hepatocellular cholestasis and mild lobular activity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09" w:right="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 w:before="1"/>
                          <w:ind w:left="484" w:right="16" w:hanging="4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porto- portal bridging fibrosis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 w:before="1"/>
                          <w:ind w:left="293" w:right="93" w:hanging="16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porto- septal fibrosis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907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41" w:right="22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7" w:right="13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5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Hearing loss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2" w:right="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9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6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Not Done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1148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37" w:right="177" w:firstLine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rifampicin cholecystectomy operation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391" w:firstLine="14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Cholestyramine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7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241" w:right="22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398" w:right="227" w:firstLine="14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Cholestyramine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15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Cholestyramine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Cholestyramine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29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41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69" w:right="-18" w:firstLine="13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Rifampicin, </w:t>
                        </w:r>
                        <w:r>
                          <w:rPr>
                            <w:sz w:val="16"/>
                          </w:rPr>
                          <w:t>UDCA. Relapses off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Rifampicin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79" w:righ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21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Rifampicin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61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333" w:hanging="27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Rifampicin, </w:t>
                        </w:r>
                        <w:r>
                          <w:rPr>
                            <w:sz w:val="16"/>
                          </w:rPr>
                          <w:t>UDCA </w:t>
                        </w:r>
                        <w:r>
                          <w:rPr>
                            <w:spacing w:val="-8"/>
                            <w:sz w:val="16"/>
                          </w:rPr>
                          <w:t>and </w:t>
                        </w:r>
                        <w:r>
                          <w:rPr>
                            <w:spacing w:val="-3"/>
                            <w:sz w:val="16"/>
                          </w:rPr>
                          <w:t>cholestyramine</w:t>
                        </w:r>
                      </w:p>
                    </w:tc>
                  </w:tr>
                  <w:tr>
                    <w:trPr>
                      <w:trHeight w:val="1543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24" w:right="50" w:hanging="37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At </w:t>
                        </w:r>
                        <w:r>
                          <w:rPr>
                            <w:sz w:val="16"/>
                          </w:rPr>
                          <w:t>last follow </w:t>
                        </w:r>
                        <w:r>
                          <w:rPr>
                            <w:spacing w:val="-3"/>
                            <w:sz w:val="16"/>
                          </w:rPr>
                          <w:t>up </w:t>
                        </w:r>
                        <w:r>
                          <w:rPr>
                            <w:sz w:val="16"/>
                          </w:rPr>
                          <w:t>(18 months), </w:t>
                        </w:r>
                        <w:r>
                          <w:rPr>
                            <w:spacing w:val="-5"/>
                            <w:sz w:val="16"/>
                          </w:rPr>
                          <w:t>no </w:t>
                        </w:r>
                        <w:r>
                          <w:rPr>
                            <w:spacing w:val="-3"/>
                            <w:sz w:val="16"/>
                          </w:rPr>
                          <w:t>jaundice, </w:t>
                        </w:r>
                        <w:r>
                          <w:rPr>
                            <w:sz w:val="16"/>
                          </w:rPr>
                          <w:t>moderate pruritus, </w:t>
                        </w:r>
                        <w:r>
                          <w:rPr>
                            <w:spacing w:val="-3"/>
                            <w:sz w:val="16"/>
                          </w:rPr>
                          <w:t>and normal transaminases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4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Mildly elevated transaminases</w:t>
                        </w:r>
                      </w:p>
                      <w:p>
                        <w:pPr>
                          <w:pStyle w:val="TableParagraph"/>
                          <w:spacing w:line="271" w:lineRule="auto"/>
                          <w:ind w:left="24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at 2 y.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57" w:right="-15" w:firstLine="26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transaminases Alive with native liver at 3 y 6</w:t>
                        </w:r>
                      </w:p>
                      <w:p>
                        <w:pPr>
                          <w:pStyle w:val="TableParagraph"/>
                          <w:spacing w:line="184" w:lineRule="exact"/>
                          <w:ind w:left="90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mo.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52" w:firstLine="19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transaminases Alive with native liver at 5y.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77" w:right="1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Mildly elevated transaminases</w:t>
                        </w:r>
                      </w:p>
                      <w:p>
                        <w:pPr>
                          <w:pStyle w:val="TableParagraph"/>
                          <w:spacing w:line="271" w:lineRule="auto"/>
                          <w:ind w:left="77" w:right="1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at 17 mo.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5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02" w:right="65" w:firstLine="26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transaminases Alive with native liver at 1 y 3 mo; cochlear implant at 1 y 3</w:t>
                        </w:r>
                      </w:p>
                      <w:p>
                        <w:pPr>
                          <w:pStyle w:val="TableParagraph"/>
                          <w:spacing w:line="183" w:lineRule="exact"/>
                          <w:ind w:left="104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mo.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98" w:right="-5" w:firstLine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Mildly elevated transaminases Alive with native liver at 1y 1mo.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ind w:left="35" w:right="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11y</w:t>
                        </w:r>
                      </w:p>
                      <w:p>
                        <w:pPr>
                          <w:pStyle w:val="TableParagraph"/>
                          <w:spacing w:line="271" w:lineRule="auto" w:before="24"/>
                          <w:ind w:left="35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transaminases and bile acids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ind w:left="42" w:right="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8y</w:t>
                        </w:r>
                      </w:p>
                      <w:p>
                        <w:pPr>
                          <w:pStyle w:val="TableParagraph"/>
                          <w:spacing w:line="271" w:lineRule="auto" w:before="24"/>
                          <w:ind w:left="42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transaminases and bile acids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109" w:right="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2y</w:t>
                        </w:r>
                      </w:p>
                      <w:p>
                        <w:pPr>
                          <w:pStyle w:val="TableParagraph"/>
                          <w:spacing w:before="24"/>
                          <w:ind w:left="109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transaminases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59" w:right="213" w:firstLine="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10y Normal</w:t>
                        </w:r>
                      </w:p>
                      <w:p>
                        <w:pPr>
                          <w:pStyle w:val="TableParagraph"/>
                          <w:spacing w:line="271" w:lineRule="auto"/>
                          <w:ind w:left="79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transaminase s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1" w:right="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13y</w:t>
                        </w:r>
                      </w:p>
                      <w:p>
                        <w:pPr>
                          <w:pStyle w:val="TableParagraph"/>
                          <w:spacing w:line="271" w:lineRule="auto" w:before="23"/>
                          <w:ind w:left="21" w:right="3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</w:t>
                        </w:r>
                        <w:r>
                          <w:rPr>
                            <w:spacing w:val="-5"/>
                            <w:sz w:val="16"/>
                          </w:rPr>
                          <w:t>transaminases </w:t>
                        </w:r>
                        <w:r>
                          <w:rPr>
                            <w:spacing w:val="-3"/>
                            <w:sz w:val="16"/>
                          </w:rPr>
                          <w:t>Mildly </w:t>
                        </w:r>
                        <w:r>
                          <w:rPr>
                            <w:sz w:val="16"/>
                          </w:rPr>
                          <w:t>elevated </w:t>
                        </w:r>
                        <w:r>
                          <w:rPr>
                            <w:spacing w:val="-4"/>
                            <w:sz w:val="16"/>
                          </w:rPr>
                          <w:t>bile </w:t>
                        </w:r>
                        <w:r>
                          <w:rPr>
                            <w:sz w:val="16"/>
                          </w:rPr>
                          <w:t>acids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88" w:right="260" w:firstLine="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18y Normal</w:t>
                        </w:r>
                      </w:p>
                      <w:p>
                        <w:pPr>
                          <w:pStyle w:val="TableParagraph"/>
                          <w:spacing w:line="184" w:lineRule="exact"/>
                          <w:ind w:left="40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transaminases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513" w:right="464" w:firstLine="18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21y </w:t>
                        </w:r>
                        <w:r>
                          <w:rPr>
                            <w:spacing w:val="-3"/>
                            <w:sz w:val="16"/>
                          </w:rPr>
                          <w:t>As</w:t>
                        </w:r>
                        <w:r>
                          <w:rPr>
                            <w:spacing w:val="6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above</w:t>
                        </w:r>
                      </w:p>
                    </w:tc>
                  </w:tr>
                  <w:tr>
                    <w:trPr>
                      <w:trHeight w:val="740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2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7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41" w:right="22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77" w:right="13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60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45" w:right="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90" w:right="4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5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42" w:right="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09" w:righ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8" w:right="-2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1" w:right="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45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33" w:righ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</w:tr>
                  <w:tr>
                    <w:trPr>
                      <w:trHeight w:val="543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c.1687_1688delinsC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c.1012C&gt;T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c.169C&gt;T / c.831_832insAG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c.569+2T&gt;C / c.878G&gt;T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line="271" w:lineRule="auto" w:before="99"/>
                          <w:ind w:left="533" w:right="569" w:hanging="1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c.581delA / c.1012C&gt;T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line="271" w:lineRule="auto" w:before="99"/>
                          <w:ind w:left="281" w:right="200" w:hanging="4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c.1012C&gt;T / c.1426C&gt;T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c.395A&gt;G / c.1558C&gt;T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88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c.297G&gt;T / c.1012C&gt;T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71" w:lineRule="auto" w:before="99"/>
                          <w:ind w:left="605" w:right="5" w:hanging="55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Deletion of 1st coding exon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line="271" w:lineRule="auto" w:before="99"/>
                          <w:ind w:left="751" w:hanging="55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Deletion of 1st coding exon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line="271" w:lineRule="auto" w:before="99"/>
                          <w:ind w:left="687" w:right="-18" w:hanging="55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Deletion of 1st coding exon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99"/>
                          <w:ind w:left="79" w:righ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c.145-</w:t>
                        </w:r>
                      </w:p>
                      <w:p>
                        <w:pPr>
                          <w:pStyle w:val="TableParagraph"/>
                          <w:spacing w:before="24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11_167del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 w:right="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c.145- 11_167del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5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c.725C&gt;T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3" w:right="7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c.510delA</w:t>
                        </w:r>
                      </w:p>
                    </w:tc>
                  </w:tr>
                  <w:tr>
                    <w:trPr>
                      <w:trHeight w:val="543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p.Ser563Profs*25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2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p.Arg338Ter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line="271" w:lineRule="auto" w:before="47"/>
                          <w:ind w:left="359" w:right="314" w:firstLine="24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p.Arg57Ter / p.Val279GlufsTer16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151"/>
                          <w:ind w:left="241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 / p.Gly293Val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line="271" w:lineRule="auto" w:before="47"/>
                          <w:ind w:left="479" w:right="227" w:hanging="29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p.Arg195GlufsTer38 / p.Arg338Ter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line="271" w:lineRule="auto" w:before="47"/>
                          <w:ind w:left="227" w:right="149" w:hanging="4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p.Arg338Ter / p.Arg476Ter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151"/>
                          <w:ind w:left="145" w:right="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p.His132Arg / p.Arg520Ter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p.Arg99Ser / p.Arg338Ter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3" w:right="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151"/>
                          <w:ind w:left="42" w:right="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151"/>
                          <w:ind w:left="109" w:right="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151"/>
                          <w:ind w:left="79" w:right="3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51"/>
                          <w:ind w:left="21" w:right="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151"/>
                          <w:ind w:left="45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p.Pro242Leu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33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p.Ser171ArgfsTer62</w:t>
                        </w:r>
                      </w:p>
                    </w:tc>
                  </w:tr>
                  <w:tr>
                    <w:trPr>
                      <w:trHeight w:val="388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Indel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27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99"/>
                          <w:ind w:left="75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Nonsense/Indel</w:t>
                        </w:r>
                      </w:p>
                    </w:tc>
                    <w:tc>
                      <w:tcPr>
                        <w:tcW w:w="2105" w:type="dxa"/>
                      </w:tcPr>
                      <w:p>
                        <w:pPr>
                          <w:pStyle w:val="TableParagraph"/>
                          <w:spacing w:before="99"/>
                          <w:ind w:left="236" w:right="22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Splice / Missense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99"/>
                          <w:ind w:left="77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Frameshift/Nonsense</w:t>
                        </w:r>
                      </w:p>
                    </w:tc>
                    <w:tc>
                      <w:tcPr>
                        <w:tcW w:w="1266" w:type="dxa"/>
                      </w:tcPr>
                      <w:p>
                        <w:pPr>
                          <w:pStyle w:val="TableParagraph"/>
                          <w:spacing w:before="99"/>
                          <w:ind w:left="146" w:right="1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2247" w:type="dxa"/>
                      </w:tcPr>
                      <w:p>
                        <w:pPr>
                          <w:pStyle w:val="TableParagraph"/>
                          <w:spacing w:before="99"/>
                          <w:ind w:left="145" w:right="5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Missense/Nonsense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83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Missense/Nonsense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35" w:right="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Gross del</w:t>
                        </w:r>
                      </w:p>
                    </w:tc>
                    <w:tc>
                      <w:tcPr>
                        <w:tcW w:w="1783" w:type="dxa"/>
                      </w:tcPr>
                      <w:p>
                        <w:pPr>
                          <w:pStyle w:val="TableParagraph"/>
                          <w:spacing w:before="99"/>
                          <w:ind w:left="40" w:right="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Gross del</w:t>
                        </w:r>
                      </w:p>
                    </w:tc>
                    <w:tc>
                      <w:tcPr>
                        <w:tcW w:w="1625" w:type="dxa"/>
                      </w:tcPr>
                      <w:p>
                        <w:pPr>
                          <w:pStyle w:val="TableParagraph"/>
                          <w:spacing w:before="99"/>
                          <w:ind w:left="109" w:right="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Gross del</w:t>
                        </w:r>
                      </w:p>
                    </w:tc>
                    <w:tc>
                      <w:tcPr>
                        <w:tcW w:w="966" w:type="dxa"/>
                      </w:tcPr>
                      <w:p>
                        <w:pPr>
                          <w:pStyle w:val="TableParagraph"/>
                          <w:spacing w:before="99"/>
                          <w:ind w:left="76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Gross del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99"/>
                          <w:ind w:left="21" w:right="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Gross del</w:t>
                        </w:r>
                      </w:p>
                    </w:tc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before="99"/>
                          <w:ind w:left="36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Missense</w:t>
                        </w:r>
                      </w:p>
                    </w:tc>
                    <w:tc>
                      <w:tcPr>
                        <w:tcW w:w="1591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133" w:righ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184" w:type="dxa"/>
                        <w:tcBorders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780" w:type="dxa"/>
                        <w:tcBorders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2" w:righ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022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0" w:right="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 / Pathogenic</w:t>
                        </w:r>
                      </w:p>
                    </w:tc>
                    <w:tc>
                      <w:tcPr>
                        <w:tcW w:w="210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6" w:right="2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 / Likely Pathogenic</w:t>
                        </w:r>
                      </w:p>
                    </w:tc>
                    <w:tc>
                      <w:tcPr>
                        <w:tcW w:w="1859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7" w:right="1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 / Pathogenic</w:t>
                        </w:r>
                      </w:p>
                    </w:tc>
                    <w:tc>
                      <w:tcPr>
                        <w:tcW w:w="126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29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  <w:p>
                        <w:pPr>
                          <w:pStyle w:val="TableParagraph"/>
                          <w:spacing w:before="24"/>
                          <w:ind w:left="26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/Pathogenic</w:t>
                        </w:r>
                      </w:p>
                    </w:tc>
                    <w:tc>
                      <w:tcPr>
                        <w:tcW w:w="2247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5" w:right="5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Likely Pathogenic / Pathogenic</w:t>
                        </w:r>
                      </w:p>
                    </w:tc>
                    <w:tc>
                      <w:tcPr>
                        <w:tcW w:w="2512" w:type="dxa"/>
                        <w:tcBorders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87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Likely Pathogenic / Pathogenic</w:t>
                        </w:r>
                      </w:p>
                    </w:tc>
                    <w:tc>
                      <w:tcPr>
                        <w:tcW w:w="1516" w:type="dxa"/>
                        <w:tcBorders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5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?</w:t>
                        </w:r>
                      </w:p>
                    </w:tc>
                    <w:tc>
                      <w:tcPr>
                        <w:tcW w:w="1783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?</w:t>
                        </w:r>
                      </w:p>
                    </w:tc>
                    <w:tc>
                      <w:tcPr>
                        <w:tcW w:w="162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66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?</w:t>
                        </w:r>
                      </w:p>
                    </w:tc>
                    <w:tc>
                      <w:tcPr>
                        <w:tcW w:w="96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1" w:righ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45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 w:right="3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043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6" w:right="1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VUS</w:t>
                        </w:r>
                      </w:p>
                    </w:tc>
                    <w:tc>
                      <w:tcPr>
                        <w:tcW w:w="1591" w:type="dxa"/>
                        <w:tcBorders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3" w:righ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Likely pathogenic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tabs>
          <w:tab w:pos="2048" w:val="left" w:leader="none"/>
          <w:tab w:pos="2120" w:val="left" w:leader="none"/>
          <w:tab w:pos="2423" w:val="left" w:leader="none"/>
        </w:tabs>
        <w:spacing w:line="638" w:lineRule="auto" w:before="100"/>
        <w:ind w:left="116" w:right="26776" w:firstLine="0"/>
        <w:jc w:val="left"/>
        <w:rPr>
          <w:sz w:val="16"/>
        </w:rPr>
      </w:pPr>
      <w:r>
        <w:rPr>
          <w:b/>
          <w:sz w:val="16"/>
        </w:rPr>
        <w:t>USP53</w:t>
      </w:r>
      <w:r>
        <w:rPr>
          <w:b/>
          <w:spacing w:val="4"/>
          <w:sz w:val="16"/>
        </w:rPr>
        <w:t> </w:t>
      </w:r>
      <w:r>
        <w:rPr>
          <w:b/>
          <w:sz w:val="16"/>
        </w:rPr>
        <w:t>(Transcript)</w:t>
        <w:tab/>
      </w:r>
      <w:r>
        <w:rPr>
          <w:spacing w:val="-1"/>
          <w:sz w:val="16"/>
        </w:rPr>
        <w:t>NM_019050.2 </w:t>
      </w:r>
      <w:r>
        <w:rPr>
          <w:sz w:val="16"/>
        </w:rPr>
        <w:t>Nucleotide</w:t>
      </w:r>
      <w:r>
        <w:rPr>
          <w:spacing w:val="-2"/>
          <w:sz w:val="16"/>
        </w:rPr>
        <w:t> </w:t>
      </w:r>
      <w:r>
        <w:rPr>
          <w:sz w:val="16"/>
        </w:rPr>
        <w:t>change</w:t>
        <w:tab/>
        <w:tab/>
        <w:t>c.238-1G&gt;C Protein</w:t>
      </w:r>
      <w:r>
        <w:rPr>
          <w:spacing w:val="-9"/>
          <w:sz w:val="16"/>
        </w:rPr>
        <w:t> </w:t>
      </w:r>
      <w:r>
        <w:rPr>
          <w:sz w:val="16"/>
        </w:rPr>
        <w:t>change</w:t>
        <w:tab/>
        <w:tab/>
        <w:tab/>
        <w:t>p:?</w:t>
      </w:r>
    </w:p>
    <w:p>
      <w:pPr>
        <w:pStyle w:val="BodyText"/>
        <w:tabs>
          <w:tab w:pos="2319" w:val="left" w:leader="none"/>
        </w:tabs>
        <w:spacing w:before="3"/>
        <w:ind w:left="116"/>
      </w:pPr>
      <w:r>
        <w:rPr/>
        <w:t>Variant</w:t>
      </w:r>
      <w:r>
        <w:rPr>
          <w:spacing w:val="-3"/>
        </w:rPr>
        <w:t> </w:t>
      </w:r>
      <w:r>
        <w:rPr/>
        <w:t>type</w:t>
        <w:tab/>
        <w:t>Splice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pos="2165" w:val="left" w:leader="none"/>
        </w:tabs>
        <w:ind w:left="116"/>
      </w:pPr>
      <w:r>
        <w:rPr/>
        <w:t>ACMG</w:t>
      </w:r>
      <w:r>
        <w:rPr>
          <w:spacing w:val="-6"/>
        </w:rPr>
        <w:t> </w:t>
      </w:r>
      <w:r>
        <w:rPr/>
        <w:t>classification</w:t>
        <w:tab/>
        <w:t>Pathogenic</w:t>
      </w:r>
    </w:p>
    <w:p>
      <w:pPr>
        <w:spacing w:after="0"/>
        <w:sectPr>
          <w:type w:val="continuous"/>
          <w:pgSz w:w="31660" w:h="22390" w:orient="landscape"/>
          <w:pgMar w:top="1920" w:bottom="280" w:left="560" w:right="132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107.867676pt;margin-top:95.90715pt;width:1403.6pt;height:917.1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61"/>
                    <w:gridCol w:w="2520"/>
                    <w:gridCol w:w="2540"/>
                    <w:gridCol w:w="2414"/>
                    <w:gridCol w:w="2674"/>
                    <w:gridCol w:w="2412"/>
                    <w:gridCol w:w="2647"/>
                    <w:gridCol w:w="2512"/>
                    <w:gridCol w:w="2529"/>
                    <w:gridCol w:w="1056"/>
                    <w:gridCol w:w="1182"/>
                    <w:gridCol w:w="1040"/>
                    <w:gridCol w:w="1024"/>
                    <w:gridCol w:w="1015"/>
                  </w:tblGrid>
                  <w:tr>
                    <w:trPr>
                      <w:trHeight w:val="723" w:hRule="atLeast"/>
                    </w:trPr>
                    <w:tc>
                      <w:tcPr>
                        <w:tcW w:w="20180" w:type="dxa"/>
                        <w:gridSpan w:val="8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8766" w:right="87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Alhebbi, Hamoud et al. [18]</w:t>
                        </w:r>
                      </w:p>
                    </w:tc>
                    <w:tc>
                      <w:tcPr>
                        <w:tcW w:w="7846" w:type="dxa"/>
                        <w:gridSpan w:val="6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711" w:right="266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Cheema, Huma et al. [21]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2461" w:type="dxa"/>
                        <w:tcBorders>
                          <w:top w:val="single" w:sz="12" w:space="0" w:color="000000"/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48" w:right="14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P1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689" w:right="61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P2</w:t>
                        </w:r>
                      </w:p>
                    </w:tc>
                    <w:tc>
                      <w:tcPr>
                        <w:tcW w:w="2540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37" w:right="18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P3</w:t>
                        </w:r>
                      </w:p>
                    </w:tc>
                    <w:tc>
                      <w:tcPr>
                        <w:tcW w:w="2414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20" w:right="13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P4</w:t>
                        </w:r>
                      </w:p>
                    </w:tc>
                    <w:tc>
                      <w:tcPr>
                        <w:tcW w:w="2674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74" w:right="9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P5</w:t>
                        </w:r>
                      </w:p>
                    </w:tc>
                    <w:tc>
                      <w:tcPr>
                        <w:tcW w:w="2412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14" w:right="14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P6</w:t>
                        </w:r>
                      </w:p>
                    </w:tc>
                    <w:tc>
                      <w:tcPr>
                        <w:tcW w:w="2647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03" w:right="20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P7</w:t>
                        </w:r>
                      </w:p>
                    </w:tc>
                    <w:tc>
                      <w:tcPr>
                        <w:tcW w:w="2512" w:type="dxa"/>
                        <w:tcBorders>
                          <w:top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81" w:right="4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P8</w:t>
                        </w:r>
                      </w:p>
                    </w:tc>
                    <w:tc>
                      <w:tcPr>
                        <w:tcW w:w="2529" w:type="dxa"/>
                        <w:tcBorders>
                          <w:top w:val="single" w:sz="12" w:space="0" w:color="000000"/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507" w:right="46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P1</w:t>
                        </w:r>
                      </w:p>
                    </w:tc>
                    <w:tc>
                      <w:tcPr>
                        <w:tcW w:w="105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55" w:right="1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P2</w:t>
                        </w:r>
                      </w:p>
                    </w:tc>
                    <w:tc>
                      <w:tcPr>
                        <w:tcW w:w="1182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50" w:right="2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P3</w:t>
                        </w:r>
                      </w:p>
                    </w:tc>
                    <w:tc>
                      <w:tcPr>
                        <w:tcW w:w="1040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407" w:right="36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P4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6" w:right="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P5</w:t>
                        </w:r>
                      </w:p>
                    </w:tc>
                    <w:tc>
                      <w:tcPr>
                        <w:tcW w:w="1015" w:type="dxa"/>
                        <w:tcBorders>
                          <w:top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14" w:right="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P6</w:t>
                        </w:r>
                      </w:p>
                    </w:tc>
                  </w:tr>
                  <w:tr>
                    <w:trPr>
                      <w:trHeight w:val="419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79"/>
                          <w:ind w:left="689" w:right="61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79"/>
                          <w:ind w:left="137" w:right="18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79"/>
                          <w:ind w:left="220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79"/>
                          <w:ind w:left="169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79"/>
                          <w:ind w:left="214" w:right="1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79"/>
                          <w:ind w:left="303" w:right="2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76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Female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507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Male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79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79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79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79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9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20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73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4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3" w:right="20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1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Saudi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Saudi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8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Saudi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20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Saudi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73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4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3" w:right="20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1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Pakistani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3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Yes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Yes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Yes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Yes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73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4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3" w:right="20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1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503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4mo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15mo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8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5mo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20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1y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9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18mo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4" w:right="1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6mo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3" w:right="20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18y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1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16y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8mo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724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928" w:hanging="54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Coagulopathy, normal GGT cholestasis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950" w:hanging="6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Cholangiopathy, normal GGT cholestasis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37" w:right="18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Tetany, BRIC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20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GGT cholestasis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69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BRIC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709" w:hanging="54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jaundice, itching, Pruritus, normal GGT cholestasis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303" w:right="2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BRIC, cholangiopathy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76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BRIC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066" w:hanging="82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jaundice, itching, and pigmented stools.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1374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43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İtching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Intractable itching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Hypocalcemia, Intractable itching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Intractable itching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199" w:hanging="94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Itching, Speech and developmental delay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Itching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Itching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80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Itching, Hypothyroidism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73" w:right="37" w:firstLine="40"/>
                          <w:rPr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hypoalbuminemia, </w:t>
                        </w:r>
                        <w:r>
                          <w:rPr>
                            <w:sz w:val="16"/>
                          </w:rPr>
                          <w:t>hypoproteinemia, intrahepatic cholestasis,</w:t>
                        </w:r>
                        <w:r>
                          <w:rPr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leukocytosis, prolonged prothrombin time, thrombocytosis.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737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244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82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352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80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4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97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136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4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553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6316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4432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2557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719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504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939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727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4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172 (μmol/l)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402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146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876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179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158 (μmol/l)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132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298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142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680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128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76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4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115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79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5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353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3" w:right="20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81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458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248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35"/>
                          <w:ind w:left="689" w:right="6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35"/>
                          <w:ind w:left="137" w:right="1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35"/>
                          <w:ind w:left="220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35"/>
                          <w:ind w:left="168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enlarged left echogenic kidney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35"/>
                          <w:ind w:left="214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35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gallstone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81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Hepatomegaly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35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35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35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35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5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828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33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33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33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33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3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1408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48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210" w:right="137" w:hanging="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ductular proliferation </w:t>
                        </w:r>
                        <w:r>
                          <w:rPr>
                            <w:spacing w:val="-3"/>
                            <w:sz w:val="16"/>
                          </w:rPr>
                          <w:t>and inflammation </w:t>
                        </w:r>
                        <w:r>
                          <w:rPr>
                            <w:sz w:val="16"/>
                          </w:rPr>
                          <w:t>suggestive of </w:t>
                        </w:r>
                        <w:r>
                          <w:rPr>
                            <w:spacing w:val="-3"/>
                            <w:sz w:val="16"/>
                          </w:rPr>
                          <w:t>biliary </w:t>
                        </w:r>
                        <w:r>
                          <w:rPr>
                            <w:sz w:val="16"/>
                          </w:rPr>
                          <w:t>atresia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37" w:right="1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20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/>
                          <w:ind w:left="180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mild lobular and portal inflammation and stage 2 fibrosis with septae formation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14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line="271" w:lineRule="auto" w:before="90"/>
                          <w:ind w:left="129" w:right="38" w:hanging="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bland cholestasis, florid ductular proliferation, cholestasis, cholate stasis, feathery degeneration of hepatocytes, septal fibrosis, and mixed inflammatory infiltration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 w:before="1"/>
                          <w:ind w:left="73" w:right="-5" w:firstLine="139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canalicular cholestasis with early ductular proliferation, but no fibrosis.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7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Intrahepatic cholestasis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638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44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689" w:right="62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Deafness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37" w:right="19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Deafness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16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64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None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618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1006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48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689" w:right="6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7" w:right="1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20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9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4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rifampicin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70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steroids,</w:t>
                        </w:r>
                      </w:p>
                      <w:p>
                        <w:pPr>
                          <w:pStyle w:val="TableParagraph"/>
                          <w:spacing w:line="271" w:lineRule="auto" w:before="24"/>
                          <w:ind w:left="302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UDCA and cholestyramine , Azathioprine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80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prednisolone, tyhroxin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1283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(2years)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71" w:lineRule="auto" w:before="125"/>
                          <w:ind w:left="1099" w:hanging="77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Alive, post-liver transplant (24 years)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37" w:right="18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(17years)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20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(6years)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68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(7years)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14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(1years)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03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(35years)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76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Alive with native liver (18years)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7" w:right="46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5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407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</w:t>
                        </w:r>
                      </w:p>
                    </w:tc>
                  </w:tr>
                  <w:tr>
                    <w:trPr>
                      <w:trHeight w:val="896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248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689" w:right="60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137" w:right="17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220" w:right="1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178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214" w:righ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303" w:right="20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86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507" w:right="46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60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50" w:right="1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69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41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41"/>
                          <w:ind w:left="54" w:right="-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NM_019050.2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c.951delT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c.951delT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c.951delT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20" w:right="1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c.951delT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73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c.951delT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4" w:right="1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c.1744C&gt;T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3" w:right="2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c.1744C&gt;T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6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c.1744C&gt;T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c.1524T&gt;G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51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c.169C&gt;T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50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c.475_476delCT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12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c.822+1delG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6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c.951delT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4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c.1214dupA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p.Phe317fs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p.Phe317fs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8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p.Phe317fs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20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p.Phe317fs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8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p.Phe317fs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889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 Arg582*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101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 Arg582*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91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 Arg582*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p.Tyr508*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46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p.Arg57*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9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p.Leu159fs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402" w:right="36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p:?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1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p.Phe317fs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05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p.Asn405fs</w:t>
                        </w: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151"/>
                          <w:ind w:left="689" w:right="61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2540" w:type="dxa"/>
                      </w:tcPr>
                      <w:p>
                        <w:pPr>
                          <w:pStyle w:val="TableParagraph"/>
                          <w:spacing w:before="151"/>
                          <w:ind w:left="137" w:right="18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2414" w:type="dxa"/>
                      </w:tcPr>
                      <w:p>
                        <w:pPr>
                          <w:pStyle w:val="TableParagraph"/>
                          <w:spacing w:before="151"/>
                          <w:ind w:left="220" w:righ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TableParagraph"/>
                          <w:spacing w:before="151"/>
                          <w:ind w:left="168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2412" w:type="dxa"/>
                      </w:tcPr>
                      <w:p>
                        <w:pPr>
                          <w:pStyle w:val="TableParagraph"/>
                          <w:spacing w:before="151"/>
                          <w:ind w:left="211" w:righ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2647" w:type="dxa"/>
                      </w:tcPr>
                      <w:p>
                        <w:pPr>
                          <w:pStyle w:val="TableParagraph"/>
                          <w:spacing w:before="151"/>
                          <w:ind w:left="300" w:right="2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2512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2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2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151"/>
                          <w:ind w:left="46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Nonsense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spacing w:before="151"/>
                          <w:ind w:left="45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151"/>
                          <w:ind w:left="34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Splice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151"/>
                          <w:ind w:left="31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  <w:tc>
                      <w:tcPr>
                        <w:tcW w:w="1015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0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Frameshift</w:t>
                        </w:r>
                      </w:p>
                    </w:tc>
                  </w:tr>
                  <w:tr>
                    <w:trPr>
                      <w:trHeight w:val="475" w:hRule="atLeast"/>
                    </w:trPr>
                    <w:tc>
                      <w:tcPr>
                        <w:tcW w:w="2461" w:type="dxa"/>
                        <w:tcBorders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48" w:right="14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52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689" w:right="61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54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37" w:right="18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414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20" w:right="1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674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68" w:right="9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412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14" w:right="14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647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03" w:right="2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512" w:type="dxa"/>
                        <w:tcBorders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76" w:right="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2529" w:type="dxa"/>
                        <w:tcBorders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7" w:right="4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05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50" w:right="1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182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45" w:right="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04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8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024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31" w:right="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  <w:tc>
                      <w:tcPr>
                        <w:tcW w:w="1015" w:type="dxa"/>
                        <w:tcBorders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10" w:right="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Pathogenic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640" w:lineRule="auto" w:before="96"/>
        <w:ind w:left="116" w:right="28946"/>
      </w:pPr>
      <w:r>
        <w:rPr/>
        <w:t>Gender Age Etnictiy</w:t>
      </w:r>
    </w:p>
    <w:p>
      <w:pPr>
        <w:pStyle w:val="BodyText"/>
        <w:spacing w:line="640" w:lineRule="auto" w:before="2"/>
        <w:ind w:left="116" w:right="28484"/>
      </w:pPr>
      <w:r>
        <w:rPr/>
        <w:t>Consanguinity Age of onset</w:t>
      </w:r>
    </w:p>
    <w:p>
      <w:pPr>
        <w:pStyle w:val="BodyText"/>
        <w:spacing w:before="128"/>
        <w:ind w:left="116"/>
      </w:pPr>
      <w:r>
        <w:rPr/>
        <w:t>Initial symptom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9"/>
        <w:ind w:left="116"/>
      </w:pPr>
      <w:r>
        <w:rPr/>
        <w:t>Other symptoms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line="640" w:lineRule="auto" w:before="0"/>
        <w:ind w:left="116" w:right="28852" w:firstLine="0"/>
        <w:jc w:val="left"/>
        <w:rPr>
          <w:sz w:val="16"/>
        </w:rPr>
      </w:pPr>
      <w:r>
        <w:rPr>
          <w:b/>
          <w:sz w:val="16"/>
        </w:rPr>
        <w:t>Laboratory </w:t>
      </w:r>
      <w:r>
        <w:rPr>
          <w:sz w:val="16"/>
        </w:rPr>
        <w:t>AST (IU/L) ALT (IU/L) ALP (IU/L) GGT (IU/L)</w:t>
      </w:r>
    </w:p>
    <w:p>
      <w:pPr>
        <w:pStyle w:val="BodyText"/>
        <w:spacing w:line="183" w:lineRule="exact"/>
        <w:ind w:left="116"/>
      </w:pPr>
      <w:r>
        <w:rPr/>
        <w:t>Total Bilrubin (mg/dL)</w: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spacing w:line="271" w:lineRule="auto" w:before="1"/>
        <w:ind w:left="116" w:right="28484"/>
      </w:pPr>
      <w:r>
        <w:rPr/>
        <w:t>Direct </w:t>
      </w:r>
      <w:r>
        <w:rPr>
          <w:spacing w:val="-6"/>
        </w:rPr>
        <w:t>Bilirubin </w:t>
      </w:r>
      <w:r>
        <w:rPr/>
        <w:t>(mg/dL)</w:t>
      </w:r>
    </w:p>
    <w:p>
      <w:pPr>
        <w:pStyle w:val="BodyText"/>
        <w:spacing w:line="271" w:lineRule="auto" w:before="76"/>
        <w:ind w:left="116" w:right="28226"/>
      </w:pPr>
      <w:r>
        <w:rPr/>
        <w:t>Serum </w:t>
      </w:r>
      <w:r>
        <w:rPr>
          <w:spacing w:val="-4"/>
        </w:rPr>
        <w:t>bile </w:t>
      </w:r>
      <w:r>
        <w:rPr/>
        <w:t>acid </w:t>
      </w:r>
      <w:r>
        <w:rPr>
          <w:spacing w:val="-5"/>
        </w:rPr>
        <w:t>levels </w:t>
      </w:r>
      <w:r>
        <w:rPr/>
        <w:t>(umol/L)</w:t>
      </w:r>
    </w:p>
    <w:p>
      <w:pPr>
        <w:pStyle w:val="Heading1"/>
        <w:spacing w:before="153"/>
      </w:pPr>
      <w:r>
        <w:rPr/>
        <w:t>Abdomen USG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spacing w:before="0"/>
        <w:ind w:left="116" w:right="0" w:firstLine="0"/>
        <w:jc w:val="left"/>
        <w:rPr>
          <w:b/>
          <w:sz w:val="16"/>
        </w:rPr>
      </w:pPr>
      <w:r>
        <w:rPr>
          <w:b/>
          <w:sz w:val="16"/>
        </w:rPr>
        <w:t>Liver Biopsy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5"/>
        <w:rPr>
          <w:b/>
        </w:rPr>
      </w:pPr>
    </w:p>
    <w:p>
      <w:pPr>
        <w:spacing w:before="0"/>
        <w:ind w:left="116" w:right="0" w:firstLine="0"/>
        <w:jc w:val="left"/>
        <w:rPr>
          <w:b/>
          <w:sz w:val="16"/>
        </w:rPr>
      </w:pPr>
      <w:r>
        <w:rPr>
          <w:b/>
          <w:sz w:val="16"/>
        </w:rPr>
        <w:t>Hearing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before="0"/>
        <w:ind w:left="116" w:right="0" w:firstLine="0"/>
        <w:jc w:val="left"/>
        <w:rPr>
          <w:b/>
          <w:sz w:val="16"/>
        </w:rPr>
      </w:pPr>
      <w:r>
        <w:rPr>
          <w:b/>
          <w:sz w:val="16"/>
        </w:rPr>
        <w:t>Treatment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3"/>
        <w:rPr>
          <w:b/>
          <w:sz w:val="22"/>
        </w:rPr>
      </w:pPr>
    </w:p>
    <w:p>
      <w:pPr>
        <w:spacing w:line="271" w:lineRule="auto" w:before="0"/>
        <w:ind w:left="116" w:right="28226" w:firstLine="0"/>
        <w:jc w:val="left"/>
        <w:rPr>
          <w:b/>
          <w:sz w:val="16"/>
        </w:rPr>
      </w:pPr>
      <w:r>
        <w:rPr>
          <w:b/>
          <w:sz w:val="16"/>
        </w:rPr>
        <w:t>Situation of after the treatment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spacing w:line="640" w:lineRule="auto" w:before="1"/>
        <w:ind w:left="116" w:right="28297" w:firstLine="0"/>
        <w:jc w:val="left"/>
        <w:rPr>
          <w:sz w:val="16"/>
        </w:rPr>
      </w:pPr>
      <w:r>
        <w:rPr>
          <w:b/>
          <w:sz w:val="16"/>
        </w:rPr>
        <w:t>USP53 (Transcript) </w:t>
      </w:r>
      <w:r>
        <w:rPr>
          <w:sz w:val="16"/>
        </w:rPr>
        <w:t>Nucleotide change Protein change Variant type</w:t>
      </w:r>
    </w:p>
    <w:p>
      <w:pPr>
        <w:pStyle w:val="BodyText"/>
        <w:spacing w:line="183" w:lineRule="exact"/>
        <w:ind w:left="116"/>
      </w:pPr>
      <w:r>
        <w:rPr/>
        <w:t>ACMG classification</w:t>
      </w:r>
    </w:p>
    <w:sectPr>
      <w:pgSz w:w="31660" w:h="22390" w:orient="landscape"/>
      <w:pgMar w:top="1920" w:bottom="280" w:left="56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Times New Roman" w:hAnsi="Times New Roman" w:eastAsia="Times New Roman" w:cs="Times New Roman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dcterms:created xsi:type="dcterms:W3CDTF">2021-07-28T13:24:58Z</dcterms:created>
  <dcterms:modified xsi:type="dcterms:W3CDTF">2021-07-28T13:24:58Z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2021-07-28T00:00:00Z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2021-07-28T00:00:00Z</vt:filetime>
  </property>
</Properties>
</file>