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7E015" w14:textId="77777777" w:rsidR="00CD1621" w:rsidRDefault="00000000">
      <w:pPr>
        <w:spacing w:before="120" w:after="0" w:line="240" w:lineRule="auto"/>
        <w:rPr>
          <w:lang w:val="en-GB"/>
        </w:rPr>
      </w:pPr>
      <w:bookmarkStart w:id="0" w:name="_Hlk152596797"/>
      <w:bookmarkEnd w:id="0"/>
      <w:r>
        <w:rPr>
          <w:rFonts w:ascii="Arial" w:eastAsia="Arial" w:hAnsi="Arial" w:cs="Arial"/>
          <w:b/>
          <w:bCs/>
          <w:sz w:val="32"/>
          <w:szCs w:val="32"/>
          <w:lang w:val="en-GB"/>
        </w:rPr>
        <w:t>SUPPLEMENTS</w:t>
      </w:r>
    </w:p>
    <w:p w14:paraId="05EC66D1" w14:textId="77777777" w:rsidR="00CD1621" w:rsidRDefault="00CD1621">
      <w:pPr>
        <w:pStyle w:val="Level2"/>
        <w:spacing w:before="120" w:after="0" w:line="240" w:lineRule="auto"/>
        <w:rPr>
          <w:lang w:val="en-GB"/>
        </w:rPr>
      </w:pPr>
    </w:p>
    <w:p w14:paraId="59310397" w14:textId="77777777" w:rsidR="00CD1621" w:rsidRDefault="00000000">
      <w:pPr>
        <w:pStyle w:val="Level2"/>
        <w:spacing w:before="120" w:after="0" w:line="240" w:lineRule="auto"/>
        <w:rPr>
          <w:lang w:val="en-GB"/>
        </w:rPr>
      </w:pPr>
      <w:r>
        <w:rPr>
          <w:sz w:val="28"/>
          <w:szCs w:val="28"/>
          <w:lang w:val="en-GB"/>
        </w:rPr>
        <w:t>1 Univariable and multivariable analysis</w:t>
      </w:r>
    </w:p>
    <w:p w14:paraId="4863A361" w14:textId="77777777" w:rsidR="00CD1621" w:rsidRDefault="00000000">
      <w:pPr>
        <w:spacing w:before="120" w:after="120" w:line="480" w:lineRule="auto"/>
        <w:jc w:val="both"/>
        <w:rPr>
          <w:lang w:val="en-GB"/>
        </w:rPr>
      </w:pPr>
      <w:r>
        <w:rPr>
          <w:rFonts w:ascii="Arial" w:hAnsi="Arial" w:cs="Arial"/>
          <w:sz w:val="24"/>
          <w:szCs w:val="24"/>
          <w:lang w:val="en-GB"/>
        </w:rPr>
        <w:t>For univariable and multivariable logistic regression modelling, the whole cohort was used as no microbiome data was included, excluding participants with no data on gestational week of birth, had induced PTB, or answered the first questionnaire before gestational week 4 or after gestational week 20. The logistic regression modelling was repeated on the case-control cohort for comparison of risk factors.</w:t>
      </w:r>
    </w:p>
    <w:p w14:paraId="317F8CD1" w14:textId="77777777" w:rsidR="00CD1621" w:rsidRDefault="00000000">
      <w:pPr>
        <w:spacing w:before="120" w:after="120" w:line="480" w:lineRule="auto"/>
        <w:jc w:val="both"/>
        <w:rPr>
          <w:lang w:val="en-GB"/>
        </w:rPr>
      </w:pPr>
      <w:r>
        <w:rPr>
          <w:rFonts w:ascii="Arial" w:hAnsi="Arial" w:cs="Arial"/>
          <w:sz w:val="24"/>
          <w:szCs w:val="24"/>
          <w:lang w:val="en-GB"/>
        </w:rPr>
        <w:t xml:space="preserve">A stepwise approach was used to make a prediction model to assess the association between the different covariates on the risk of sPTB, using the term group (&gt;38 weeks) as reference. First, we looked at the overall group of sPTB using a univariable logistic regression model. The univariable analysis included known risk factors for sPTB from literature </w:t>
      </w:r>
      <w:r>
        <w:fldChar w:fldCharType="begin"/>
      </w:r>
      <w:r>
        <w:rPr>
          <w:rFonts w:ascii="Arial" w:hAnsi="Arial" w:cs="Arial"/>
          <w:sz w:val="24"/>
          <w:szCs w:val="24"/>
          <w:lang w:val="en-GB"/>
        </w:rPr>
        <w:instrText>ADDIN EN.CITE</w:instrText>
      </w:r>
      <w:r>
        <w:fldChar w:fldCharType="begin"/>
      </w:r>
      <w:r>
        <w:rPr>
          <w:rFonts w:ascii="Arial" w:hAnsi="Arial" w:cs="Arial"/>
          <w:sz w:val="24"/>
          <w:szCs w:val="24"/>
          <w:lang w:val="en-GB"/>
        </w:rPr>
        <w:instrText>ADDIN EN.CITE.DATA</w:instrText>
      </w:r>
      <w:r>
        <w:rPr>
          <w:rFonts w:ascii="Arial" w:hAnsi="Arial" w:cs="Arial"/>
          <w:sz w:val="24"/>
          <w:szCs w:val="24"/>
          <w:lang w:val="en-GB"/>
        </w:rPr>
        <w:fldChar w:fldCharType="separate"/>
      </w:r>
      <w:r>
        <w:rPr>
          <w:rFonts w:ascii="Arial" w:hAnsi="Arial" w:cs="Arial"/>
          <w:sz w:val="24"/>
          <w:szCs w:val="24"/>
          <w:lang w:val="en-GB"/>
        </w:rPr>
        <w:fldChar w:fldCharType="end"/>
      </w:r>
      <w:r>
        <w:rPr>
          <w:rFonts w:ascii="Arial" w:hAnsi="Arial" w:cs="Arial"/>
          <w:sz w:val="24"/>
          <w:szCs w:val="24"/>
          <w:lang w:val="en-GB"/>
        </w:rPr>
        <w:fldChar w:fldCharType="separate"/>
      </w:r>
      <w:r>
        <w:rPr>
          <w:rFonts w:ascii="Arial" w:hAnsi="Arial" w:cs="Arial"/>
          <w:sz w:val="24"/>
          <w:szCs w:val="24"/>
          <w:lang w:val="en-GB"/>
        </w:rPr>
        <w:t>[1-5]</w:t>
      </w:r>
      <w:r>
        <w:rPr>
          <w:rFonts w:ascii="Arial" w:hAnsi="Arial" w:cs="Arial"/>
          <w:sz w:val="24"/>
          <w:szCs w:val="24"/>
          <w:lang w:val="en-GB"/>
        </w:rPr>
        <w:fldChar w:fldCharType="end"/>
      </w:r>
      <w:r>
        <w:rPr>
          <w:rFonts w:ascii="Arial" w:hAnsi="Arial" w:cs="Arial"/>
          <w:sz w:val="24"/>
          <w:szCs w:val="24"/>
          <w:lang w:val="en-GB"/>
        </w:rPr>
        <w:t xml:space="preserve">; age (as groups), BMI (as groups), parity (primiparous or multiparous), family status (single or in a relationship), depression (continuous as scored on EPDS scale </w:t>
      </w:r>
      <w:r>
        <w:fldChar w:fldCharType="begin"/>
      </w:r>
      <w:r>
        <w:rPr>
          <w:rFonts w:ascii="Arial" w:hAnsi="Arial" w:cs="Arial"/>
          <w:sz w:val="24"/>
          <w:szCs w:val="24"/>
          <w:lang w:val="en-GB"/>
        </w:rPr>
        <w:instrText>ADDIN EN.CITE &lt;EndNote&gt;&lt;Cite&gt;&lt;Author&gt;Cox&lt;/Author&gt;&lt;Year&gt;1987&lt;/Year&gt;&lt;RecNum&gt;6&lt;/RecNum&gt;&lt;DisplayText&gt;[6]&lt;/DisplayText&gt;&lt;record&gt;&lt;rec-number&gt;6&lt;/rec-number&gt;&lt;foreign-keys&gt;&lt;key app="EN" db-id="2dxts0rpc0as9ve2ee855p2m9fafsrrzee9d" timestamp="1724672869"&gt;6&lt;/key&gt;&lt;/foreign-keys&gt;&lt;ref-type name="Journal Article"&gt;17&lt;/ref-type&gt;&lt;contributors&gt;&lt;authors&gt;&lt;author&gt;Cox, J. L.&lt;/author&gt;&lt;author&gt;Holden, J. M.&lt;/author&gt;&lt;author&gt;Sagovsky, R.&lt;/author&gt;&lt;/authors&gt;&lt;/contributors&gt;&lt;auth-address&gt;Department of Postgraduate Medicine, University of Keele, Stoke-on-Trent, Staffs.&lt;/auth-address&gt;&lt;titles&gt;&lt;title&gt;Detection of postnatal depression. Development of the 10-item Edinburgh Postnatal Depression Scale&lt;/title&gt;&lt;secondary-title&gt;Br J Psychiatry&lt;/secondary-title&gt;&lt;/titles&gt;&lt;periodical&gt;&lt;full-title&gt;Br J Psychiatry&lt;/full-title&gt;&lt;/periodical&gt;&lt;pages&gt;782-6&lt;/pages&gt;&lt;volume&gt;150&lt;/volume&gt;&lt;edition&gt;1987/06/01&lt;/edition&gt;&lt;keywords&gt;&lt;keyword&gt;Adult&lt;/keyword&gt;&lt;keyword&gt;Depressive Disorder/*diagnosis&lt;/keyword&gt;&lt;keyword&gt;Female&lt;/keyword&gt;&lt;keyword&gt;Humans&lt;/keyword&gt;&lt;keyword&gt;Pregnancy&lt;/keyword&gt;&lt;keyword&gt;*Psychiatric Status Rating Scales&lt;/keyword&gt;&lt;keyword&gt;Puerperal Disorders/*diagnosis&lt;/keyword&gt;&lt;/keywords&gt;&lt;dates&gt;&lt;year&gt;1987&lt;/year&gt;&lt;pub-dates&gt;&lt;date&gt;Jun&lt;/date&gt;&lt;/pub-dates&gt;&lt;/dates&gt;&lt;isbn&gt;0007-1250 (Print)&amp;#xD;0007-1250 (Linking)&lt;/isbn&gt;&lt;accession-num&gt;3651732&lt;/accession-num&gt;&lt;urls&gt;&lt;related-urls&gt;&lt;url&gt;https://www.ncbi.nlm.nih.gov/pubmed/3651732&lt;/url&gt;&lt;/related-urls&gt;&lt;/urls&gt;&lt;electronic-resource-num&gt;10.1192/bjp.150.6.782&lt;/electronic-resource-num&gt;&lt;/record&gt;&lt;/Cite&gt;&lt;/EndNote&gt;</w:instrText>
      </w:r>
      <w:r>
        <w:rPr>
          <w:rFonts w:ascii="Arial" w:hAnsi="Arial" w:cs="Arial"/>
          <w:sz w:val="24"/>
          <w:szCs w:val="24"/>
          <w:lang w:val="en-GB"/>
        </w:rPr>
        <w:fldChar w:fldCharType="separate"/>
      </w:r>
      <w:r>
        <w:rPr>
          <w:rFonts w:ascii="Arial" w:hAnsi="Arial" w:cs="Arial"/>
          <w:sz w:val="24"/>
          <w:szCs w:val="24"/>
          <w:lang w:val="en-GB"/>
        </w:rPr>
        <w:t>[6]</w:t>
      </w:r>
      <w:r>
        <w:rPr>
          <w:rFonts w:ascii="Arial" w:hAnsi="Arial" w:cs="Arial"/>
          <w:sz w:val="24"/>
          <w:szCs w:val="24"/>
          <w:lang w:val="en-GB"/>
        </w:rPr>
        <w:fldChar w:fldCharType="end"/>
      </w:r>
      <w:r>
        <w:rPr>
          <w:rFonts w:ascii="Arial" w:hAnsi="Arial" w:cs="Arial"/>
          <w:sz w:val="24"/>
          <w:szCs w:val="24"/>
          <w:lang w:val="en-GB"/>
        </w:rPr>
        <w:t xml:space="preserve">), stress (continuous as scored on perceived stress scale </w:t>
      </w:r>
      <w:r>
        <w:fldChar w:fldCharType="begin"/>
      </w:r>
      <w:r>
        <w:rPr>
          <w:rFonts w:ascii="Arial" w:hAnsi="Arial" w:cs="Arial"/>
          <w:sz w:val="24"/>
          <w:szCs w:val="24"/>
          <w:lang w:val="en-GB"/>
        </w:rPr>
        <w:instrText>ADDIN EN.CITE &lt;EndNote&gt;&lt;Cite&gt;&lt;Author&gt;Cohen&lt;/Author&gt;&lt;Year&gt;1983&lt;/Year&gt;&lt;RecNum&gt;5&lt;/RecNum&gt;&lt;DisplayText&gt;[7]&lt;/DisplayText&gt;&lt;record&gt;&lt;rec-number&gt;5&lt;/rec-number&gt;&lt;foreign-keys&gt;&lt;key app="EN" db-id="2dxts0rpc0as9ve2ee855p2m9fafsrrzee9d" timestamp="1724672869"&gt;5&lt;/key&gt;&lt;/foreign-keys&gt;&lt;ref-type name="Journal Article"&gt;17&lt;/ref-type&gt;&lt;contributors&gt;&lt;authors&gt;&lt;author&gt;Cohen, S.&lt;/author&gt;&lt;author&gt;Kamarck, T.&lt;/author&gt;&lt;author&gt;Mermelstein, R.&lt;/author&gt;&lt;/authors&gt;&lt;/contributors&gt;&lt;titles&gt;&lt;title&gt;A global measure of perceived stress&lt;/title&gt;&lt;secondary-title&gt;J Health Soc Behav&lt;/secondary-title&gt;&lt;/titles&gt;&lt;periodical&gt;&lt;full-title&gt;J Health Soc Behav&lt;/full-title&gt;&lt;/periodical&gt;&lt;pages&gt;385-96&lt;/pages&gt;&lt;volume&gt;24&lt;/volume&gt;&lt;number&gt;4&lt;/number&gt;&lt;edition&gt;1983/12/01&lt;/edition&gt;&lt;keywords&gt;&lt;keyword&gt;Adult&lt;/keyword&gt;&lt;keyword&gt;Affective Symptoms/psychology&lt;/keyword&gt;&lt;keyword&gt;Female&lt;/keyword&gt;&lt;keyword&gt;Humans&lt;/keyword&gt;&lt;keyword&gt;Life Change Events&lt;/keyword&gt;&lt;keyword&gt;Male&lt;/keyword&gt;&lt;keyword&gt;Psychometrics&lt;/keyword&gt;&lt;keyword&gt;Stress, Psychological/*diagnosis&lt;/keyword&gt;&lt;keyword&gt;Students/psychology&lt;/keyword&gt;&lt;keyword&gt;Tobacco Use Disorder/psychology&lt;/keyword&gt;&lt;/keywords&gt;&lt;dates&gt;&lt;year&gt;1983&lt;/year&gt;&lt;pub-dates&gt;&lt;date&gt;Dec&lt;/date&gt;&lt;/pub-dates&gt;&lt;/dates&gt;&lt;isbn&gt;0022-1465 (Print)&amp;#xD;0022-1465 (Linking)&lt;/isbn&gt;&lt;accession-num&gt;6668417&lt;/accession-num&gt;&lt;urls&gt;&lt;related-urls&gt;&lt;url&gt;https://www.ncbi.nlm.nih.gov/pubmed/6668417&lt;/url&gt;&lt;/related-urls&gt;&lt;/urls&gt;&lt;/record&gt;&lt;/Cite&gt;&lt;/EndNote&gt;</w:instrText>
      </w:r>
      <w:r>
        <w:rPr>
          <w:rFonts w:ascii="Arial" w:hAnsi="Arial" w:cs="Arial"/>
          <w:sz w:val="24"/>
          <w:szCs w:val="24"/>
          <w:lang w:val="en-GB"/>
        </w:rPr>
        <w:fldChar w:fldCharType="separate"/>
      </w:r>
      <w:r>
        <w:rPr>
          <w:rFonts w:ascii="Arial" w:hAnsi="Arial" w:cs="Arial"/>
          <w:sz w:val="24"/>
          <w:szCs w:val="24"/>
          <w:lang w:val="en-GB"/>
        </w:rPr>
        <w:t>[7]</w:t>
      </w:r>
      <w:r>
        <w:rPr>
          <w:rFonts w:ascii="Arial" w:hAnsi="Arial" w:cs="Arial"/>
          <w:sz w:val="24"/>
          <w:szCs w:val="24"/>
          <w:lang w:val="en-GB"/>
        </w:rPr>
        <w:fldChar w:fldCharType="end"/>
      </w:r>
      <w:r>
        <w:rPr>
          <w:rFonts w:ascii="Arial" w:hAnsi="Arial" w:cs="Arial"/>
          <w:sz w:val="24"/>
          <w:szCs w:val="24"/>
          <w:lang w:val="en-GB"/>
        </w:rPr>
        <w:t xml:space="preserve">), socioeconomic status (high socioeconomic status if any two of the following: university degree, in a relationship, working full time), current smoking (yes or no), previous </w:t>
      </w:r>
      <w:r>
        <w:rPr>
          <w:rFonts w:ascii="Arial" w:eastAsia="Arial" w:hAnsi="Arial" w:cs="Arial"/>
          <w:sz w:val="24"/>
          <w:szCs w:val="24"/>
          <w:lang w:val="en-GB"/>
        </w:rPr>
        <w:t>PTB</w:t>
      </w:r>
      <w:r>
        <w:rPr>
          <w:rFonts w:ascii="Arial" w:hAnsi="Arial" w:cs="Arial"/>
          <w:sz w:val="24"/>
          <w:szCs w:val="24"/>
          <w:lang w:val="en-GB"/>
        </w:rPr>
        <w:t xml:space="preserve">, previous recurrent pregnancy loss, previous intrauterine fetal demise (IUFD), subfertility (taking more than 12 months to conceive), use of assisted reproductive technologies, gynaecological infections in the last 3 months, non-gestational diabetes and hypertension. Furthermore, some prescribed and over-the-counter medications that are known to affect the microbiome negatively were included; antibiotics, gastrointestinal drugs (such as proton pump inhibitors and laxatives), neurological drugs (sedatives, sleep medication and antidepressants), antihistamines and allergy medication </w:t>
      </w:r>
      <w:r>
        <w:fldChar w:fldCharType="begin"/>
      </w:r>
      <w:r>
        <w:rPr>
          <w:rFonts w:ascii="Arial" w:hAnsi="Arial" w:cs="Arial"/>
          <w:sz w:val="24"/>
          <w:szCs w:val="24"/>
          <w:lang w:val="en-GB"/>
        </w:rPr>
        <w:instrText>ADDIN EN.CITE &lt;EndNote&gt;&lt;Cite&gt;&lt;Author&gt;Brusselaers&lt;/Author&gt;&lt;Year&gt;2019&lt;/Year&gt;&lt;RecNum&gt;3&lt;/RecNum&gt;&lt;DisplayText&gt;[8]&lt;/DisplayText&gt;&lt;record&gt;&lt;rec-number&gt;3&lt;/rec-number&gt;&lt;foreign-keys&gt;&lt;key app="EN" db-id="2dxts0rpc0as9ve2ee855p2m9fafsrrzee9d" timestamp="1724672869"&gt;3&lt;/key&gt;&lt;/foreign-keys&gt;&lt;ref-type name="Journal Article"&gt;17&lt;/ref-type&gt;&lt;contributors&gt;&lt;authors&gt;&lt;author&gt;Brusselaers, N.&lt;/author&gt;&lt;/authors&gt;&lt;/contributors&gt;&lt;auth-address&gt;Centre for Translational Microbiome Research, Department of Microbiology, Tumor and Cell Biology, Karolinska Institutet, Visionsgatan 4, Stockholm 17177, Sweden; Science for Life Laboratory, Tomtebodavagen 23a, Stockholm 171 65, Sweden. Electronic address: nele.brusselaers@ki.se.&lt;/auth-address&gt;&lt;titles&gt;&lt;title&gt;Prescribed Drugs and the Microbiome&lt;/title&gt;&lt;secondary-title&gt;Gastroenterol Clin North Am&lt;/secondary-title&gt;&lt;/titles&gt;&lt;periodical&gt;&lt;full-title&gt;Gastroenterol Clin North Am&lt;/full-title&gt;&lt;/periodical&gt;&lt;pages&gt;331-342&lt;/pages&gt;&lt;volume&gt;48&lt;/volume&gt;&lt;number&gt;3&lt;/number&gt;&lt;edition&gt;2019/08/07&lt;/edition&gt;&lt;keywords&gt;&lt;keyword&gt;Humans&lt;/keyword&gt;&lt;keyword&gt;Microbiota/*drug effects&lt;/keyword&gt;&lt;keyword&gt;Prescription Drugs/metabolism/*pharmacology&lt;/keyword&gt;&lt;keyword&gt;Medication&lt;/keyword&gt;&lt;keyword&gt;Microbiome&lt;/keyword&gt;&lt;keyword&gt;Pharmacomicrobiomics&lt;/keyword&gt;&lt;keyword&gt;Prescribed drug use&lt;/keyword&gt;&lt;keyword&gt;Prescribing&lt;/keyword&gt;&lt;keyword&gt;Translational&lt;/keyword&gt;&lt;/keywords&gt;&lt;dates&gt;&lt;year&gt;2019&lt;/year&gt;&lt;pub-dates&gt;&lt;date&gt;Sep&lt;/date&gt;&lt;/pub-dates&gt;&lt;/dates&gt;&lt;isbn&gt;1558-1942 (Electronic)&amp;#xD;0889-8553 (Linking)&lt;/isbn&gt;&lt;accession-num&gt;31383274&lt;/accession-num&gt;&lt;urls&gt;&lt;related-urls&gt;&lt;url&gt;https://www.ncbi.nlm.nih.gov/pubmed/31383274&lt;/url&gt;&lt;/related-urls&gt;&lt;/urls&gt;&lt;electronic-resource-num&gt;10.1016/j.gtc.2019.04.002&lt;/electronic-resource-num&gt;&lt;/record&gt;&lt;/Cite&gt;&lt;/EndNote&gt;</w:instrText>
      </w:r>
      <w:r>
        <w:rPr>
          <w:rFonts w:ascii="Arial" w:hAnsi="Arial" w:cs="Arial"/>
          <w:sz w:val="24"/>
          <w:szCs w:val="24"/>
          <w:lang w:val="en-GB"/>
        </w:rPr>
        <w:fldChar w:fldCharType="separate"/>
      </w:r>
      <w:r>
        <w:rPr>
          <w:rFonts w:ascii="Arial" w:hAnsi="Arial" w:cs="Arial"/>
          <w:sz w:val="24"/>
          <w:szCs w:val="24"/>
          <w:lang w:val="en-GB"/>
        </w:rPr>
        <w:t>[8]</w:t>
      </w:r>
      <w:r>
        <w:rPr>
          <w:rFonts w:ascii="Arial" w:hAnsi="Arial" w:cs="Arial"/>
          <w:sz w:val="24"/>
          <w:szCs w:val="24"/>
          <w:lang w:val="en-GB"/>
        </w:rPr>
        <w:fldChar w:fldCharType="end"/>
      </w:r>
      <w:r>
        <w:rPr>
          <w:rFonts w:ascii="Arial" w:hAnsi="Arial" w:cs="Arial"/>
          <w:sz w:val="24"/>
          <w:szCs w:val="24"/>
          <w:lang w:val="en-GB"/>
        </w:rPr>
        <w:t>.</w:t>
      </w:r>
    </w:p>
    <w:p w14:paraId="0549F9D5" w14:textId="77777777" w:rsidR="00CD1621" w:rsidRDefault="00000000">
      <w:pPr>
        <w:spacing w:before="120" w:after="120" w:line="480" w:lineRule="auto"/>
        <w:jc w:val="both"/>
        <w:rPr>
          <w:lang w:val="en-GB"/>
        </w:rPr>
      </w:pPr>
      <w:r>
        <w:rPr>
          <w:rFonts w:ascii="Arial" w:hAnsi="Arial" w:cs="Arial"/>
          <w:sz w:val="24"/>
          <w:szCs w:val="24"/>
          <w:lang w:val="en-GB"/>
        </w:rPr>
        <w:lastRenderedPageBreak/>
        <w:t>Those variables with a p-value &lt;0.10 were selected for inclusion in the multivariable model. The model was additionally adjusted for preselected variables; maternal age, maternal BMI, family status (single or cohabiting), gestational week of answering the first questionnaire, and if it was before or after arrival of the COVID-19 pandemic to Sweden (defined as March 1</w:t>
      </w:r>
      <w:r>
        <w:rPr>
          <w:rFonts w:ascii="Arial" w:hAnsi="Arial" w:cs="Arial"/>
          <w:sz w:val="24"/>
          <w:szCs w:val="24"/>
          <w:vertAlign w:val="superscript"/>
          <w:lang w:val="en-GB"/>
        </w:rPr>
        <w:t>st,</w:t>
      </w:r>
      <w:r>
        <w:rPr>
          <w:rFonts w:ascii="Arial" w:hAnsi="Arial" w:cs="Arial"/>
          <w:sz w:val="24"/>
          <w:szCs w:val="24"/>
          <w:lang w:val="en-GB"/>
        </w:rPr>
        <w:t xml:space="preserve"> 2020). Descriptive statistical analyses were performed in R in Jupyter notebook v7.0.4.</w:t>
      </w:r>
    </w:p>
    <w:p w14:paraId="020213EF" w14:textId="77777777" w:rsidR="00CD1621" w:rsidRDefault="00000000">
      <w:pPr>
        <w:spacing w:before="120" w:after="120" w:line="276" w:lineRule="auto"/>
        <w:jc w:val="both"/>
        <w:rPr>
          <w:lang w:val="en-GB"/>
        </w:rPr>
      </w:pPr>
      <w:r>
        <w:rPr>
          <w:rFonts w:ascii="Arial" w:hAnsi="Arial" w:cs="Arial"/>
          <w:i/>
          <w:iCs/>
          <w:lang w:val="en-GB"/>
        </w:rPr>
        <w:t>Table S1. Univariable analysis for the entire cohort and for the case-control subset using variables from questionnaires answered prior to week 20 of gestation. Variables with a p-value &lt;0.1 were kept in the multivariable analysis and are highlighted in bold.</w:t>
      </w:r>
    </w:p>
    <w:tbl>
      <w:tblPr>
        <w:tblW w:w="9060" w:type="dxa"/>
        <w:tblLayout w:type="fixed"/>
        <w:tblCellMar>
          <w:top w:w="15" w:type="dxa"/>
          <w:left w:w="15" w:type="dxa"/>
          <w:right w:w="15" w:type="dxa"/>
        </w:tblCellMar>
        <w:tblLook w:val="06A0" w:firstRow="1" w:lastRow="0" w:firstColumn="1" w:lastColumn="0" w:noHBand="1" w:noVBand="1"/>
      </w:tblPr>
      <w:tblGrid>
        <w:gridCol w:w="3469"/>
        <w:gridCol w:w="1379"/>
        <w:gridCol w:w="1127"/>
        <w:gridCol w:w="1436"/>
        <w:gridCol w:w="1649"/>
      </w:tblGrid>
      <w:tr w:rsidR="00CD1621" w14:paraId="14F6F129" w14:textId="77777777">
        <w:trPr>
          <w:trHeight w:val="705"/>
        </w:trPr>
        <w:tc>
          <w:tcPr>
            <w:tcW w:w="3469" w:type="dxa"/>
            <w:vAlign w:val="bottom"/>
          </w:tcPr>
          <w:p w14:paraId="24C36A1A" w14:textId="77777777" w:rsidR="00CD1621" w:rsidRDefault="00CD1621">
            <w:pPr>
              <w:widowControl w:val="0"/>
              <w:spacing w:before="120" w:after="120" w:line="240" w:lineRule="auto"/>
              <w:jc w:val="both"/>
              <w:rPr>
                <w:rFonts w:ascii="Arial" w:hAnsi="Arial" w:cs="Arial"/>
                <w:sz w:val="18"/>
                <w:szCs w:val="18"/>
                <w:lang w:val="en-GB"/>
              </w:rPr>
            </w:pPr>
          </w:p>
        </w:tc>
        <w:tc>
          <w:tcPr>
            <w:tcW w:w="2506" w:type="dxa"/>
            <w:gridSpan w:val="2"/>
            <w:vAlign w:val="center"/>
          </w:tcPr>
          <w:p w14:paraId="77CA3CB7" w14:textId="77777777" w:rsidR="00CD1621" w:rsidRDefault="00000000">
            <w:pPr>
              <w:widowControl w:val="0"/>
              <w:spacing w:before="120" w:after="120" w:line="240" w:lineRule="auto"/>
              <w:jc w:val="center"/>
              <w:rPr>
                <w:lang w:val="en-GB"/>
              </w:rPr>
            </w:pPr>
            <w:r>
              <w:rPr>
                <w:rFonts w:ascii="Arial" w:eastAsia="Calibri" w:hAnsi="Arial" w:cs="Arial"/>
                <w:b/>
                <w:bCs/>
                <w:color w:val="000000" w:themeColor="text1"/>
                <w:sz w:val="18"/>
                <w:szCs w:val="18"/>
                <w:lang w:val="en-GB"/>
              </w:rPr>
              <w:t>Univariable (n=3483)</w:t>
            </w:r>
          </w:p>
        </w:tc>
        <w:tc>
          <w:tcPr>
            <w:tcW w:w="3085" w:type="dxa"/>
            <w:gridSpan w:val="2"/>
            <w:vAlign w:val="center"/>
          </w:tcPr>
          <w:p w14:paraId="24881E16" w14:textId="77777777" w:rsidR="00CD1621" w:rsidRDefault="00000000">
            <w:pPr>
              <w:widowControl w:val="0"/>
              <w:spacing w:before="120" w:after="120" w:line="240" w:lineRule="auto"/>
              <w:jc w:val="center"/>
              <w:rPr>
                <w:lang w:val="en-GB"/>
              </w:rPr>
            </w:pPr>
            <w:r>
              <w:rPr>
                <w:rFonts w:ascii="Arial" w:eastAsia="Calibri" w:hAnsi="Arial" w:cs="Arial"/>
                <w:b/>
                <w:bCs/>
                <w:color w:val="000000" w:themeColor="text1"/>
                <w:sz w:val="18"/>
                <w:szCs w:val="18"/>
                <w:lang w:val="en-GB"/>
              </w:rPr>
              <w:t xml:space="preserve">Univariable </w:t>
            </w:r>
            <w:r>
              <w:rPr>
                <w:lang w:val="en-GB"/>
              </w:rPr>
              <w:br/>
            </w:r>
            <w:r>
              <w:rPr>
                <w:rFonts w:ascii="Arial" w:eastAsia="Calibri" w:hAnsi="Arial" w:cs="Arial"/>
                <w:b/>
                <w:bCs/>
                <w:color w:val="000000" w:themeColor="text1"/>
                <w:sz w:val="18"/>
                <w:szCs w:val="18"/>
                <w:lang w:val="en-GB"/>
              </w:rPr>
              <w:t>Cases and matched controls (n=396)</w:t>
            </w:r>
          </w:p>
        </w:tc>
      </w:tr>
      <w:tr w:rsidR="00CD1621" w14:paraId="2A5E0910" w14:textId="77777777">
        <w:trPr>
          <w:trHeight w:val="300"/>
        </w:trPr>
        <w:tc>
          <w:tcPr>
            <w:tcW w:w="3469" w:type="dxa"/>
            <w:vAlign w:val="bottom"/>
          </w:tcPr>
          <w:p w14:paraId="608E6A17" w14:textId="77777777" w:rsidR="00CD1621" w:rsidRDefault="00CD1621">
            <w:pPr>
              <w:widowControl w:val="0"/>
              <w:spacing w:before="120" w:after="120" w:line="240" w:lineRule="auto"/>
              <w:jc w:val="both"/>
              <w:rPr>
                <w:rFonts w:ascii="Arial" w:hAnsi="Arial" w:cs="Arial"/>
                <w:sz w:val="18"/>
                <w:szCs w:val="18"/>
                <w:lang w:val="en-GB"/>
              </w:rPr>
            </w:pPr>
          </w:p>
        </w:tc>
        <w:tc>
          <w:tcPr>
            <w:tcW w:w="1379" w:type="dxa"/>
            <w:vAlign w:val="center"/>
          </w:tcPr>
          <w:p w14:paraId="5288D709" w14:textId="77777777" w:rsidR="00CD1621" w:rsidRDefault="00000000">
            <w:pPr>
              <w:widowControl w:val="0"/>
              <w:spacing w:before="120" w:after="120" w:line="240" w:lineRule="auto"/>
              <w:jc w:val="center"/>
              <w:rPr>
                <w:lang w:val="en-GB"/>
              </w:rPr>
            </w:pPr>
            <w:r>
              <w:rPr>
                <w:rFonts w:ascii="Arial" w:eastAsia="Calibri" w:hAnsi="Arial" w:cs="Arial"/>
                <w:b/>
                <w:bCs/>
                <w:color w:val="000000" w:themeColor="text1"/>
                <w:sz w:val="18"/>
                <w:szCs w:val="18"/>
                <w:lang w:val="en-GB"/>
              </w:rPr>
              <w:t>OR (95%CI)</w:t>
            </w:r>
          </w:p>
        </w:tc>
        <w:tc>
          <w:tcPr>
            <w:tcW w:w="1127" w:type="dxa"/>
            <w:vAlign w:val="center"/>
          </w:tcPr>
          <w:p w14:paraId="66AE5693" w14:textId="77777777" w:rsidR="00CD1621" w:rsidRDefault="00000000">
            <w:pPr>
              <w:widowControl w:val="0"/>
              <w:spacing w:before="120" w:after="120" w:line="240" w:lineRule="auto"/>
              <w:jc w:val="center"/>
              <w:rPr>
                <w:lang w:val="en-GB"/>
              </w:rPr>
            </w:pPr>
            <w:r>
              <w:rPr>
                <w:rFonts w:ascii="Arial" w:eastAsia="Calibri" w:hAnsi="Arial" w:cs="Arial"/>
                <w:b/>
                <w:bCs/>
                <w:color w:val="000000" w:themeColor="text1"/>
                <w:sz w:val="18"/>
                <w:szCs w:val="18"/>
                <w:lang w:val="en-GB"/>
              </w:rPr>
              <w:t>P-value</w:t>
            </w:r>
          </w:p>
        </w:tc>
        <w:tc>
          <w:tcPr>
            <w:tcW w:w="1436" w:type="dxa"/>
            <w:vAlign w:val="center"/>
          </w:tcPr>
          <w:p w14:paraId="493C2B3B" w14:textId="77777777" w:rsidR="00CD1621" w:rsidRDefault="00000000">
            <w:pPr>
              <w:widowControl w:val="0"/>
              <w:spacing w:before="120" w:after="120" w:line="240" w:lineRule="auto"/>
              <w:jc w:val="center"/>
              <w:rPr>
                <w:lang w:val="en-GB"/>
              </w:rPr>
            </w:pPr>
            <w:r>
              <w:rPr>
                <w:rFonts w:ascii="Arial" w:eastAsia="Calibri" w:hAnsi="Arial" w:cs="Arial"/>
                <w:b/>
                <w:bCs/>
                <w:color w:val="000000" w:themeColor="text1"/>
                <w:sz w:val="18"/>
                <w:szCs w:val="18"/>
                <w:lang w:val="en-GB"/>
              </w:rPr>
              <w:t>OR (95%CI)</w:t>
            </w:r>
          </w:p>
        </w:tc>
        <w:tc>
          <w:tcPr>
            <w:tcW w:w="1649" w:type="dxa"/>
            <w:vAlign w:val="center"/>
          </w:tcPr>
          <w:p w14:paraId="24534A81" w14:textId="77777777" w:rsidR="00CD1621" w:rsidRDefault="00000000">
            <w:pPr>
              <w:widowControl w:val="0"/>
              <w:spacing w:before="120" w:after="120" w:line="240" w:lineRule="auto"/>
              <w:jc w:val="center"/>
              <w:rPr>
                <w:lang w:val="en-GB"/>
              </w:rPr>
            </w:pPr>
            <w:r>
              <w:rPr>
                <w:rFonts w:ascii="Arial" w:eastAsia="Calibri" w:hAnsi="Arial" w:cs="Arial"/>
                <w:b/>
                <w:bCs/>
                <w:color w:val="000000" w:themeColor="text1"/>
                <w:sz w:val="18"/>
                <w:szCs w:val="18"/>
                <w:lang w:val="en-GB"/>
              </w:rPr>
              <w:t>P-value</w:t>
            </w:r>
          </w:p>
        </w:tc>
      </w:tr>
      <w:tr w:rsidR="00CD1621" w14:paraId="5320AA45" w14:textId="77777777">
        <w:trPr>
          <w:trHeight w:val="300"/>
        </w:trPr>
        <w:tc>
          <w:tcPr>
            <w:tcW w:w="3469" w:type="dxa"/>
            <w:vAlign w:val="center"/>
          </w:tcPr>
          <w:p w14:paraId="748E6840"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Age in years</w:t>
            </w:r>
          </w:p>
        </w:tc>
        <w:tc>
          <w:tcPr>
            <w:tcW w:w="1379" w:type="dxa"/>
            <w:vAlign w:val="center"/>
          </w:tcPr>
          <w:p w14:paraId="16425D5B" w14:textId="77777777" w:rsidR="00CD1621" w:rsidRDefault="00CD1621">
            <w:pPr>
              <w:widowControl w:val="0"/>
              <w:spacing w:before="120" w:after="120" w:line="240" w:lineRule="auto"/>
              <w:jc w:val="center"/>
              <w:rPr>
                <w:rFonts w:ascii="Arial" w:hAnsi="Arial" w:cs="Arial"/>
                <w:sz w:val="18"/>
                <w:szCs w:val="18"/>
                <w:lang w:val="en-GB"/>
              </w:rPr>
            </w:pPr>
          </w:p>
        </w:tc>
        <w:tc>
          <w:tcPr>
            <w:tcW w:w="1127" w:type="dxa"/>
            <w:vAlign w:val="center"/>
          </w:tcPr>
          <w:p w14:paraId="0B043A83" w14:textId="77777777" w:rsidR="00CD1621" w:rsidRDefault="00CD1621">
            <w:pPr>
              <w:widowControl w:val="0"/>
              <w:spacing w:before="120" w:after="120" w:line="240" w:lineRule="auto"/>
              <w:jc w:val="center"/>
              <w:rPr>
                <w:rFonts w:ascii="Arial" w:hAnsi="Arial" w:cs="Arial"/>
                <w:sz w:val="18"/>
                <w:szCs w:val="18"/>
                <w:lang w:val="en-GB"/>
              </w:rPr>
            </w:pPr>
          </w:p>
        </w:tc>
        <w:tc>
          <w:tcPr>
            <w:tcW w:w="1436" w:type="dxa"/>
            <w:vAlign w:val="center"/>
          </w:tcPr>
          <w:p w14:paraId="3C456DE2" w14:textId="77777777" w:rsidR="00CD1621" w:rsidRDefault="00CD1621">
            <w:pPr>
              <w:widowControl w:val="0"/>
              <w:spacing w:before="120" w:after="120" w:line="240" w:lineRule="auto"/>
              <w:jc w:val="center"/>
              <w:rPr>
                <w:rFonts w:ascii="Arial" w:hAnsi="Arial" w:cs="Arial"/>
                <w:sz w:val="18"/>
                <w:szCs w:val="18"/>
                <w:lang w:val="en-GB"/>
              </w:rPr>
            </w:pPr>
          </w:p>
        </w:tc>
        <w:tc>
          <w:tcPr>
            <w:tcW w:w="1649" w:type="dxa"/>
            <w:vAlign w:val="center"/>
          </w:tcPr>
          <w:p w14:paraId="4E955D14" w14:textId="77777777" w:rsidR="00CD1621" w:rsidRDefault="00CD1621">
            <w:pPr>
              <w:widowControl w:val="0"/>
              <w:spacing w:before="120" w:after="120" w:line="240" w:lineRule="auto"/>
              <w:jc w:val="center"/>
              <w:rPr>
                <w:rFonts w:ascii="Arial" w:hAnsi="Arial" w:cs="Arial"/>
                <w:sz w:val="18"/>
                <w:szCs w:val="18"/>
                <w:lang w:val="en-GB"/>
              </w:rPr>
            </w:pPr>
          </w:p>
        </w:tc>
      </w:tr>
      <w:tr w:rsidR="00CD1621" w14:paraId="71959DB7" w14:textId="77777777">
        <w:trPr>
          <w:trHeight w:val="300"/>
        </w:trPr>
        <w:tc>
          <w:tcPr>
            <w:tcW w:w="3469" w:type="dxa"/>
            <w:vAlign w:val="center"/>
          </w:tcPr>
          <w:p w14:paraId="27310963" w14:textId="77777777" w:rsidR="00CD1621" w:rsidRDefault="00000000">
            <w:pPr>
              <w:widowControl w:val="0"/>
              <w:spacing w:before="120" w:after="120" w:line="240" w:lineRule="auto"/>
              <w:jc w:val="right"/>
              <w:rPr>
                <w:lang w:val="en-GB"/>
              </w:rPr>
            </w:pPr>
            <w:r>
              <w:rPr>
                <w:rFonts w:ascii="Arial" w:eastAsia="Calibri" w:hAnsi="Arial" w:cs="Arial"/>
                <w:color w:val="000000" w:themeColor="text1"/>
                <w:sz w:val="18"/>
                <w:szCs w:val="18"/>
                <w:lang w:val="en-GB"/>
              </w:rPr>
              <w:t xml:space="preserve">  &lt; 25</w:t>
            </w:r>
          </w:p>
        </w:tc>
        <w:tc>
          <w:tcPr>
            <w:tcW w:w="1379" w:type="dxa"/>
            <w:vAlign w:val="bottom"/>
          </w:tcPr>
          <w:p w14:paraId="1F41D928"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1.28 (0.57-2.49)</w:t>
            </w:r>
          </w:p>
        </w:tc>
        <w:tc>
          <w:tcPr>
            <w:tcW w:w="1127" w:type="dxa"/>
            <w:vAlign w:val="bottom"/>
          </w:tcPr>
          <w:p w14:paraId="3C34A43B"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0.50</w:t>
            </w:r>
          </w:p>
        </w:tc>
        <w:tc>
          <w:tcPr>
            <w:tcW w:w="1436" w:type="dxa"/>
            <w:vAlign w:val="bottom"/>
          </w:tcPr>
          <w:p w14:paraId="4A8D36F6"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1.20 (0.24-4.99)</w:t>
            </w:r>
          </w:p>
        </w:tc>
        <w:tc>
          <w:tcPr>
            <w:tcW w:w="1649" w:type="dxa"/>
            <w:vAlign w:val="bottom"/>
          </w:tcPr>
          <w:p w14:paraId="268258CE"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0.81</w:t>
            </w:r>
          </w:p>
        </w:tc>
      </w:tr>
      <w:tr w:rsidR="00CD1621" w14:paraId="6C00A94D" w14:textId="77777777">
        <w:trPr>
          <w:trHeight w:val="300"/>
        </w:trPr>
        <w:tc>
          <w:tcPr>
            <w:tcW w:w="3469" w:type="dxa"/>
            <w:vAlign w:val="center"/>
          </w:tcPr>
          <w:p w14:paraId="13D06F3E" w14:textId="77777777" w:rsidR="00CD1621" w:rsidRDefault="00000000">
            <w:pPr>
              <w:widowControl w:val="0"/>
              <w:spacing w:before="120" w:after="120" w:line="240" w:lineRule="auto"/>
              <w:jc w:val="right"/>
              <w:rPr>
                <w:lang w:val="en-GB"/>
              </w:rPr>
            </w:pPr>
            <w:r>
              <w:rPr>
                <w:rFonts w:ascii="Arial" w:eastAsia="Calibri" w:hAnsi="Arial" w:cs="Arial"/>
                <w:color w:val="000000" w:themeColor="text1"/>
                <w:sz w:val="18"/>
                <w:szCs w:val="18"/>
                <w:lang w:val="en-GB"/>
              </w:rPr>
              <w:t xml:space="preserve">  25 - 35</w:t>
            </w:r>
          </w:p>
        </w:tc>
        <w:tc>
          <w:tcPr>
            <w:tcW w:w="1379" w:type="dxa"/>
            <w:vAlign w:val="bottom"/>
          </w:tcPr>
          <w:p w14:paraId="3E485772"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REF</w:t>
            </w:r>
          </w:p>
        </w:tc>
        <w:tc>
          <w:tcPr>
            <w:tcW w:w="1127" w:type="dxa"/>
            <w:vAlign w:val="bottom"/>
          </w:tcPr>
          <w:p w14:paraId="784F738C"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REF</w:t>
            </w:r>
          </w:p>
        </w:tc>
        <w:tc>
          <w:tcPr>
            <w:tcW w:w="1436" w:type="dxa"/>
            <w:vAlign w:val="bottom"/>
          </w:tcPr>
          <w:p w14:paraId="1B10B879"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REF</w:t>
            </w:r>
          </w:p>
        </w:tc>
        <w:tc>
          <w:tcPr>
            <w:tcW w:w="1649" w:type="dxa"/>
            <w:vAlign w:val="bottom"/>
          </w:tcPr>
          <w:p w14:paraId="6B81C21C"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REF</w:t>
            </w:r>
          </w:p>
        </w:tc>
      </w:tr>
      <w:tr w:rsidR="00CD1621" w14:paraId="247F2E91" w14:textId="77777777">
        <w:trPr>
          <w:trHeight w:val="300"/>
        </w:trPr>
        <w:tc>
          <w:tcPr>
            <w:tcW w:w="3469" w:type="dxa"/>
            <w:vAlign w:val="center"/>
          </w:tcPr>
          <w:p w14:paraId="706BD5FF" w14:textId="77777777" w:rsidR="00CD1621" w:rsidRDefault="00000000">
            <w:pPr>
              <w:widowControl w:val="0"/>
              <w:spacing w:before="120" w:after="120" w:line="240" w:lineRule="auto"/>
              <w:jc w:val="right"/>
              <w:rPr>
                <w:lang w:val="en-GB"/>
              </w:rPr>
            </w:pPr>
            <w:r>
              <w:rPr>
                <w:rFonts w:ascii="Arial" w:eastAsia="Calibri" w:hAnsi="Arial" w:cs="Arial"/>
                <w:color w:val="000000" w:themeColor="text1"/>
                <w:sz w:val="18"/>
                <w:szCs w:val="18"/>
                <w:lang w:val="en-GB"/>
              </w:rPr>
              <w:t xml:space="preserve">  &gt; 35</w:t>
            </w:r>
          </w:p>
        </w:tc>
        <w:tc>
          <w:tcPr>
            <w:tcW w:w="1379" w:type="dxa"/>
            <w:vAlign w:val="bottom"/>
          </w:tcPr>
          <w:p w14:paraId="73FD8E8C"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1.32 (0.91-1.86)</w:t>
            </w:r>
          </w:p>
        </w:tc>
        <w:tc>
          <w:tcPr>
            <w:tcW w:w="1127" w:type="dxa"/>
            <w:vAlign w:val="bottom"/>
          </w:tcPr>
          <w:p w14:paraId="615274E3"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0.13</w:t>
            </w:r>
          </w:p>
        </w:tc>
        <w:tc>
          <w:tcPr>
            <w:tcW w:w="1436" w:type="dxa"/>
            <w:vAlign w:val="bottom"/>
          </w:tcPr>
          <w:p w14:paraId="335B1530"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0.98 (0.60-1.60)</w:t>
            </w:r>
          </w:p>
        </w:tc>
        <w:tc>
          <w:tcPr>
            <w:tcW w:w="1649" w:type="dxa"/>
            <w:vAlign w:val="bottom"/>
          </w:tcPr>
          <w:p w14:paraId="48489B6B"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0.95</w:t>
            </w:r>
          </w:p>
        </w:tc>
      </w:tr>
      <w:tr w:rsidR="00CD1621" w14:paraId="1B561051" w14:textId="77777777">
        <w:trPr>
          <w:trHeight w:val="300"/>
        </w:trPr>
        <w:tc>
          <w:tcPr>
            <w:tcW w:w="3469" w:type="dxa"/>
            <w:vAlign w:val="center"/>
          </w:tcPr>
          <w:p w14:paraId="3E2A2A39"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BMI* prior to pregnancy</w:t>
            </w:r>
          </w:p>
        </w:tc>
        <w:tc>
          <w:tcPr>
            <w:tcW w:w="1379" w:type="dxa"/>
            <w:vAlign w:val="bottom"/>
          </w:tcPr>
          <w:p w14:paraId="72A2935D"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 </w:t>
            </w:r>
          </w:p>
        </w:tc>
        <w:tc>
          <w:tcPr>
            <w:tcW w:w="1127" w:type="dxa"/>
            <w:vAlign w:val="bottom"/>
          </w:tcPr>
          <w:p w14:paraId="61FC3BA3"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 </w:t>
            </w:r>
          </w:p>
        </w:tc>
        <w:tc>
          <w:tcPr>
            <w:tcW w:w="1436" w:type="dxa"/>
            <w:vAlign w:val="bottom"/>
          </w:tcPr>
          <w:p w14:paraId="2488C8F0"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 </w:t>
            </w:r>
          </w:p>
        </w:tc>
        <w:tc>
          <w:tcPr>
            <w:tcW w:w="1649" w:type="dxa"/>
            <w:vAlign w:val="bottom"/>
          </w:tcPr>
          <w:p w14:paraId="2E91682B"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 </w:t>
            </w:r>
          </w:p>
        </w:tc>
      </w:tr>
      <w:tr w:rsidR="00CD1621" w14:paraId="39F14848" w14:textId="77777777">
        <w:trPr>
          <w:trHeight w:val="300"/>
        </w:trPr>
        <w:tc>
          <w:tcPr>
            <w:tcW w:w="3469" w:type="dxa"/>
            <w:vAlign w:val="center"/>
          </w:tcPr>
          <w:p w14:paraId="4FBCACF8" w14:textId="77777777" w:rsidR="00CD1621" w:rsidRDefault="00000000">
            <w:pPr>
              <w:widowControl w:val="0"/>
              <w:spacing w:before="120" w:after="120" w:line="240" w:lineRule="auto"/>
              <w:jc w:val="right"/>
              <w:rPr>
                <w:lang w:val="en-GB"/>
              </w:rPr>
            </w:pPr>
            <w:r>
              <w:rPr>
                <w:rFonts w:ascii="Arial" w:eastAsia="Calibri" w:hAnsi="Arial" w:cs="Arial"/>
                <w:color w:val="000000" w:themeColor="text1"/>
                <w:sz w:val="18"/>
                <w:szCs w:val="18"/>
                <w:lang w:val="en-GB"/>
              </w:rPr>
              <w:t xml:space="preserve">  &lt; 18.5 Underweight</w:t>
            </w:r>
          </w:p>
        </w:tc>
        <w:tc>
          <w:tcPr>
            <w:tcW w:w="1379" w:type="dxa"/>
            <w:vAlign w:val="bottom"/>
          </w:tcPr>
          <w:p w14:paraId="1444931E"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0.63 (0.15-1.70)</w:t>
            </w:r>
          </w:p>
        </w:tc>
        <w:tc>
          <w:tcPr>
            <w:tcW w:w="1127" w:type="dxa"/>
            <w:vAlign w:val="bottom"/>
          </w:tcPr>
          <w:p w14:paraId="25CCA464"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0.44</w:t>
            </w:r>
          </w:p>
        </w:tc>
        <w:tc>
          <w:tcPr>
            <w:tcW w:w="1436" w:type="dxa"/>
            <w:vAlign w:val="bottom"/>
          </w:tcPr>
          <w:p w14:paraId="36CB5689"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0.84 (0.12-3.98)</w:t>
            </w:r>
          </w:p>
        </w:tc>
        <w:tc>
          <w:tcPr>
            <w:tcW w:w="1649" w:type="dxa"/>
            <w:vAlign w:val="bottom"/>
          </w:tcPr>
          <w:p w14:paraId="31C3A72D"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0.83</w:t>
            </w:r>
          </w:p>
        </w:tc>
      </w:tr>
      <w:tr w:rsidR="00CD1621" w14:paraId="37B8F2A4" w14:textId="77777777">
        <w:trPr>
          <w:trHeight w:val="300"/>
        </w:trPr>
        <w:tc>
          <w:tcPr>
            <w:tcW w:w="3469" w:type="dxa"/>
            <w:vAlign w:val="center"/>
          </w:tcPr>
          <w:p w14:paraId="786ED150" w14:textId="77777777" w:rsidR="00CD1621" w:rsidRDefault="00000000">
            <w:pPr>
              <w:widowControl w:val="0"/>
              <w:spacing w:before="120" w:after="120" w:line="240" w:lineRule="auto"/>
              <w:jc w:val="right"/>
              <w:rPr>
                <w:lang w:val="en-GB"/>
              </w:rPr>
            </w:pPr>
            <w:r>
              <w:rPr>
                <w:rFonts w:ascii="Arial" w:eastAsia="Calibri" w:hAnsi="Arial" w:cs="Arial"/>
                <w:color w:val="000000" w:themeColor="text1"/>
                <w:sz w:val="18"/>
                <w:szCs w:val="18"/>
                <w:lang w:val="en-GB"/>
              </w:rPr>
              <w:t xml:space="preserve">  18.5 - 25 Normal weight</w:t>
            </w:r>
          </w:p>
        </w:tc>
        <w:tc>
          <w:tcPr>
            <w:tcW w:w="1379" w:type="dxa"/>
            <w:vAlign w:val="bottom"/>
          </w:tcPr>
          <w:p w14:paraId="4E60DE20"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REF</w:t>
            </w:r>
          </w:p>
        </w:tc>
        <w:tc>
          <w:tcPr>
            <w:tcW w:w="1127" w:type="dxa"/>
            <w:vAlign w:val="bottom"/>
          </w:tcPr>
          <w:p w14:paraId="75365966"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REF</w:t>
            </w:r>
          </w:p>
        </w:tc>
        <w:tc>
          <w:tcPr>
            <w:tcW w:w="1436" w:type="dxa"/>
            <w:vAlign w:val="bottom"/>
          </w:tcPr>
          <w:p w14:paraId="41108DD9"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REF</w:t>
            </w:r>
          </w:p>
        </w:tc>
        <w:tc>
          <w:tcPr>
            <w:tcW w:w="1649" w:type="dxa"/>
            <w:vAlign w:val="bottom"/>
          </w:tcPr>
          <w:p w14:paraId="331E97F9"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REF</w:t>
            </w:r>
          </w:p>
        </w:tc>
      </w:tr>
      <w:tr w:rsidR="00CD1621" w14:paraId="0A7F6636" w14:textId="77777777">
        <w:trPr>
          <w:trHeight w:val="300"/>
        </w:trPr>
        <w:tc>
          <w:tcPr>
            <w:tcW w:w="3469" w:type="dxa"/>
            <w:vAlign w:val="center"/>
          </w:tcPr>
          <w:p w14:paraId="4D41467C" w14:textId="77777777" w:rsidR="00CD1621" w:rsidRDefault="00000000">
            <w:pPr>
              <w:widowControl w:val="0"/>
              <w:spacing w:before="120" w:after="120" w:line="240" w:lineRule="auto"/>
              <w:jc w:val="right"/>
              <w:rPr>
                <w:lang w:val="en-GB"/>
              </w:rPr>
            </w:pPr>
            <w:r>
              <w:rPr>
                <w:rFonts w:ascii="Arial" w:eastAsia="Calibri" w:hAnsi="Arial" w:cs="Arial"/>
                <w:color w:val="000000" w:themeColor="text1"/>
                <w:sz w:val="18"/>
                <w:szCs w:val="18"/>
                <w:lang w:val="en-GB"/>
              </w:rPr>
              <w:t xml:space="preserve">  &gt; 25 Overweight</w:t>
            </w:r>
          </w:p>
        </w:tc>
        <w:tc>
          <w:tcPr>
            <w:tcW w:w="1379" w:type="dxa"/>
            <w:vAlign w:val="bottom"/>
          </w:tcPr>
          <w:p w14:paraId="5C39D2C5"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1.41 (1.03-1.94)</w:t>
            </w:r>
          </w:p>
        </w:tc>
        <w:tc>
          <w:tcPr>
            <w:tcW w:w="1127" w:type="dxa"/>
            <w:vAlign w:val="bottom"/>
          </w:tcPr>
          <w:p w14:paraId="3157B399"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0.03</w:t>
            </w:r>
          </w:p>
        </w:tc>
        <w:tc>
          <w:tcPr>
            <w:tcW w:w="1436" w:type="dxa"/>
            <w:vAlign w:val="bottom"/>
          </w:tcPr>
          <w:p w14:paraId="0C91BADE"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1.06 (0.66-1.68)</w:t>
            </w:r>
          </w:p>
        </w:tc>
        <w:tc>
          <w:tcPr>
            <w:tcW w:w="1649" w:type="dxa"/>
            <w:vAlign w:val="bottom"/>
          </w:tcPr>
          <w:p w14:paraId="4DBA98A9"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0.81</w:t>
            </w:r>
          </w:p>
        </w:tc>
      </w:tr>
      <w:tr w:rsidR="00CD1621" w14:paraId="4B07B6E0" w14:textId="77777777">
        <w:trPr>
          <w:trHeight w:val="300"/>
        </w:trPr>
        <w:tc>
          <w:tcPr>
            <w:tcW w:w="3469" w:type="dxa"/>
            <w:vAlign w:val="center"/>
          </w:tcPr>
          <w:p w14:paraId="5480DEC9"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Swedish born</w:t>
            </w:r>
          </w:p>
        </w:tc>
        <w:tc>
          <w:tcPr>
            <w:tcW w:w="1379" w:type="dxa"/>
            <w:vAlign w:val="bottom"/>
          </w:tcPr>
          <w:p w14:paraId="6EEFB58F"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1.24 (0.75-2.21)</w:t>
            </w:r>
          </w:p>
        </w:tc>
        <w:tc>
          <w:tcPr>
            <w:tcW w:w="1127" w:type="dxa"/>
            <w:vAlign w:val="bottom"/>
          </w:tcPr>
          <w:p w14:paraId="7D152868"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0.43</w:t>
            </w:r>
          </w:p>
        </w:tc>
        <w:tc>
          <w:tcPr>
            <w:tcW w:w="1436" w:type="dxa"/>
            <w:vAlign w:val="bottom"/>
          </w:tcPr>
          <w:p w14:paraId="2FBC088E"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1.33 (0.64-2.98)</w:t>
            </w:r>
          </w:p>
        </w:tc>
        <w:tc>
          <w:tcPr>
            <w:tcW w:w="1649" w:type="dxa"/>
            <w:vAlign w:val="bottom"/>
          </w:tcPr>
          <w:p w14:paraId="5BA10348"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0.46</w:t>
            </w:r>
          </w:p>
        </w:tc>
      </w:tr>
      <w:tr w:rsidR="00CD1621" w14:paraId="6EFA2F15" w14:textId="77777777">
        <w:trPr>
          <w:trHeight w:val="300"/>
        </w:trPr>
        <w:tc>
          <w:tcPr>
            <w:tcW w:w="3469" w:type="dxa"/>
            <w:vAlign w:val="center"/>
          </w:tcPr>
          <w:p w14:paraId="01FF816D"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University education</w:t>
            </w:r>
          </w:p>
        </w:tc>
        <w:tc>
          <w:tcPr>
            <w:tcW w:w="1379" w:type="dxa"/>
            <w:vAlign w:val="bottom"/>
          </w:tcPr>
          <w:p w14:paraId="4214E21A"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1.29 (0.92-1.78)</w:t>
            </w:r>
          </w:p>
        </w:tc>
        <w:tc>
          <w:tcPr>
            <w:tcW w:w="1127" w:type="dxa"/>
            <w:vAlign w:val="bottom"/>
          </w:tcPr>
          <w:p w14:paraId="3632DF6F"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0.13</w:t>
            </w:r>
          </w:p>
        </w:tc>
        <w:tc>
          <w:tcPr>
            <w:tcW w:w="1436" w:type="dxa"/>
            <w:vAlign w:val="bottom"/>
          </w:tcPr>
          <w:p w14:paraId="58B26397"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0.98 (0.57-1.64)</w:t>
            </w:r>
          </w:p>
        </w:tc>
        <w:tc>
          <w:tcPr>
            <w:tcW w:w="1649" w:type="dxa"/>
            <w:vAlign w:val="bottom"/>
          </w:tcPr>
          <w:p w14:paraId="4EA36F85"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0.93</w:t>
            </w:r>
          </w:p>
        </w:tc>
      </w:tr>
      <w:tr w:rsidR="00CD1621" w14:paraId="17A7D83D" w14:textId="77777777">
        <w:trPr>
          <w:trHeight w:val="300"/>
        </w:trPr>
        <w:tc>
          <w:tcPr>
            <w:tcW w:w="3469" w:type="dxa"/>
            <w:vAlign w:val="center"/>
          </w:tcPr>
          <w:p w14:paraId="0EED3CCE"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Socioeconomic score</w:t>
            </w:r>
          </w:p>
        </w:tc>
        <w:tc>
          <w:tcPr>
            <w:tcW w:w="1379" w:type="dxa"/>
            <w:vAlign w:val="bottom"/>
          </w:tcPr>
          <w:p w14:paraId="3E426E32"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0.87 (0.65-1.17)</w:t>
            </w:r>
          </w:p>
        </w:tc>
        <w:tc>
          <w:tcPr>
            <w:tcW w:w="1127" w:type="dxa"/>
            <w:vAlign w:val="bottom"/>
          </w:tcPr>
          <w:p w14:paraId="158A5952"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0.35</w:t>
            </w:r>
          </w:p>
        </w:tc>
        <w:tc>
          <w:tcPr>
            <w:tcW w:w="1436" w:type="dxa"/>
            <w:vAlign w:val="bottom"/>
          </w:tcPr>
          <w:p w14:paraId="77915A81"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1.00 (0.60-1.42)</w:t>
            </w:r>
          </w:p>
        </w:tc>
        <w:tc>
          <w:tcPr>
            <w:tcW w:w="1649" w:type="dxa"/>
            <w:vAlign w:val="bottom"/>
          </w:tcPr>
          <w:p w14:paraId="1E49FE27"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0.71</w:t>
            </w:r>
          </w:p>
        </w:tc>
      </w:tr>
      <w:tr w:rsidR="00CD1621" w14:paraId="0B679EF4" w14:textId="77777777">
        <w:trPr>
          <w:trHeight w:val="300"/>
        </w:trPr>
        <w:tc>
          <w:tcPr>
            <w:tcW w:w="3469" w:type="dxa"/>
            <w:vAlign w:val="center"/>
          </w:tcPr>
          <w:p w14:paraId="1D1F6D3C"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Primiparous</w:t>
            </w:r>
          </w:p>
        </w:tc>
        <w:tc>
          <w:tcPr>
            <w:tcW w:w="1379" w:type="dxa"/>
            <w:vAlign w:val="bottom"/>
          </w:tcPr>
          <w:p w14:paraId="59AE5ECD"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1.31 (0.98-1.76)</w:t>
            </w:r>
          </w:p>
        </w:tc>
        <w:tc>
          <w:tcPr>
            <w:tcW w:w="1127" w:type="dxa"/>
            <w:vAlign w:val="bottom"/>
          </w:tcPr>
          <w:p w14:paraId="1177CDAB"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0.06</w:t>
            </w:r>
          </w:p>
        </w:tc>
        <w:tc>
          <w:tcPr>
            <w:tcW w:w="1436" w:type="dxa"/>
            <w:vAlign w:val="bottom"/>
          </w:tcPr>
          <w:p w14:paraId="3C19E1E1"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0.97 (0.64-1.47)</w:t>
            </w:r>
          </w:p>
        </w:tc>
        <w:tc>
          <w:tcPr>
            <w:tcW w:w="1649" w:type="dxa"/>
            <w:vAlign w:val="bottom"/>
          </w:tcPr>
          <w:p w14:paraId="47FB3686"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0.89</w:t>
            </w:r>
          </w:p>
        </w:tc>
      </w:tr>
      <w:tr w:rsidR="00CD1621" w14:paraId="2E25773B" w14:textId="77777777">
        <w:trPr>
          <w:trHeight w:val="300"/>
        </w:trPr>
        <w:tc>
          <w:tcPr>
            <w:tcW w:w="3469" w:type="dxa"/>
            <w:vAlign w:val="center"/>
          </w:tcPr>
          <w:p w14:paraId="2149BC2D"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Family status (single/not)</w:t>
            </w:r>
          </w:p>
        </w:tc>
        <w:tc>
          <w:tcPr>
            <w:tcW w:w="1379" w:type="dxa"/>
            <w:vAlign w:val="bottom"/>
          </w:tcPr>
          <w:p w14:paraId="24C4D368"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1.99 (0.83-4.05)</w:t>
            </w:r>
          </w:p>
        </w:tc>
        <w:tc>
          <w:tcPr>
            <w:tcW w:w="1127" w:type="dxa"/>
            <w:vAlign w:val="bottom"/>
          </w:tcPr>
          <w:p w14:paraId="2DEEF414"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0.08</w:t>
            </w:r>
          </w:p>
        </w:tc>
        <w:tc>
          <w:tcPr>
            <w:tcW w:w="1436" w:type="dxa"/>
            <w:vAlign w:val="bottom"/>
          </w:tcPr>
          <w:p w14:paraId="43167F0E"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2.47 (0.73-8.70)</w:t>
            </w:r>
          </w:p>
        </w:tc>
        <w:tc>
          <w:tcPr>
            <w:tcW w:w="1649" w:type="dxa"/>
            <w:vAlign w:val="bottom"/>
          </w:tcPr>
          <w:p w14:paraId="5115031E"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0.14</w:t>
            </w:r>
          </w:p>
        </w:tc>
      </w:tr>
      <w:tr w:rsidR="00CD1621" w14:paraId="58DCE15A" w14:textId="77777777">
        <w:trPr>
          <w:trHeight w:val="300"/>
        </w:trPr>
        <w:tc>
          <w:tcPr>
            <w:tcW w:w="3469" w:type="dxa"/>
            <w:vAlign w:val="center"/>
          </w:tcPr>
          <w:p w14:paraId="6E5BEA66"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Natural conception</w:t>
            </w:r>
          </w:p>
        </w:tc>
        <w:tc>
          <w:tcPr>
            <w:tcW w:w="1379" w:type="dxa"/>
            <w:vAlign w:val="bottom"/>
          </w:tcPr>
          <w:p w14:paraId="573C2E55"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0.76 (0.50-1.20)</w:t>
            </w:r>
          </w:p>
        </w:tc>
        <w:tc>
          <w:tcPr>
            <w:tcW w:w="1127" w:type="dxa"/>
            <w:vAlign w:val="bottom"/>
          </w:tcPr>
          <w:p w14:paraId="3ACA66A5"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0.22</w:t>
            </w:r>
          </w:p>
        </w:tc>
        <w:tc>
          <w:tcPr>
            <w:tcW w:w="1436" w:type="dxa"/>
            <w:vAlign w:val="bottom"/>
          </w:tcPr>
          <w:p w14:paraId="01D093C6"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0.91 (0.50-1.69)</w:t>
            </w:r>
          </w:p>
        </w:tc>
        <w:tc>
          <w:tcPr>
            <w:tcW w:w="1649" w:type="dxa"/>
            <w:vAlign w:val="bottom"/>
          </w:tcPr>
          <w:p w14:paraId="39C1BF83"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0.76</w:t>
            </w:r>
          </w:p>
        </w:tc>
      </w:tr>
      <w:tr w:rsidR="00CD1621" w14:paraId="180FA34B" w14:textId="77777777">
        <w:trPr>
          <w:trHeight w:val="300"/>
        </w:trPr>
        <w:tc>
          <w:tcPr>
            <w:tcW w:w="3469" w:type="dxa"/>
            <w:vAlign w:val="center"/>
          </w:tcPr>
          <w:p w14:paraId="2CBE2598"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Previous IUFD **</w:t>
            </w:r>
          </w:p>
        </w:tc>
        <w:tc>
          <w:tcPr>
            <w:tcW w:w="1379" w:type="dxa"/>
            <w:vAlign w:val="bottom"/>
          </w:tcPr>
          <w:p w14:paraId="15B50147"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2.89 (1.10-6.27)</w:t>
            </w:r>
          </w:p>
        </w:tc>
        <w:tc>
          <w:tcPr>
            <w:tcW w:w="1127" w:type="dxa"/>
            <w:vAlign w:val="bottom"/>
          </w:tcPr>
          <w:p w14:paraId="5BFEB817"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0.01</w:t>
            </w:r>
          </w:p>
        </w:tc>
        <w:tc>
          <w:tcPr>
            <w:tcW w:w="1436" w:type="dxa"/>
            <w:vAlign w:val="bottom"/>
          </w:tcPr>
          <w:p w14:paraId="55E92624"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NA</w:t>
            </w:r>
          </w:p>
        </w:tc>
        <w:tc>
          <w:tcPr>
            <w:tcW w:w="1649" w:type="dxa"/>
            <w:vAlign w:val="bottom"/>
          </w:tcPr>
          <w:p w14:paraId="6C692079"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NA</w:t>
            </w:r>
          </w:p>
        </w:tc>
      </w:tr>
      <w:tr w:rsidR="00CD1621" w14:paraId="116C5186" w14:textId="77777777">
        <w:trPr>
          <w:trHeight w:val="300"/>
        </w:trPr>
        <w:tc>
          <w:tcPr>
            <w:tcW w:w="3469" w:type="dxa"/>
            <w:vAlign w:val="center"/>
          </w:tcPr>
          <w:p w14:paraId="2AF825ED"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Previous preterm birth</w:t>
            </w:r>
          </w:p>
        </w:tc>
        <w:tc>
          <w:tcPr>
            <w:tcW w:w="1379" w:type="dxa"/>
            <w:vAlign w:val="bottom"/>
          </w:tcPr>
          <w:p w14:paraId="0CD3B8FC"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12.08 (4.24-30.48)</w:t>
            </w:r>
          </w:p>
        </w:tc>
        <w:tc>
          <w:tcPr>
            <w:tcW w:w="1127" w:type="dxa"/>
            <w:vAlign w:val="bottom"/>
          </w:tcPr>
          <w:p w14:paraId="316C64C1"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4.50E-07</w:t>
            </w:r>
          </w:p>
        </w:tc>
        <w:tc>
          <w:tcPr>
            <w:tcW w:w="1436" w:type="dxa"/>
            <w:vAlign w:val="bottom"/>
          </w:tcPr>
          <w:p w14:paraId="26620559"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2.56 (0.67-10.49)</w:t>
            </w:r>
          </w:p>
        </w:tc>
        <w:tc>
          <w:tcPr>
            <w:tcW w:w="1649" w:type="dxa"/>
            <w:vAlign w:val="bottom"/>
          </w:tcPr>
          <w:p w14:paraId="1973FAE1"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0.17</w:t>
            </w:r>
          </w:p>
        </w:tc>
      </w:tr>
      <w:tr w:rsidR="00CD1621" w14:paraId="3DAC1C7A" w14:textId="77777777">
        <w:trPr>
          <w:trHeight w:val="300"/>
        </w:trPr>
        <w:tc>
          <w:tcPr>
            <w:tcW w:w="3469" w:type="dxa"/>
            <w:vAlign w:val="center"/>
          </w:tcPr>
          <w:p w14:paraId="0380359C"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Previous RPL ***</w:t>
            </w:r>
          </w:p>
        </w:tc>
        <w:tc>
          <w:tcPr>
            <w:tcW w:w="1379" w:type="dxa"/>
            <w:vAlign w:val="bottom"/>
          </w:tcPr>
          <w:p w14:paraId="6895506D"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1.31 (0.64-2.38)</w:t>
            </w:r>
          </w:p>
        </w:tc>
        <w:tc>
          <w:tcPr>
            <w:tcW w:w="1127" w:type="dxa"/>
            <w:vAlign w:val="bottom"/>
          </w:tcPr>
          <w:p w14:paraId="433B4CA0"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0.42</w:t>
            </w:r>
          </w:p>
        </w:tc>
        <w:tc>
          <w:tcPr>
            <w:tcW w:w="1436" w:type="dxa"/>
            <w:vAlign w:val="bottom"/>
          </w:tcPr>
          <w:p w14:paraId="54F76699"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0.52 (0.15-1.46)</w:t>
            </w:r>
          </w:p>
        </w:tc>
        <w:tc>
          <w:tcPr>
            <w:tcW w:w="1649" w:type="dxa"/>
            <w:vAlign w:val="bottom"/>
          </w:tcPr>
          <w:p w14:paraId="3227D892"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0.25</w:t>
            </w:r>
          </w:p>
        </w:tc>
      </w:tr>
      <w:tr w:rsidR="00CD1621" w14:paraId="02E9CBEE" w14:textId="77777777">
        <w:trPr>
          <w:trHeight w:val="300"/>
        </w:trPr>
        <w:tc>
          <w:tcPr>
            <w:tcW w:w="3469" w:type="dxa"/>
            <w:vAlign w:val="center"/>
          </w:tcPr>
          <w:p w14:paraId="0ECD3A15"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lastRenderedPageBreak/>
              <w:t>Subfertility</w:t>
            </w:r>
          </w:p>
        </w:tc>
        <w:tc>
          <w:tcPr>
            <w:tcW w:w="1379" w:type="dxa"/>
            <w:vAlign w:val="bottom"/>
          </w:tcPr>
          <w:p w14:paraId="7239EF39"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1.11 (0.74-1.63)</w:t>
            </w:r>
          </w:p>
        </w:tc>
        <w:tc>
          <w:tcPr>
            <w:tcW w:w="1127" w:type="dxa"/>
            <w:vAlign w:val="bottom"/>
          </w:tcPr>
          <w:p w14:paraId="339B555E"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0.59</w:t>
            </w:r>
          </w:p>
        </w:tc>
        <w:tc>
          <w:tcPr>
            <w:tcW w:w="1436" w:type="dxa"/>
            <w:vAlign w:val="bottom"/>
          </w:tcPr>
          <w:p w14:paraId="6926D422"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0.77 (0.43-1.33)</w:t>
            </w:r>
          </w:p>
        </w:tc>
        <w:tc>
          <w:tcPr>
            <w:tcW w:w="1649" w:type="dxa"/>
            <w:vAlign w:val="bottom"/>
          </w:tcPr>
          <w:p w14:paraId="11A50627"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0.36</w:t>
            </w:r>
          </w:p>
        </w:tc>
      </w:tr>
      <w:tr w:rsidR="00CD1621" w14:paraId="0E808D4D" w14:textId="77777777">
        <w:trPr>
          <w:trHeight w:val="300"/>
        </w:trPr>
        <w:tc>
          <w:tcPr>
            <w:tcW w:w="3469" w:type="dxa"/>
            <w:vAlign w:val="center"/>
          </w:tcPr>
          <w:p w14:paraId="5E41210E"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Regular menstruation</w:t>
            </w:r>
          </w:p>
        </w:tc>
        <w:tc>
          <w:tcPr>
            <w:tcW w:w="1379" w:type="dxa"/>
            <w:vAlign w:val="bottom"/>
          </w:tcPr>
          <w:p w14:paraId="039E0DC1"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1.11 (0.76-1.69)</w:t>
            </w:r>
          </w:p>
        </w:tc>
        <w:tc>
          <w:tcPr>
            <w:tcW w:w="1127" w:type="dxa"/>
            <w:vAlign w:val="bottom"/>
          </w:tcPr>
          <w:p w14:paraId="61824C4D"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0.59</w:t>
            </w:r>
          </w:p>
        </w:tc>
        <w:tc>
          <w:tcPr>
            <w:tcW w:w="1436" w:type="dxa"/>
            <w:vAlign w:val="bottom"/>
          </w:tcPr>
          <w:p w14:paraId="5EB5FFBC"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1.28 (0.73-2.29)</w:t>
            </w:r>
          </w:p>
        </w:tc>
        <w:tc>
          <w:tcPr>
            <w:tcW w:w="1649" w:type="dxa"/>
            <w:vAlign w:val="bottom"/>
          </w:tcPr>
          <w:p w14:paraId="0720C05E"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0.40</w:t>
            </w:r>
          </w:p>
        </w:tc>
      </w:tr>
      <w:tr w:rsidR="00CD1621" w14:paraId="1BE3E0EC" w14:textId="77777777">
        <w:trPr>
          <w:trHeight w:val="300"/>
        </w:trPr>
        <w:tc>
          <w:tcPr>
            <w:tcW w:w="3469" w:type="dxa"/>
            <w:vAlign w:val="center"/>
          </w:tcPr>
          <w:p w14:paraId="74B96A75"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Diagnosed PCOS ****</w:t>
            </w:r>
          </w:p>
        </w:tc>
        <w:tc>
          <w:tcPr>
            <w:tcW w:w="1379" w:type="dxa"/>
            <w:vAlign w:val="bottom"/>
          </w:tcPr>
          <w:p w14:paraId="08360025"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0.84 (0.45-1.43)</w:t>
            </w:r>
          </w:p>
        </w:tc>
        <w:tc>
          <w:tcPr>
            <w:tcW w:w="1127" w:type="dxa"/>
            <w:vAlign w:val="bottom"/>
          </w:tcPr>
          <w:p w14:paraId="1AB045D0"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0.55</w:t>
            </w:r>
          </w:p>
        </w:tc>
        <w:tc>
          <w:tcPr>
            <w:tcW w:w="1436" w:type="dxa"/>
            <w:vAlign w:val="bottom"/>
          </w:tcPr>
          <w:p w14:paraId="77730324"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1.00 (0.42-2.24)</w:t>
            </w:r>
          </w:p>
        </w:tc>
        <w:tc>
          <w:tcPr>
            <w:tcW w:w="1649" w:type="dxa"/>
            <w:vAlign w:val="bottom"/>
          </w:tcPr>
          <w:p w14:paraId="124C8054"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1.00</w:t>
            </w:r>
          </w:p>
        </w:tc>
      </w:tr>
      <w:tr w:rsidR="00CD1621" w14:paraId="70F3D150" w14:textId="77777777">
        <w:trPr>
          <w:trHeight w:val="300"/>
        </w:trPr>
        <w:tc>
          <w:tcPr>
            <w:tcW w:w="3469" w:type="dxa"/>
            <w:vAlign w:val="center"/>
          </w:tcPr>
          <w:p w14:paraId="10387F60"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Diagnosed endometriosis</w:t>
            </w:r>
          </w:p>
        </w:tc>
        <w:tc>
          <w:tcPr>
            <w:tcW w:w="1379" w:type="dxa"/>
            <w:vAlign w:val="bottom"/>
          </w:tcPr>
          <w:p w14:paraId="627B3DD8"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1.58 (0.80-2.81)</w:t>
            </w:r>
          </w:p>
        </w:tc>
        <w:tc>
          <w:tcPr>
            <w:tcW w:w="1127" w:type="dxa"/>
            <w:vAlign w:val="bottom"/>
          </w:tcPr>
          <w:p w14:paraId="2D007B9C"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0.15</w:t>
            </w:r>
          </w:p>
        </w:tc>
        <w:tc>
          <w:tcPr>
            <w:tcW w:w="1436" w:type="dxa"/>
            <w:vAlign w:val="bottom"/>
          </w:tcPr>
          <w:p w14:paraId="0692D7FB"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1.25 (0.48-3.04)</w:t>
            </w:r>
          </w:p>
        </w:tc>
        <w:tc>
          <w:tcPr>
            <w:tcW w:w="1649" w:type="dxa"/>
            <w:vAlign w:val="bottom"/>
          </w:tcPr>
          <w:p w14:paraId="4A747686"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0.64</w:t>
            </w:r>
          </w:p>
        </w:tc>
      </w:tr>
      <w:tr w:rsidR="00CD1621" w14:paraId="5958C9DB" w14:textId="77777777">
        <w:trPr>
          <w:trHeight w:val="300"/>
        </w:trPr>
        <w:tc>
          <w:tcPr>
            <w:tcW w:w="3469" w:type="dxa"/>
            <w:tcBorders>
              <w:bottom w:val="single" w:sz="4" w:space="0" w:color="000000"/>
            </w:tcBorders>
            <w:vAlign w:val="center"/>
          </w:tcPr>
          <w:p w14:paraId="54B1D3B6"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Regular contact with animals</w:t>
            </w:r>
          </w:p>
        </w:tc>
        <w:tc>
          <w:tcPr>
            <w:tcW w:w="1379" w:type="dxa"/>
            <w:tcBorders>
              <w:bottom w:val="single" w:sz="4" w:space="0" w:color="000000"/>
            </w:tcBorders>
            <w:vAlign w:val="bottom"/>
          </w:tcPr>
          <w:p w14:paraId="4513CB74"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0.97 (0.73-1.30)</w:t>
            </w:r>
          </w:p>
        </w:tc>
        <w:tc>
          <w:tcPr>
            <w:tcW w:w="1127" w:type="dxa"/>
            <w:tcBorders>
              <w:bottom w:val="single" w:sz="4" w:space="0" w:color="000000"/>
            </w:tcBorders>
            <w:vAlign w:val="bottom"/>
          </w:tcPr>
          <w:p w14:paraId="2370EEEB"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0.85</w:t>
            </w:r>
          </w:p>
        </w:tc>
        <w:tc>
          <w:tcPr>
            <w:tcW w:w="1436" w:type="dxa"/>
            <w:tcBorders>
              <w:bottom w:val="single" w:sz="4" w:space="0" w:color="000000"/>
            </w:tcBorders>
            <w:vAlign w:val="bottom"/>
          </w:tcPr>
          <w:p w14:paraId="3E8A75AD"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NA</w:t>
            </w:r>
          </w:p>
        </w:tc>
        <w:tc>
          <w:tcPr>
            <w:tcW w:w="1649" w:type="dxa"/>
            <w:tcBorders>
              <w:bottom w:val="single" w:sz="4" w:space="0" w:color="000000"/>
            </w:tcBorders>
            <w:vAlign w:val="bottom"/>
          </w:tcPr>
          <w:p w14:paraId="60D1528D"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NA</w:t>
            </w:r>
          </w:p>
        </w:tc>
      </w:tr>
      <w:tr w:rsidR="00CD1621" w14:paraId="6C1E3090" w14:textId="77777777">
        <w:trPr>
          <w:trHeight w:val="300"/>
        </w:trPr>
        <w:tc>
          <w:tcPr>
            <w:tcW w:w="3469" w:type="dxa"/>
            <w:tcBorders>
              <w:top w:val="single" w:sz="4" w:space="0" w:color="000000"/>
            </w:tcBorders>
            <w:vAlign w:val="center"/>
          </w:tcPr>
          <w:p w14:paraId="3E44C035"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Daily fiber</w:t>
            </w:r>
          </w:p>
        </w:tc>
        <w:tc>
          <w:tcPr>
            <w:tcW w:w="1379" w:type="dxa"/>
            <w:tcBorders>
              <w:top w:val="single" w:sz="4" w:space="0" w:color="000000"/>
            </w:tcBorders>
            <w:vAlign w:val="bottom"/>
          </w:tcPr>
          <w:p w14:paraId="6E8E8F70"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1.11 (0.75-1.70)</w:t>
            </w:r>
          </w:p>
        </w:tc>
        <w:tc>
          <w:tcPr>
            <w:tcW w:w="1127" w:type="dxa"/>
            <w:tcBorders>
              <w:top w:val="single" w:sz="4" w:space="0" w:color="000000"/>
            </w:tcBorders>
            <w:vAlign w:val="bottom"/>
          </w:tcPr>
          <w:p w14:paraId="6E21A1E3"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0.62</w:t>
            </w:r>
          </w:p>
        </w:tc>
        <w:tc>
          <w:tcPr>
            <w:tcW w:w="1436" w:type="dxa"/>
            <w:tcBorders>
              <w:top w:val="single" w:sz="4" w:space="0" w:color="000000"/>
            </w:tcBorders>
            <w:vAlign w:val="bottom"/>
          </w:tcPr>
          <w:p w14:paraId="1B4C7861"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1.39 (0.77-2.60)</w:t>
            </w:r>
          </w:p>
        </w:tc>
        <w:tc>
          <w:tcPr>
            <w:tcW w:w="1649" w:type="dxa"/>
            <w:tcBorders>
              <w:top w:val="single" w:sz="4" w:space="0" w:color="000000"/>
            </w:tcBorders>
            <w:vAlign w:val="bottom"/>
          </w:tcPr>
          <w:p w14:paraId="5FB2DEE7"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0.28</w:t>
            </w:r>
          </w:p>
        </w:tc>
      </w:tr>
      <w:tr w:rsidR="00CD1621" w14:paraId="74B4CE53" w14:textId="77777777">
        <w:trPr>
          <w:trHeight w:val="300"/>
        </w:trPr>
        <w:tc>
          <w:tcPr>
            <w:tcW w:w="3469" w:type="dxa"/>
            <w:vAlign w:val="center"/>
          </w:tcPr>
          <w:p w14:paraId="5D39ECB0"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Healthy diet</w:t>
            </w:r>
          </w:p>
        </w:tc>
        <w:tc>
          <w:tcPr>
            <w:tcW w:w="1379" w:type="dxa"/>
            <w:vAlign w:val="bottom"/>
          </w:tcPr>
          <w:p w14:paraId="1239F6D4"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0.81 (0.60-1.12)</w:t>
            </w:r>
          </w:p>
        </w:tc>
        <w:tc>
          <w:tcPr>
            <w:tcW w:w="1127" w:type="dxa"/>
            <w:vAlign w:val="bottom"/>
          </w:tcPr>
          <w:p w14:paraId="54BEE327"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0.19</w:t>
            </w:r>
          </w:p>
        </w:tc>
        <w:tc>
          <w:tcPr>
            <w:tcW w:w="1436" w:type="dxa"/>
            <w:vAlign w:val="bottom"/>
          </w:tcPr>
          <w:p w14:paraId="3A1D3B97"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1.06 (0.66-1.73)</w:t>
            </w:r>
          </w:p>
        </w:tc>
        <w:tc>
          <w:tcPr>
            <w:tcW w:w="1649" w:type="dxa"/>
            <w:vAlign w:val="bottom"/>
          </w:tcPr>
          <w:p w14:paraId="0E83E354"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0.81</w:t>
            </w:r>
          </w:p>
        </w:tc>
      </w:tr>
      <w:tr w:rsidR="00CD1621" w14:paraId="2EABDC8C" w14:textId="77777777">
        <w:trPr>
          <w:trHeight w:val="300"/>
        </w:trPr>
        <w:tc>
          <w:tcPr>
            <w:tcW w:w="3469" w:type="dxa"/>
            <w:vAlign w:val="center"/>
          </w:tcPr>
          <w:p w14:paraId="575C4AED"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Recent intake of probiotics</w:t>
            </w:r>
          </w:p>
        </w:tc>
        <w:tc>
          <w:tcPr>
            <w:tcW w:w="1379" w:type="dxa"/>
            <w:vAlign w:val="bottom"/>
          </w:tcPr>
          <w:p w14:paraId="0AB33AD8"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1.23 (0.85-1.77)</w:t>
            </w:r>
          </w:p>
        </w:tc>
        <w:tc>
          <w:tcPr>
            <w:tcW w:w="1127" w:type="dxa"/>
            <w:vAlign w:val="bottom"/>
          </w:tcPr>
          <w:p w14:paraId="18E534A8"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0.25</w:t>
            </w:r>
          </w:p>
        </w:tc>
        <w:tc>
          <w:tcPr>
            <w:tcW w:w="1436" w:type="dxa"/>
            <w:vAlign w:val="bottom"/>
          </w:tcPr>
          <w:p w14:paraId="2C21CFBF"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NA</w:t>
            </w:r>
          </w:p>
        </w:tc>
        <w:tc>
          <w:tcPr>
            <w:tcW w:w="1649" w:type="dxa"/>
            <w:vAlign w:val="bottom"/>
          </w:tcPr>
          <w:p w14:paraId="282BAD80"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NA</w:t>
            </w:r>
          </w:p>
        </w:tc>
      </w:tr>
      <w:tr w:rsidR="00CD1621" w14:paraId="02B5C6DD" w14:textId="77777777">
        <w:trPr>
          <w:trHeight w:val="300"/>
        </w:trPr>
        <w:tc>
          <w:tcPr>
            <w:tcW w:w="3469" w:type="dxa"/>
            <w:vAlign w:val="center"/>
          </w:tcPr>
          <w:p w14:paraId="1238A08F"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Intake of iron during pregnancy</w:t>
            </w:r>
          </w:p>
        </w:tc>
        <w:tc>
          <w:tcPr>
            <w:tcW w:w="1379" w:type="dxa"/>
            <w:vAlign w:val="bottom"/>
          </w:tcPr>
          <w:p w14:paraId="21743C2F"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2.90 (0.46-10.08)</w:t>
            </w:r>
          </w:p>
        </w:tc>
        <w:tc>
          <w:tcPr>
            <w:tcW w:w="1127" w:type="dxa"/>
            <w:vAlign w:val="bottom"/>
          </w:tcPr>
          <w:p w14:paraId="03358D54"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0.15</w:t>
            </w:r>
          </w:p>
        </w:tc>
        <w:tc>
          <w:tcPr>
            <w:tcW w:w="1436" w:type="dxa"/>
            <w:vAlign w:val="bottom"/>
          </w:tcPr>
          <w:p w14:paraId="387B701C"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2.01 (0.08-51.04)</w:t>
            </w:r>
          </w:p>
        </w:tc>
        <w:tc>
          <w:tcPr>
            <w:tcW w:w="1649" w:type="dxa"/>
            <w:vAlign w:val="bottom"/>
          </w:tcPr>
          <w:p w14:paraId="7288BC89"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0.62</w:t>
            </w:r>
          </w:p>
        </w:tc>
      </w:tr>
      <w:tr w:rsidR="00CD1621" w14:paraId="0980DEC9" w14:textId="77777777">
        <w:trPr>
          <w:trHeight w:val="300"/>
        </w:trPr>
        <w:tc>
          <w:tcPr>
            <w:tcW w:w="3469" w:type="dxa"/>
            <w:vAlign w:val="center"/>
          </w:tcPr>
          <w:p w14:paraId="129ABFC4"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Snuff / smokeless tobacco use during pregnancy</w:t>
            </w:r>
          </w:p>
        </w:tc>
        <w:tc>
          <w:tcPr>
            <w:tcW w:w="1379" w:type="dxa"/>
            <w:vAlign w:val="bottom"/>
          </w:tcPr>
          <w:p w14:paraId="55BB6D83"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0.41 (0.02-1.87)</w:t>
            </w:r>
          </w:p>
        </w:tc>
        <w:tc>
          <w:tcPr>
            <w:tcW w:w="1127" w:type="dxa"/>
            <w:vAlign w:val="bottom"/>
          </w:tcPr>
          <w:p w14:paraId="12652AFC"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0.38</w:t>
            </w:r>
          </w:p>
        </w:tc>
        <w:tc>
          <w:tcPr>
            <w:tcW w:w="1436" w:type="dxa"/>
            <w:vAlign w:val="bottom"/>
          </w:tcPr>
          <w:p w14:paraId="4E2ECAB5"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NA</w:t>
            </w:r>
          </w:p>
        </w:tc>
        <w:tc>
          <w:tcPr>
            <w:tcW w:w="1649" w:type="dxa"/>
            <w:vAlign w:val="bottom"/>
          </w:tcPr>
          <w:p w14:paraId="74234E54"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NA</w:t>
            </w:r>
          </w:p>
        </w:tc>
      </w:tr>
      <w:tr w:rsidR="00CD1621" w14:paraId="50AA6365" w14:textId="77777777">
        <w:trPr>
          <w:trHeight w:val="300"/>
        </w:trPr>
        <w:tc>
          <w:tcPr>
            <w:tcW w:w="3469" w:type="dxa"/>
            <w:vAlign w:val="center"/>
          </w:tcPr>
          <w:p w14:paraId="2FEF78A5"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Smoking during pregnancy</w:t>
            </w:r>
          </w:p>
        </w:tc>
        <w:tc>
          <w:tcPr>
            <w:tcW w:w="1379" w:type="dxa"/>
            <w:vAlign w:val="bottom"/>
          </w:tcPr>
          <w:p w14:paraId="10F4318E"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2.20 (0.76-5.03)</w:t>
            </w:r>
          </w:p>
        </w:tc>
        <w:tc>
          <w:tcPr>
            <w:tcW w:w="1127" w:type="dxa"/>
            <w:vAlign w:val="bottom"/>
          </w:tcPr>
          <w:p w14:paraId="031DBF60"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0.09</w:t>
            </w:r>
          </w:p>
        </w:tc>
        <w:tc>
          <w:tcPr>
            <w:tcW w:w="1436" w:type="dxa"/>
            <w:vAlign w:val="bottom"/>
          </w:tcPr>
          <w:p w14:paraId="27436E7D"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4.05 (0.38-87.54)</w:t>
            </w:r>
          </w:p>
        </w:tc>
        <w:tc>
          <w:tcPr>
            <w:tcW w:w="1649" w:type="dxa"/>
            <w:vAlign w:val="bottom"/>
          </w:tcPr>
          <w:p w14:paraId="60F2761F"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0.26</w:t>
            </w:r>
          </w:p>
        </w:tc>
      </w:tr>
      <w:tr w:rsidR="00CD1621" w14:paraId="716C4CC2" w14:textId="77777777">
        <w:trPr>
          <w:trHeight w:val="300"/>
        </w:trPr>
        <w:tc>
          <w:tcPr>
            <w:tcW w:w="3469" w:type="dxa"/>
            <w:vAlign w:val="center"/>
          </w:tcPr>
          <w:p w14:paraId="33B3F541"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Any drugs used during pregnancy</w:t>
            </w:r>
          </w:p>
        </w:tc>
        <w:tc>
          <w:tcPr>
            <w:tcW w:w="1379" w:type="dxa"/>
            <w:vAlign w:val="bottom"/>
          </w:tcPr>
          <w:p w14:paraId="19D4971B"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1.54 (1.15-2.06)</w:t>
            </w:r>
          </w:p>
        </w:tc>
        <w:tc>
          <w:tcPr>
            <w:tcW w:w="1127" w:type="dxa"/>
            <w:vAlign w:val="bottom"/>
          </w:tcPr>
          <w:p w14:paraId="0BB5AE25"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0.004</w:t>
            </w:r>
          </w:p>
        </w:tc>
        <w:tc>
          <w:tcPr>
            <w:tcW w:w="1436" w:type="dxa"/>
            <w:vAlign w:val="bottom"/>
          </w:tcPr>
          <w:p w14:paraId="53E671EB"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0.98 (0.64-1.50)</w:t>
            </w:r>
          </w:p>
        </w:tc>
        <w:tc>
          <w:tcPr>
            <w:tcW w:w="1649" w:type="dxa"/>
            <w:vAlign w:val="bottom"/>
          </w:tcPr>
          <w:p w14:paraId="4AAD3237"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0.94</w:t>
            </w:r>
          </w:p>
        </w:tc>
      </w:tr>
      <w:tr w:rsidR="00CD1621" w14:paraId="70CFAC4D" w14:textId="77777777">
        <w:trPr>
          <w:trHeight w:val="300"/>
        </w:trPr>
        <w:tc>
          <w:tcPr>
            <w:tcW w:w="3469" w:type="dxa"/>
            <w:vAlign w:val="center"/>
          </w:tcPr>
          <w:p w14:paraId="62C99414"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Multiple drugs used during pregnancy</w:t>
            </w:r>
          </w:p>
        </w:tc>
        <w:tc>
          <w:tcPr>
            <w:tcW w:w="1379" w:type="dxa"/>
            <w:vAlign w:val="bottom"/>
          </w:tcPr>
          <w:p w14:paraId="6A42A8CB"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1.29 (0.96-1.74)</w:t>
            </w:r>
          </w:p>
        </w:tc>
        <w:tc>
          <w:tcPr>
            <w:tcW w:w="1127" w:type="dxa"/>
            <w:vAlign w:val="bottom"/>
          </w:tcPr>
          <w:p w14:paraId="1A52524F"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0.09</w:t>
            </w:r>
          </w:p>
        </w:tc>
        <w:tc>
          <w:tcPr>
            <w:tcW w:w="1436" w:type="dxa"/>
            <w:vAlign w:val="bottom"/>
          </w:tcPr>
          <w:p w14:paraId="632C5D04"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0.97 (0.62-1.49)</w:t>
            </w:r>
          </w:p>
        </w:tc>
        <w:tc>
          <w:tcPr>
            <w:tcW w:w="1649" w:type="dxa"/>
            <w:vAlign w:val="bottom"/>
          </w:tcPr>
          <w:p w14:paraId="37F944C3"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0.88</w:t>
            </w:r>
          </w:p>
        </w:tc>
      </w:tr>
      <w:tr w:rsidR="00CD1621" w14:paraId="32AA479C" w14:textId="77777777">
        <w:trPr>
          <w:trHeight w:val="300"/>
        </w:trPr>
        <w:tc>
          <w:tcPr>
            <w:tcW w:w="3469" w:type="dxa"/>
            <w:vAlign w:val="center"/>
          </w:tcPr>
          <w:p w14:paraId="6A120067"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Thyroid medication</w:t>
            </w:r>
          </w:p>
        </w:tc>
        <w:tc>
          <w:tcPr>
            <w:tcW w:w="1379" w:type="dxa"/>
            <w:vAlign w:val="bottom"/>
          </w:tcPr>
          <w:p w14:paraId="4FA66820"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0.88 (0.48-1.47)</w:t>
            </w:r>
          </w:p>
        </w:tc>
        <w:tc>
          <w:tcPr>
            <w:tcW w:w="1127" w:type="dxa"/>
            <w:vAlign w:val="bottom"/>
          </w:tcPr>
          <w:p w14:paraId="3DF5855E"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0.64</w:t>
            </w:r>
          </w:p>
        </w:tc>
        <w:tc>
          <w:tcPr>
            <w:tcW w:w="1436" w:type="dxa"/>
            <w:vAlign w:val="bottom"/>
          </w:tcPr>
          <w:p w14:paraId="0F0A36A7"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0.55 (0.24-1.15)</w:t>
            </w:r>
          </w:p>
        </w:tc>
        <w:tc>
          <w:tcPr>
            <w:tcW w:w="1649" w:type="dxa"/>
            <w:vAlign w:val="bottom"/>
          </w:tcPr>
          <w:p w14:paraId="15DF4D6F"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0.13</w:t>
            </w:r>
          </w:p>
        </w:tc>
      </w:tr>
      <w:tr w:rsidR="00CD1621" w14:paraId="23343B97" w14:textId="77777777">
        <w:trPr>
          <w:trHeight w:val="300"/>
        </w:trPr>
        <w:tc>
          <w:tcPr>
            <w:tcW w:w="3469" w:type="dxa"/>
            <w:vAlign w:val="center"/>
          </w:tcPr>
          <w:p w14:paraId="4989EC8F"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Allergy and antihistamines</w:t>
            </w:r>
          </w:p>
        </w:tc>
        <w:tc>
          <w:tcPr>
            <w:tcW w:w="1379" w:type="dxa"/>
            <w:vAlign w:val="bottom"/>
          </w:tcPr>
          <w:p w14:paraId="4B450F54"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1.21 (0.78-1.81)</w:t>
            </w:r>
          </w:p>
        </w:tc>
        <w:tc>
          <w:tcPr>
            <w:tcW w:w="1127" w:type="dxa"/>
            <w:vAlign w:val="bottom"/>
          </w:tcPr>
          <w:p w14:paraId="3369DA24"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0.36</w:t>
            </w:r>
          </w:p>
        </w:tc>
        <w:tc>
          <w:tcPr>
            <w:tcW w:w="1436" w:type="dxa"/>
            <w:vAlign w:val="bottom"/>
          </w:tcPr>
          <w:p w14:paraId="7EE25BA2"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1.04 (0.52-1.99)</w:t>
            </w:r>
          </w:p>
        </w:tc>
        <w:tc>
          <w:tcPr>
            <w:tcW w:w="1649" w:type="dxa"/>
            <w:vAlign w:val="bottom"/>
          </w:tcPr>
          <w:p w14:paraId="4CE25DC5"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0.91</w:t>
            </w:r>
          </w:p>
        </w:tc>
      </w:tr>
      <w:tr w:rsidR="00CD1621" w14:paraId="6F87A217" w14:textId="77777777">
        <w:trPr>
          <w:trHeight w:val="300"/>
        </w:trPr>
        <w:tc>
          <w:tcPr>
            <w:tcW w:w="3469" w:type="dxa"/>
            <w:vAlign w:val="center"/>
          </w:tcPr>
          <w:p w14:paraId="25DECE59"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Neurological medication</w:t>
            </w:r>
          </w:p>
        </w:tc>
        <w:tc>
          <w:tcPr>
            <w:tcW w:w="1379" w:type="dxa"/>
            <w:vAlign w:val="bottom"/>
          </w:tcPr>
          <w:p w14:paraId="6F9EF28A"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1.81 (1.16-2.72)</w:t>
            </w:r>
          </w:p>
        </w:tc>
        <w:tc>
          <w:tcPr>
            <w:tcW w:w="1127" w:type="dxa"/>
            <w:vAlign w:val="bottom"/>
          </w:tcPr>
          <w:p w14:paraId="3FCB798A"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0.006</w:t>
            </w:r>
          </w:p>
        </w:tc>
        <w:tc>
          <w:tcPr>
            <w:tcW w:w="1436" w:type="dxa"/>
            <w:vAlign w:val="bottom"/>
          </w:tcPr>
          <w:p w14:paraId="7C028210"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0.96 (0.46-1.89)</w:t>
            </w:r>
          </w:p>
        </w:tc>
        <w:tc>
          <w:tcPr>
            <w:tcW w:w="1649" w:type="dxa"/>
            <w:vAlign w:val="bottom"/>
          </w:tcPr>
          <w:p w14:paraId="0744A557"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0.91</w:t>
            </w:r>
          </w:p>
        </w:tc>
      </w:tr>
      <w:tr w:rsidR="00CD1621" w14:paraId="774661F8" w14:textId="77777777">
        <w:trPr>
          <w:trHeight w:val="300"/>
        </w:trPr>
        <w:tc>
          <w:tcPr>
            <w:tcW w:w="3469" w:type="dxa"/>
            <w:vAlign w:val="center"/>
          </w:tcPr>
          <w:p w14:paraId="416241FE"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Gastrointestinal medication</w:t>
            </w:r>
          </w:p>
        </w:tc>
        <w:tc>
          <w:tcPr>
            <w:tcW w:w="1379" w:type="dxa"/>
            <w:vAlign w:val="bottom"/>
          </w:tcPr>
          <w:p w14:paraId="718A8E01"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6.02 (2.23-13.77)</w:t>
            </w:r>
          </w:p>
        </w:tc>
        <w:tc>
          <w:tcPr>
            <w:tcW w:w="1127" w:type="dxa"/>
            <w:vAlign w:val="bottom"/>
          </w:tcPr>
          <w:p w14:paraId="6B76A94F"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8.27E-05</w:t>
            </w:r>
          </w:p>
        </w:tc>
        <w:tc>
          <w:tcPr>
            <w:tcW w:w="1436" w:type="dxa"/>
            <w:vAlign w:val="bottom"/>
          </w:tcPr>
          <w:p w14:paraId="424A19BC"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NA</w:t>
            </w:r>
          </w:p>
        </w:tc>
        <w:tc>
          <w:tcPr>
            <w:tcW w:w="1649" w:type="dxa"/>
            <w:vAlign w:val="bottom"/>
          </w:tcPr>
          <w:p w14:paraId="2FCA19A3"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NA</w:t>
            </w:r>
          </w:p>
        </w:tc>
      </w:tr>
      <w:tr w:rsidR="00CD1621" w14:paraId="79CB892E" w14:textId="77777777">
        <w:trPr>
          <w:trHeight w:val="300"/>
        </w:trPr>
        <w:tc>
          <w:tcPr>
            <w:tcW w:w="3469" w:type="dxa"/>
            <w:vAlign w:val="center"/>
          </w:tcPr>
          <w:p w14:paraId="62296C8A"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Diabetes medication</w:t>
            </w:r>
          </w:p>
        </w:tc>
        <w:tc>
          <w:tcPr>
            <w:tcW w:w="1379" w:type="dxa"/>
            <w:vAlign w:val="bottom"/>
          </w:tcPr>
          <w:p w14:paraId="6A35D74D"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4.58 (0.24-26.99)</w:t>
            </w:r>
          </w:p>
        </w:tc>
        <w:tc>
          <w:tcPr>
            <w:tcW w:w="1127" w:type="dxa"/>
            <w:vAlign w:val="bottom"/>
          </w:tcPr>
          <w:p w14:paraId="2E9197C4"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0.16</w:t>
            </w:r>
          </w:p>
        </w:tc>
        <w:tc>
          <w:tcPr>
            <w:tcW w:w="1436" w:type="dxa"/>
            <w:vAlign w:val="bottom"/>
          </w:tcPr>
          <w:p w14:paraId="2277F82C"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2.01 (0.08-51.04)</w:t>
            </w:r>
          </w:p>
        </w:tc>
        <w:tc>
          <w:tcPr>
            <w:tcW w:w="1649" w:type="dxa"/>
            <w:vAlign w:val="bottom"/>
          </w:tcPr>
          <w:p w14:paraId="6F786BC6"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0.62</w:t>
            </w:r>
          </w:p>
        </w:tc>
      </w:tr>
      <w:tr w:rsidR="00CD1621" w14:paraId="230E10F0" w14:textId="77777777">
        <w:trPr>
          <w:trHeight w:val="300"/>
        </w:trPr>
        <w:tc>
          <w:tcPr>
            <w:tcW w:w="3469" w:type="dxa"/>
            <w:vAlign w:val="center"/>
          </w:tcPr>
          <w:p w14:paraId="105AAC77"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Antibiotics</w:t>
            </w:r>
          </w:p>
        </w:tc>
        <w:tc>
          <w:tcPr>
            <w:tcW w:w="1379" w:type="dxa"/>
            <w:vAlign w:val="bottom"/>
          </w:tcPr>
          <w:p w14:paraId="0197035D"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1.45 (0.76-2.53)</w:t>
            </w:r>
          </w:p>
        </w:tc>
        <w:tc>
          <w:tcPr>
            <w:tcW w:w="1127" w:type="dxa"/>
            <w:vAlign w:val="bottom"/>
          </w:tcPr>
          <w:p w14:paraId="1968A7C2"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0.22</w:t>
            </w:r>
          </w:p>
        </w:tc>
        <w:tc>
          <w:tcPr>
            <w:tcW w:w="1436" w:type="dxa"/>
            <w:vAlign w:val="bottom"/>
          </w:tcPr>
          <w:p w14:paraId="5EF86DF4"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NA</w:t>
            </w:r>
          </w:p>
        </w:tc>
        <w:tc>
          <w:tcPr>
            <w:tcW w:w="1649" w:type="dxa"/>
            <w:vAlign w:val="bottom"/>
          </w:tcPr>
          <w:p w14:paraId="7B9F22FC"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NA</w:t>
            </w:r>
          </w:p>
        </w:tc>
      </w:tr>
      <w:tr w:rsidR="00CD1621" w14:paraId="54DC35FD" w14:textId="77777777">
        <w:trPr>
          <w:trHeight w:val="300"/>
        </w:trPr>
        <w:tc>
          <w:tcPr>
            <w:tcW w:w="3469" w:type="dxa"/>
            <w:vAlign w:val="center"/>
          </w:tcPr>
          <w:p w14:paraId="6DAC9689"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Blood pressure medication</w:t>
            </w:r>
          </w:p>
        </w:tc>
        <w:tc>
          <w:tcPr>
            <w:tcW w:w="1379" w:type="dxa"/>
            <w:vAlign w:val="bottom"/>
          </w:tcPr>
          <w:p w14:paraId="1117ED53"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1.50(0.80-2.58)</w:t>
            </w:r>
          </w:p>
        </w:tc>
        <w:tc>
          <w:tcPr>
            <w:tcW w:w="1127" w:type="dxa"/>
            <w:vAlign w:val="bottom"/>
          </w:tcPr>
          <w:p w14:paraId="5DF83DD3"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0.17</w:t>
            </w:r>
          </w:p>
        </w:tc>
        <w:tc>
          <w:tcPr>
            <w:tcW w:w="1436" w:type="dxa"/>
            <w:vAlign w:val="bottom"/>
          </w:tcPr>
          <w:p w14:paraId="1768BC18"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0.92 (0.32-2.39)</w:t>
            </w:r>
          </w:p>
        </w:tc>
        <w:tc>
          <w:tcPr>
            <w:tcW w:w="1649" w:type="dxa"/>
            <w:vAlign w:val="bottom"/>
          </w:tcPr>
          <w:p w14:paraId="2804A289"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0.87</w:t>
            </w:r>
          </w:p>
        </w:tc>
      </w:tr>
      <w:tr w:rsidR="00CD1621" w14:paraId="1EBB4EF9" w14:textId="77777777">
        <w:trPr>
          <w:trHeight w:val="300"/>
        </w:trPr>
        <w:tc>
          <w:tcPr>
            <w:tcW w:w="3469" w:type="dxa"/>
            <w:vAlign w:val="center"/>
          </w:tcPr>
          <w:p w14:paraId="1F100B0C"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High blood pressure early pregnancy</w:t>
            </w:r>
          </w:p>
        </w:tc>
        <w:tc>
          <w:tcPr>
            <w:tcW w:w="1379" w:type="dxa"/>
            <w:vAlign w:val="bottom"/>
          </w:tcPr>
          <w:p w14:paraId="4584808F"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6.56 (1.87-17.92)</w:t>
            </w:r>
          </w:p>
        </w:tc>
        <w:tc>
          <w:tcPr>
            <w:tcW w:w="1127" w:type="dxa"/>
            <w:vAlign w:val="bottom"/>
          </w:tcPr>
          <w:p w14:paraId="0744C671" w14:textId="77777777" w:rsidR="00CD1621" w:rsidRDefault="00000000">
            <w:pPr>
              <w:widowControl w:val="0"/>
              <w:spacing w:before="120" w:after="120" w:line="240" w:lineRule="auto"/>
              <w:jc w:val="center"/>
              <w:rPr>
                <w:lang w:val="en-GB"/>
              </w:rPr>
            </w:pPr>
            <w:r>
              <w:rPr>
                <w:rFonts w:ascii="Arial" w:hAnsi="Arial" w:cs="Arial"/>
                <w:b/>
                <w:bCs/>
                <w:color w:val="000000" w:themeColor="text1"/>
                <w:sz w:val="18"/>
                <w:szCs w:val="18"/>
                <w:lang w:val="en-GB"/>
              </w:rPr>
              <w:t>0.0008</w:t>
            </w:r>
          </w:p>
        </w:tc>
        <w:tc>
          <w:tcPr>
            <w:tcW w:w="1436" w:type="dxa"/>
            <w:vAlign w:val="bottom"/>
          </w:tcPr>
          <w:p w14:paraId="747DA461"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NA</w:t>
            </w:r>
          </w:p>
        </w:tc>
        <w:tc>
          <w:tcPr>
            <w:tcW w:w="1649" w:type="dxa"/>
            <w:vAlign w:val="bottom"/>
          </w:tcPr>
          <w:p w14:paraId="13181A72"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NA</w:t>
            </w:r>
          </w:p>
        </w:tc>
      </w:tr>
      <w:tr w:rsidR="00CD1621" w14:paraId="6E2231E7" w14:textId="77777777">
        <w:trPr>
          <w:trHeight w:val="300"/>
        </w:trPr>
        <w:tc>
          <w:tcPr>
            <w:tcW w:w="3469" w:type="dxa"/>
            <w:vAlign w:val="center"/>
          </w:tcPr>
          <w:p w14:paraId="12D16BD8"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EPDS ***** score</w:t>
            </w:r>
          </w:p>
        </w:tc>
        <w:tc>
          <w:tcPr>
            <w:tcW w:w="1379" w:type="dxa"/>
            <w:vAlign w:val="bottom"/>
          </w:tcPr>
          <w:p w14:paraId="0722F897"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1.00 (0.98-1.01)</w:t>
            </w:r>
          </w:p>
        </w:tc>
        <w:tc>
          <w:tcPr>
            <w:tcW w:w="1127" w:type="dxa"/>
            <w:vAlign w:val="bottom"/>
          </w:tcPr>
          <w:p w14:paraId="63A77865"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0.77</w:t>
            </w:r>
          </w:p>
        </w:tc>
        <w:tc>
          <w:tcPr>
            <w:tcW w:w="1436" w:type="dxa"/>
            <w:vAlign w:val="bottom"/>
          </w:tcPr>
          <w:p w14:paraId="2AC295BB"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0.98 (0.94-1.01)</w:t>
            </w:r>
          </w:p>
        </w:tc>
        <w:tc>
          <w:tcPr>
            <w:tcW w:w="1649" w:type="dxa"/>
            <w:vAlign w:val="bottom"/>
          </w:tcPr>
          <w:p w14:paraId="05F6F503"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0.20</w:t>
            </w:r>
          </w:p>
        </w:tc>
      </w:tr>
      <w:tr w:rsidR="00CD1621" w14:paraId="20D34AB9" w14:textId="77777777">
        <w:trPr>
          <w:trHeight w:val="300"/>
        </w:trPr>
        <w:tc>
          <w:tcPr>
            <w:tcW w:w="3469" w:type="dxa"/>
            <w:tcBorders>
              <w:bottom w:val="single" w:sz="4" w:space="0" w:color="000000"/>
            </w:tcBorders>
            <w:vAlign w:val="center"/>
          </w:tcPr>
          <w:p w14:paraId="30E16580" w14:textId="77777777" w:rsidR="00CD1621" w:rsidRDefault="00000000">
            <w:pPr>
              <w:widowControl w:val="0"/>
              <w:spacing w:before="120" w:after="120" w:line="240" w:lineRule="auto"/>
              <w:rPr>
                <w:lang w:val="en-GB"/>
              </w:rPr>
            </w:pPr>
            <w:r>
              <w:rPr>
                <w:rFonts w:ascii="Arial" w:eastAsia="Calibri" w:hAnsi="Arial" w:cs="Arial"/>
                <w:color w:val="000000" w:themeColor="text1"/>
                <w:sz w:val="18"/>
                <w:szCs w:val="18"/>
                <w:lang w:val="en-GB"/>
              </w:rPr>
              <w:t>PSS-4 ¤ score</w:t>
            </w:r>
          </w:p>
        </w:tc>
        <w:tc>
          <w:tcPr>
            <w:tcW w:w="1379" w:type="dxa"/>
            <w:tcBorders>
              <w:bottom w:val="single" w:sz="4" w:space="0" w:color="000000"/>
            </w:tcBorders>
            <w:vAlign w:val="bottom"/>
          </w:tcPr>
          <w:p w14:paraId="51FFBFA2"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0.98 (0.95-1.02)</w:t>
            </w:r>
          </w:p>
        </w:tc>
        <w:tc>
          <w:tcPr>
            <w:tcW w:w="1127" w:type="dxa"/>
            <w:tcBorders>
              <w:bottom w:val="single" w:sz="4" w:space="0" w:color="000000"/>
            </w:tcBorders>
            <w:vAlign w:val="bottom"/>
          </w:tcPr>
          <w:p w14:paraId="5B67856A"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0.24</w:t>
            </w:r>
          </w:p>
        </w:tc>
        <w:tc>
          <w:tcPr>
            <w:tcW w:w="1436" w:type="dxa"/>
            <w:tcBorders>
              <w:bottom w:val="single" w:sz="4" w:space="0" w:color="000000"/>
            </w:tcBorders>
            <w:vAlign w:val="bottom"/>
          </w:tcPr>
          <w:p w14:paraId="2D760C00"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0.96 (0.90-1.03)</w:t>
            </w:r>
          </w:p>
        </w:tc>
        <w:tc>
          <w:tcPr>
            <w:tcW w:w="1649" w:type="dxa"/>
            <w:tcBorders>
              <w:bottom w:val="single" w:sz="4" w:space="0" w:color="000000"/>
            </w:tcBorders>
            <w:vAlign w:val="bottom"/>
          </w:tcPr>
          <w:p w14:paraId="24B72355" w14:textId="77777777" w:rsidR="00CD1621" w:rsidRDefault="00000000">
            <w:pPr>
              <w:widowControl w:val="0"/>
              <w:spacing w:before="120" w:after="120" w:line="240" w:lineRule="auto"/>
              <w:jc w:val="center"/>
              <w:rPr>
                <w:lang w:val="en-GB"/>
              </w:rPr>
            </w:pPr>
            <w:r>
              <w:rPr>
                <w:rFonts w:ascii="Arial" w:hAnsi="Arial" w:cs="Arial"/>
                <w:color w:val="000000" w:themeColor="text1"/>
                <w:sz w:val="18"/>
                <w:szCs w:val="18"/>
                <w:lang w:val="en-GB"/>
              </w:rPr>
              <w:t>0.29</w:t>
            </w:r>
          </w:p>
        </w:tc>
      </w:tr>
    </w:tbl>
    <w:p w14:paraId="64E662B0" w14:textId="77777777" w:rsidR="00CD1621" w:rsidRDefault="00000000">
      <w:pPr>
        <w:spacing w:before="120" w:after="120" w:line="276" w:lineRule="auto"/>
        <w:jc w:val="both"/>
        <w:rPr>
          <w:lang w:val="en-GB"/>
        </w:rPr>
      </w:pPr>
      <w:r>
        <w:rPr>
          <w:rFonts w:ascii="Arial" w:eastAsia="Calibri" w:hAnsi="Arial" w:cs="Arial"/>
          <w:color w:val="000000" w:themeColor="text1"/>
          <w:sz w:val="20"/>
          <w:szCs w:val="20"/>
          <w:lang w:val="en-GB"/>
        </w:rPr>
        <w:t>*Body mass index, **</w:t>
      </w:r>
      <w:r>
        <w:rPr>
          <w:rFonts w:ascii="Arial" w:eastAsia="Aptos Narrow" w:hAnsi="Arial" w:cs="Arial"/>
          <w:color w:val="242424"/>
          <w:sz w:val="20"/>
          <w:szCs w:val="20"/>
          <w:lang w:val="en-GB"/>
        </w:rPr>
        <w:t>Intrauterine fetal demise,</w:t>
      </w:r>
      <w:r>
        <w:rPr>
          <w:rFonts w:ascii="Arial" w:eastAsia="Calibri" w:hAnsi="Arial" w:cs="Arial"/>
          <w:color w:val="000000" w:themeColor="text1"/>
          <w:sz w:val="20"/>
          <w:szCs w:val="20"/>
          <w:lang w:val="en-GB"/>
        </w:rPr>
        <w:t xml:space="preserve"> </w:t>
      </w:r>
      <w:r>
        <w:rPr>
          <w:rFonts w:ascii="Arial" w:eastAsia="Aptos Narrow" w:hAnsi="Arial" w:cs="Arial"/>
          <w:color w:val="242424"/>
          <w:sz w:val="20"/>
          <w:szCs w:val="20"/>
          <w:lang w:val="en-GB"/>
        </w:rPr>
        <w:t>***Recurrent pregnancy loss, ****</w:t>
      </w:r>
      <w:r>
        <w:rPr>
          <w:rFonts w:ascii="Arial" w:eastAsia="Calibri" w:hAnsi="Arial" w:cs="Arial"/>
          <w:color w:val="000000" w:themeColor="text1"/>
          <w:sz w:val="20"/>
          <w:szCs w:val="20"/>
          <w:lang w:val="en-GB"/>
        </w:rPr>
        <w:t>Polycystic ovary syndrome, *****</w:t>
      </w:r>
      <w:r>
        <w:rPr>
          <w:rFonts w:ascii="Arial" w:eastAsia="Aptos Narrow" w:hAnsi="Arial" w:cs="Arial"/>
          <w:color w:val="242424"/>
          <w:sz w:val="20"/>
          <w:szCs w:val="20"/>
          <w:lang w:val="en-GB"/>
        </w:rPr>
        <w:t xml:space="preserve"> Edinburgh Postnatal Depression Scale, ¤ perceived stress scale</w:t>
      </w:r>
    </w:p>
    <w:p w14:paraId="7564DEB7" w14:textId="77777777" w:rsidR="00CD1621" w:rsidRDefault="00000000">
      <w:pPr>
        <w:spacing w:before="120" w:after="120" w:line="276" w:lineRule="auto"/>
        <w:jc w:val="both"/>
        <w:rPr>
          <w:lang w:val="en-GB"/>
        </w:rPr>
      </w:pPr>
      <w:r>
        <w:rPr>
          <w:rFonts w:ascii="Arial" w:eastAsia="Aptos Narrow" w:hAnsi="Arial" w:cs="Arial"/>
          <w:color w:val="242424"/>
          <w:sz w:val="20"/>
          <w:szCs w:val="20"/>
          <w:lang w:val="en-GB"/>
        </w:rPr>
        <w:t>REF refers to the Reference group; NA, not applicable</w:t>
      </w:r>
    </w:p>
    <w:p w14:paraId="39C0F815" w14:textId="77777777" w:rsidR="00CD1621" w:rsidRDefault="00CD1621">
      <w:pPr>
        <w:spacing w:before="120" w:after="120" w:line="480" w:lineRule="auto"/>
        <w:jc w:val="both"/>
        <w:rPr>
          <w:rFonts w:ascii="Arial" w:hAnsi="Arial" w:cs="Arial"/>
          <w:i/>
          <w:iCs/>
          <w:lang w:val="en-GB"/>
        </w:rPr>
      </w:pPr>
    </w:p>
    <w:p w14:paraId="3AFA2328" w14:textId="77777777" w:rsidR="00CD1621" w:rsidRDefault="00CD1621">
      <w:pPr>
        <w:spacing w:before="120" w:after="120" w:line="480" w:lineRule="auto"/>
        <w:jc w:val="both"/>
        <w:rPr>
          <w:rFonts w:ascii="Arial" w:hAnsi="Arial" w:cs="Arial"/>
          <w:i/>
          <w:iCs/>
          <w:lang w:val="en-GB"/>
        </w:rPr>
      </w:pPr>
    </w:p>
    <w:p w14:paraId="29239418" w14:textId="77777777" w:rsidR="00CD1621" w:rsidRDefault="00CD1621">
      <w:pPr>
        <w:spacing w:before="120" w:after="120" w:line="480" w:lineRule="auto"/>
        <w:jc w:val="both"/>
        <w:rPr>
          <w:rFonts w:ascii="Arial" w:hAnsi="Arial" w:cs="Arial"/>
          <w:i/>
          <w:iCs/>
          <w:lang w:val="en-GB"/>
        </w:rPr>
      </w:pPr>
    </w:p>
    <w:p w14:paraId="54F51909" w14:textId="77777777" w:rsidR="00CD1621" w:rsidRDefault="00000000">
      <w:pPr>
        <w:spacing w:before="120" w:after="120" w:line="276" w:lineRule="auto"/>
        <w:jc w:val="both"/>
        <w:rPr>
          <w:lang w:val="en-GB"/>
        </w:rPr>
      </w:pPr>
      <w:r>
        <w:rPr>
          <w:rFonts w:ascii="Arial" w:hAnsi="Arial" w:cs="Arial"/>
          <w:i/>
          <w:iCs/>
          <w:lang w:val="en-GB"/>
        </w:rPr>
        <w:t>Table S2. Multivariable logistic regression for the entire SweMaMi cohort and the case-control subset; variables with a p-value &lt;0.05 are highlighted in bold.</w:t>
      </w:r>
    </w:p>
    <w:tbl>
      <w:tblPr>
        <w:tblW w:w="9060" w:type="dxa"/>
        <w:tblLayout w:type="fixed"/>
        <w:tblCellMar>
          <w:top w:w="15" w:type="dxa"/>
          <w:left w:w="15" w:type="dxa"/>
          <w:right w:w="15" w:type="dxa"/>
        </w:tblCellMar>
        <w:tblLook w:val="06A0" w:firstRow="1" w:lastRow="0" w:firstColumn="1" w:lastColumn="0" w:noHBand="1" w:noVBand="1"/>
      </w:tblPr>
      <w:tblGrid>
        <w:gridCol w:w="3431"/>
        <w:gridCol w:w="2014"/>
        <w:gridCol w:w="873"/>
        <w:gridCol w:w="1881"/>
        <w:gridCol w:w="861"/>
      </w:tblGrid>
      <w:tr w:rsidR="00CD1621" w14:paraId="734DEB0F" w14:textId="77777777">
        <w:trPr>
          <w:trHeight w:val="630"/>
        </w:trPr>
        <w:tc>
          <w:tcPr>
            <w:tcW w:w="3431" w:type="dxa"/>
            <w:vAlign w:val="center"/>
          </w:tcPr>
          <w:p w14:paraId="59CE5093" w14:textId="77777777" w:rsidR="00CD1621" w:rsidRDefault="00CD1621">
            <w:pPr>
              <w:widowControl w:val="0"/>
              <w:spacing w:before="120" w:after="120" w:line="240" w:lineRule="auto"/>
              <w:rPr>
                <w:rFonts w:ascii="Arial" w:hAnsi="Arial" w:cs="Arial"/>
                <w:sz w:val="20"/>
                <w:szCs w:val="20"/>
                <w:lang w:val="en-GB"/>
              </w:rPr>
            </w:pPr>
          </w:p>
        </w:tc>
        <w:tc>
          <w:tcPr>
            <w:tcW w:w="2887" w:type="dxa"/>
            <w:gridSpan w:val="2"/>
            <w:vAlign w:val="center"/>
          </w:tcPr>
          <w:p w14:paraId="5AF5FD3B" w14:textId="77777777" w:rsidR="00CD1621" w:rsidRDefault="00000000">
            <w:pPr>
              <w:widowControl w:val="0"/>
              <w:spacing w:before="120" w:after="120" w:line="240" w:lineRule="auto"/>
              <w:jc w:val="center"/>
              <w:rPr>
                <w:lang w:val="en-GB"/>
              </w:rPr>
            </w:pPr>
            <w:r>
              <w:rPr>
                <w:rFonts w:ascii="Arial" w:eastAsia="Calibri" w:hAnsi="Arial" w:cs="Arial"/>
                <w:b/>
                <w:bCs/>
                <w:color w:val="000000" w:themeColor="text1"/>
                <w:sz w:val="20"/>
                <w:szCs w:val="20"/>
                <w:lang w:val="en-GB"/>
              </w:rPr>
              <w:t>Entire cohort - spontaneous preterm birth vs full term</w:t>
            </w:r>
          </w:p>
        </w:tc>
        <w:tc>
          <w:tcPr>
            <w:tcW w:w="2742" w:type="dxa"/>
            <w:gridSpan w:val="2"/>
            <w:vAlign w:val="center"/>
          </w:tcPr>
          <w:p w14:paraId="2A009481" w14:textId="77777777" w:rsidR="00CD1621" w:rsidRDefault="00000000">
            <w:pPr>
              <w:widowControl w:val="0"/>
              <w:spacing w:before="120" w:after="120" w:line="240" w:lineRule="auto"/>
              <w:jc w:val="center"/>
              <w:rPr>
                <w:lang w:val="en-GB"/>
              </w:rPr>
            </w:pPr>
            <w:r>
              <w:rPr>
                <w:rFonts w:ascii="Arial" w:eastAsia="Calibri" w:hAnsi="Arial" w:cs="Arial"/>
                <w:b/>
                <w:bCs/>
                <w:color w:val="000000" w:themeColor="text1"/>
                <w:sz w:val="20"/>
                <w:szCs w:val="20"/>
                <w:lang w:val="en-GB"/>
              </w:rPr>
              <w:t>Cases (preterm birth) and matched controls</w:t>
            </w:r>
          </w:p>
        </w:tc>
      </w:tr>
      <w:tr w:rsidR="00CD1621" w14:paraId="40E16C12" w14:textId="77777777">
        <w:trPr>
          <w:trHeight w:val="300"/>
        </w:trPr>
        <w:tc>
          <w:tcPr>
            <w:tcW w:w="3431" w:type="dxa"/>
            <w:vAlign w:val="center"/>
          </w:tcPr>
          <w:p w14:paraId="0F3F8242" w14:textId="77777777" w:rsidR="00CD1621" w:rsidRDefault="00CD1621">
            <w:pPr>
              <w:widowControl w:val="0"/>
              <w:spacing w:before="120" w:after="120" w:line="240" w:lineRule="auto"/>
              <w:rPr>
                <w:rFonts w:ascii="Arial" w:hAnsi="Arial" w:cs="Arial"/>
                <w:sz w:val="20"/>
                <w:szCs w:val="20"/>
                <w:lang w:val="en-GB"/>
              </w:rPr>
            </w:pPr>
          </w:p>
        </w:tc>
        <w:tc>
          <w:tcPr>
            <w:tcW w:w="2014" w:type="dxa"/>
            <w:vAlign w:val="center"/>
          </w:tcPr>
          <w:p w14:paraId="1274CF5B" w14:textId="77777777" w:rsidR="00CD1621" w:rsidRDefault="00000000">
            <w:pPr>
              <w:widowControl w:val="0"/>
              <w:spacing w:before="120" w:after="120" w:line="240" w:lineRule="auto"/>
              <w:jc w:val="center"/>
              <w:rPr>
                <w:lang w:val="en-GB"/>
              </w:rPr>
            </w:pPr>
            <w:r>
              <w:rPr>
                <w:rFonts w:ascii="Arial" w:eastAsia="Calibri" w:hAnsi="Arial" w:cs="Arial"/>
                <w:b/>
                <w:bCs/>
                <w:color w:val="000000" w:themeColor="text1"/>
                <w:sz w:val="20"/>
                <w:szCs w:val="20"/>
                <w:lang w:val="en-GB"/>
              </w:rPr>
              <w:t>OR (95%CI)</w:t>
            </w:r>
          </w:p>
        </w:tc>
        <w:tc>
          <w:tcPr>
            <w:tcW w:w="873" w:type="dxa"/>
            <w:vAlign w:val="center"/>
          </w:tcPr>
          <w:p w14:paraId="2643A46F" w14:textId="77777777" w:rsidR="00CD1621" w:rsidRDefault="00000000">
            <w:pPr>
              <w:widowControl w:val="0"/>
              <w:spacing w:before="120" w:after="120" w:line="240" w:lineRule="auto"/>
              <w:jc w:val="center"/>
              <w:rPr>
                <w:lang w:val="en-GB"/>
              </w:rPr>
            </w:pPr>
            <w:r>
              <w:rPr>
                <w:rFonts w:ascii="Arial" w:eastAsia="Calibri" w:hAnsi="Arial" w:cs="Arial"/>
                <w:b/>
                <w:bCs/>
                <w:color w:val="000000" w:themeColor="text1"/>
                <w:sz w:val="20"/>
                <w:szCs w:val="20"/>
                <w:lang w:val="en-GB"/>
              </w:rPr>
              <w:t>P-value</w:t>
            </w:r>
          </w:p>
        </w:tc>
        <w:tc>
          <w:tcPr>
            <w:tcW w:w="1881" w:type="dxa"/>
            <w:vAlign w:val="center"/>
          </w:tcPr>
          <w:p w14:paraId="0C081004" w14:textId="77777777" w:rsidR="00CD1621" w:rsidRDefault="00000000">
            <w:pPr>
              <w:widowControl w:val="0"/>
              <w:spacing w:before="120" w:after="120" w:line="240" w:lineRule="auto"/>
              <w:jc w:val="center"/>
              <w:rPr>
                <w:lang w:val="en-GB"/>
              </w:rPr>
            </w:pPr>
            <w:r>
              <w:rPr>
                <w:rFonts w:ascii="Arial" w:eastAsia="Calibri" w:hAnsi="Arial" w:cs="Arial"/>
                <w:b/>
                <w:bCs/>
                <w:color w:val="000000" w:themeColor="text1"/>
                <w:sz w:val="20"/>
                <w:szCs w:val="20"/>
                <w:lang w:val="en-GB"/>
              </w:rPr>
              <w:t>OR (95%CI)</w:t>
            </w:r>
          </w:p>
        </w:tc>
        <w:tc>
          <w:tcPr>
            <w:tcW w:w="861" w:type="dxa"/>
            <w:vAlign w:val="center"/>
          </w:tcPr>
          <w:p w14:paraId="2C5B2D31" w14:textId="77777777" w:rsidR="00CD1621" w:rsidRDefault="00000000">
            <w:pPr>
              <w:widowControl w:val="0"/>
              <w:spacing w:before="120" w:after="120" w:line="240" w:lineRule="auto"/>
              <w:jc w:val="center"/>
              <w:rPr>
                <w:lang w:val="en-GB"/>
              </w:rPr>
            </w:pPr>
            <w:r>
              <w:rPr>
                <w:rFonts w:ascii="Arial" w:eastAsia="Calibri" w:hAnsi="Arial" w:cs="Arial"/>
                <w:b/>
                <w:bCs/>
                <w:color w:val="000000" w:themeColor="text1"/>
                <w:sz w:val="20"/>
                <w:szCs w:val="20"/>
                <w:lang w:val="en-GB"/>
              </w:rPr>
              <w:t>P-value</w:t>
            </w:r>
          </w:p>
        </w:tc>
      </w:tr>
      <w:tr w:rsidR="00CD1621" w14:paraId="50A0AA3F" w14:textId="77777777">
        <w:trPr>
          <w:trHeight w:val="300"/>
        </w:trPr>
        <w:tc>
          <w:tcPr>
            <w:tcW w:w="3431" w:type="dxa"/>
            <w:vAlign w:val="center"/>
          </w:tcPr>
          <w:p w14:paraId="22FBBC04" w14:textId="77777777" w:rsidR="00CD1621" w:rsidRDefault="00000000">
            <w:pPr>
              <w:widowControl w:val="0"/>
              <w:spacing w:before="120" w:after="120" w:line="240" w:lineRule="auto"/>
              <w:rPr>
                <w:lang w:val="en-GB"/>
              </w:rPr>
            </w:pPr>
            <w:r>
              <w:rPr>
                <w:rFonts w:ascii="Arial" w:eastAsia="Calibri" w:hAnsi="Arial" w:cs="Arial"/>
                <w:color w:val="000000" w:themeColor="text1"/>
                <w:sz w:val="20"/>
                <w:szCs w:val="20"/>
                <w:lang w:val="en-GB"/>
              </w:rPr>
              <w:t>Age, in years</w:t>
            </w:r>
          </w:p>
        </w:tc>
        <w:tc>
          <w:tcPr>
            <w:tcW w:w="2014" w:type="dxa"/>
            <w:vAlign w:val="center"/>
          </w:tcPr>
          <w:p w14:paraId="2E68B840" w14:textId="77777777" w:rsidR="00CD1621" w:rsidRDefault="00CD1621">
            <w:pPr>
              <w:widowControl w:val="0"/>
              <w:spacing w:before="120" w:after="120" w:line="240" w:lineRule="auto"/>
              <w:jc w:val="center"/>
              <w:rPr>
                <w:rFonts w:ascii="Arial" w:hAnsi="Arial" w:cs="Arial"/>
                <w:sz w:val="20"/>
                <w:szCs w:val="20"/>
                <w:lang w:val="en-GB"/>
              </w:rPr>
            </w:pPr>
          </w:p>
        </w:tc>
        <w:tc>
          <w:tcPr>
            <w:tcW w:w="873" w:type="dxa"/>
            <w:vAlign w:val="center"/>
          </w:tcPr>
          <w:p w14:paraId="02713E14" w14:textId="77777777" w:rsidR="00CD1621" w:rsidRDefault="00CD1621">
            <w:pPr>
              <w:widowControl w:val="0"/>
              <w:spacing w:before="120" w:after="120" w:line="240" w:lineRule="auto"/>
              <w:jc w:val="center"/>
              <w:rPr>
                <w:rFonts w:ascii="Arial" w:hAnsi="Arial" w:cs="Arial"/>
                <w:sz w:val="20"/>
                <w:szCs w:val="20"/>
                <w:lang w:val="en-GB"/>
              </w:rPr>
            </w:pPr>
          </w:p>
        </w:tc>
        <w:tc>
          <w:tcPr>
            <w:tcW w:w="1881" w:type="dxa"/>
            <w:vAlign w:val="center"/>
          </w:tcPr>
          <w:p w14:paraId="4D673C0A" w14:textId="77777777" w:rsidR="00CD1621" w:rsidRDefault="00CD1621">
            <w:pPr>
              <w:widowControl w:val="0"/>
              <w:spacing w:before="120" w:after="120" w:line="240" w:lineRule="auto"/>
              <w:jc w:val="center"/>
              <w:rPr>
                <w:rFonts w:ascii="Arial" w:hAnsi="Arial" w:cs="Arial"/>
                <w:sz w:val="20"/>
                <w:szCs w:val="20"/>
                <w:lang w:val="en-GB"/>
              </w:rPr>
            </w:pPr>
          </w:p>
        </w:tc>
        <w:tc>
          <w:tcPr>
            <w:tcW w:w="861" w:type="dxa"/>
            <w:vAlign w:val="center"/>
          </w:tcPr>
          <w:p w14:paraId="0C771D03" w14:textId="77777777" w:rsidR="00CD1621" w:rsidRDefault="00CD1621">
            <w:pPr>
              <w:widowControl w:val="0"/>
              <w:spacing w:before="120" w:after="120" w:line="240" w:lineRule="auto"/>
              <w:jc w:val="center"/>
              <w:rPr>
                <w:rFonts w:ascii="Arial" w:hAnsi="Arial" w:cs="Arial"/>
                <w:sz w:val="20"/>
                <w:szCs w:val="20"/>
                <w:lang w:val="en-GB"/>
              </w:rPr>
            </w:pPr>
          </w:p>
        </w:tc>
      </w:tr>
      <w:tr w:rsidR="00CD1621" w14:paraId="3D2FCEC3" w14:textId="77777777">
        <w:trPr>
          <w:trHeight w:val="300"/>
        </w:trPr>
        <w:tc>
          <w:tcPr>
            <w:tcW w:w="3431" w:type="dxa"/>
            <w:vAlign w:val="center"/>
          </w:tcPr>
          <w:p w14:paraId="3EB00888" w14:textId="77777777" w:rsidR="00CD1621" w:rsidRDefault="00000000">
            <w:pPr>
              <w:widowControl w:val="0"/>
              <w:spacing w:before="120" w:after="120" w:line="240" w:lineRule="auto"/>
              <w:jc w:val="right"/>
              <w:rPr>
                <w:lang w:val="en-GB"/>
              </w:rPr>
            </w:pPr>
            <w:r>
              <w:rPr>
                <w:rFonts w:ascii="Arial" w:eastAsia="Calibri" w:hAnsi="Arial" w:cs="Arial"/>
                <w:color w:val="000000" w:themeColor="text1"/>
                <w:sz w:val="20"/>
                <w:szCs w:val="20"/>
                <w:lang w:val="en-GB"/>
              </w:rPr>
              <w:t>&lt; 25</w:t>
            </w:r>
          </w:p>
        </w:tc>
        <w:tc>
          <w:tcPr>
            <w:tcW w:w="2014" w:type="dxa"/>
            <w:vAlign w:val="bottom"/>
          </w:tcPr>
          <w:p w14:paraId="0244147D"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1.05 (0.45-2.15)</w:t>
            </w:r>
          </w:p>
        </w:tc>
        <w:tc>
          <w:tcPr>
            <w:tcW w:w="873" w:type="dxa"/>
            <w:vAlign w:val="bottom"/>
          </w:tcPr>
          <w:p w14:paraId="08D2B30A"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0.91</w:t>
            </w:r>
          </w:p>
        </w:tc>
        <w:tc>
          <w:tcPr>
            <w:tcW w:w="1881" w:type="dxa"/>
            <w:vAlign w:val="bottom"/>
          </w:tcPr>
          <w:p w14:paraId="162B3FE2"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1.34 (0.25-6.10)</w:t>
            </w:r>
          </w:p>
        </w:tc>
        <w:tc>
          <w:tcPr>
            <w:tcW w:w="861" w:type="dxa"/>
            <w:vAlign w:val="bottom"/>
          </w:tcPr>
          <w:p w14:paraId="143E82E2"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0.71</w:t>
            </w:r>
          </w:p>
        </w:tc>
      </w:tr>
      <w:tr w:rsidR="00CD1621" w14:paraId="210C7BF3" w14:textId="77777777">
        <w:trPr>
          <w:trHeight w:val="300"/>
        </w:trPr>
        <w:tc>
          <w:tcPr>
            <w:tcW w:w="3431" w:type="dxa"/>
            <w:vAlign w:val="center"/>
          </w:tcPr>
          <w:p w14:paraId="6E1BE8F0" w14:textId="77777777" w:rsidR="00CD1621" w:rsidRDefault="00000000">
            <w:pPr>
              <w:widowControl w:val="0"/>
              <w:spacing w:before="120" w:after="120" w:line="240" w:lineRule="auto"/>
              <w:jc w:val="right"/>
              <w:rPr>
                <w:lang w:val="en-GB"/>
              </w:rPr>
            </w:pPr>
            <w:r>
              <w:rPr>
                <w:rFonts w:ascii="Arial" w:eastAsia="Calibri" w:hAnsi="Arial" w:cs="Arial"/>
                <w:color w:val="000000" w:themeColor="text1"/>
                <w:sz w:val="20"/>
                <w:szCs w:val="20"/>
                <w:lang w:val="en-GB"/>
              </w:rPr>
              <w:t>25 - 35</w:t>
            </w:r>
          </w:p>
        </w:tc>
        <w:tc>
          <w:tcPr>
            <w:tcW w:w="2014" w:type="dxa"/>
            <w:vAlign w:val="bottom"/>
          </w:tcPr>
          <w:p w14:paraId="3FC43C78"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REF</w:t>
            </w:r>
          </w:p>
        </w:tc>
        <w:tc>
          <w:tcPr>
            <w:tcW w:w="873" w:type="dxa"/>
            <w:vAlign w:val="bottom"/>
          </w:tcPr>
          <w:p w14:paraId="6650960B"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REF</w:t>
            </w:r>
          </w:p>
        </w:tc>
        <w:tc>
          <w:tcPr>
            <w:tcW w:w="1881" w:type="dxa"/>
            <w:vAlign w:val="bottom"/>
          </w:tcPr>
          <w:p w14:paraId="3C9904A7"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REF</w:t>
            </w:r>
          </w:p>
        </w:tc>
        <w:tc>
          <w:tcPr>
            <w:tcW w:w="861" w:type="dxa"/>
            <w:vAlign w:val="bottom"/>
          </w:tcPr>
          <w:p w14:paraId="555460A5"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REF</w:t>
            </w:r>
          </w:p>
        </w:tc>
      </w:tr>
      <w:tr w:rsidR="00CD1621" w14:paraId="797907C2" w14:textId="77777777">
        <w:trPr>
          <w:trHeight w:val="300"/>
        </w:trPr>
        <w:tc>
          <w:tcPr>
            <w:tcW w:w="3431" w:type="dxa"/>
            <w:vAlign w:val="center"/>
          </w:tcPr>
          <w:p w14:paraId="76FBE33B" w14:textId="77777777" w:rsidR="00CD1621" w:rsidRDefault="00000000">
            <w:pPr>
              <w:widowControl w:val="0"/>
              <w:spacing w:before="120" w:after="120" w:line="240" w:lineRule="auto"/>
              <w:jc w:val="right"/>
              <w:rPr>
                <w:lang w:val="en-GB"/>
              </w:rPr>
            </w:pPr>
            <w:r>
              <w:rPr>
                <w:rFonts w:ascii="Arial" w:eastAsia="Calibri" w:hAnsi="Arial" w:cs="Arial"/>
                <w:color w:val="000000" w:themeColor="text1"/>
                <w:sz w:val="20"/>
                <w:szCs w:val="20"/>
                <w:lang w:val="en-GB"/>
              </w:rPr>
              <w:t>&gt; 35</w:t>
            </w:r>
          </w:p>
        </w:tc>
        <w:tc>
          <w:tcPr>
            <w:tcW w:w="2014" w:type="dxa"/>
            <w:vAlign w:val="bottom"/>
          </w:tcPr>
          <w:p w14:paraId="384932FD"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1.28 (0.87-1.84)</w:t>
            </w:r>
          </w:p>
        </w:tc>
        <w:tc>
          <w:tcPr>
            <w:tcW w:w="873" w:type="dxa"/>
            <w:vAlign w:val="bottom"/>
          </w:tcPr>
          <w:p w14:paraId="6B35E4C1"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0.2</w:t>
            </w:r>
          </w:p>
        </w:tc>
        <w:tc>
          <w:tcPr>
            <w:tcW w:w="1881" w:type="dxa"/>
            <w:vAlign w:val="bottom"/>
          </w:tcPr>
          <w:p w14:paraId="0D95BFF2"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1.03 (0.61-1.72)</w:t>
            </w:r>
          </w:p>
        </w:tc>
        <w:tc>
          <w:tcPr>
            <w:tcW w:w="861" w:type="dxa"/>
            <w:vAlign w:val="bottom"/>
          </w:tcPr>
          <w:p w14:paraId="44F155E5"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0.92</w:t>
            </w:r>
          </w:p>
        </w:tc>
      </w:tr>
      <w:tr w:rsidR="00CD1621" w14:paraId="2195C398" w14:textId="77777777">
        <w:trPr>
          <w:trHeight w:val="300"/>
        </w:trPr>
        <w:tc>
          <w:tcPr>
            <w:tcW w:w="3431" w:type="dxa"/>
            <w:vAlign w:val="center"/>
          </w:tcPr>
          <w:p w14:paraId="332B87F3" w14:textId="77777777" w:rsidR="00CD1621" w:rsidRDefault="00000000">
            <w:pPr>
              <w:widowControl w:val="0"/>
              <w:spacing w:before="120" w:after="120" w:line="240" w:lineRule="auto"/>
              <w:rPr>
                <w:lang w:val="en-GB"/>
              </w:rPr>
            </w:pPr>
            <w:r>
              <w:rPr>
                <w:rFonts w:ascii="Arial" w:eastAsia="Calibri" w:hAnsi="Arial" w:cs="Arial"/>
                <w:color w:val="000000" w:themeColor="text1"/>
                <w:sz w:val="20"/>
                <w:szCs w:val="20"/>
                <w:lang w:val="en-GB"/>
              </w:rPr>
              <w:t>BMI * prior to pregnancy</w:t>
            </w:r>
          </w:p>
        </w:tc>
        <w:tc>
          <w:tcPr>
            <w:tcW w:w="2014" w:type="dxa"/>
            <w:vAlign w:val="bottom"/>
          </w:tcPr>
          <w:p w14:paraId="280B5377"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c>
          <w:tcPr>
            <w:tcW w:w="873" w:type="dxa"/>
            <w:vAlign w:val="bottom"/>
          </w:tcPr>
          <w:p w14:paraId="558DBC12"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c>
          <w:tcPr>
            <w:tcW w:w="1881" w:type="dxa"/>
            <w:vAlign w:val="bottom"/>
          </w:tcPr>
          <w:p w14:paraId="3974CF16"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c>
          <w:tcPr>
            <w:tcW w:w="861" w:type="dxa"/>
            <w:vAlign w:val="bottom"/>
          </w:tcPr>
          <w:p w14:paraId="513962F2"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r>
      <w:tr w:rsidR="00CD1621" w14:paraId="52D5425E" w14:textId="77777777">
        <w:trPr>
          <w:trHeight w:val="300"/>
        </w:trPr>
        <w:tc>
          <w:tcPr>
            <w:tcW w:w="3431" w:type="dxa"/>
            <w:vAlign w:val="center"/>
          </w:tcPr>
          <w:p w14:paraId="097D645B" w14:textId="77777777" w:rsidR="00CD1621" w:rsidRDefault="00000000">
            <w:pPr>
              <w:widowControl w:val="0"/>
              <w:spacing w:before="120" w:after="120" w:line="240" w:lineRule="auto"/>
              <w:jc w:val="right"/>
              <w:rPr>
                <w:lang w:val="en-GB"/>
              </w:rPr>
            </w:pPr>
            <w:r>
              <w:rPr>
                <w:rFonts w:ascii="Arial" w:eastAsia="Calibri" w:hAnsi="Arial" w:cs="Arial"/>
                <w:color w:val="000000" w:themeColor="text1"/>
                <w:sz w:val="20"/>
                <w:szCs w:val="20"/>
                <w:lang w:val="en-GB"/>
              </w:rPr>
              <w:t>&lt; 18.5    Underweight</w:t>
            </w:r>
          </w:p>
        </w:tc>
        <w:tc>
          <w:tcPr>
            <w:tcW w:w="2014" w:type="dxa"/>
            <w:vAlign w:val="bottom"/>
          </w:tcPr>
          <w:p w14:paraId="2A7FAB23"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0.66 (0.16-1.80)</w:t>
            </w:r>
          </w:p>
        </w:tc>
        <w:tc>
          <w:tcPr>
            <w:tcW w:w="873" w:type="dxa"/>
            <w:vAlign w:val="bottom"/>
          </w:tcPr>
          <w:p w14:paraId="7ED51A67"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0.49</w:t>
            </w:r>
          </w:p>
        </w:tc>
        <w:tc>
          <w:tcPr>
            <w:tcW w:w="1881" w:type="dxa"/>
            <w:vAlign w:val="bottom"/>
          </w:tcPr>
          <w:p w14:paraId="5062E691"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1.27 (0.16-7.44)</w:t>
            </w:r>
          </w:p>
        </w:tc>
        <w:tc>
          <w:tcPr>
            <w:tcW w:w="861" w:type="dxa"/>
            <w:vAlign w:val="bottom"/>
          </w:tcPr>
          <w:p w14:paraId="7D3419F8"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0.79</w:t>
            </w:r>
          </w:p>
        </w:tc>
      </w:tr>
      <w:tr w:rsidR="00CD1621" w14:paraId="2EE2BD00" w14:textId="77777777">
        <w:trPr>
          <w:trHeight w:val="300"/>
        </w:trPr>
        <w:tc>
          <w:tcPr>
            <w:tcW w:w="3431" w:type="dxa"/>
            <w:vAlign w:val="center"/>
          </w:tcPr>
          <w:p w14:paraId="5A5FF2FA" w14:textId="77777777" w:rsidR="00CD1621" w:rsidRDefault="00000000">
            <w:pPr>
              <w:widowControl w:val="0"/>
              <w:spacing w:before="120" w:after="120" w:line="240" w:lineRule="auto"/>
              <w:jc w:val="right"/>
              <w:rPr>
                <w:lang w:val="en-GB"/>
              </w:rPr>
            </w:pPr>
            <w:r>
              <w:rPr>
                <w:rFonts w:ascii="Arial" w:eastAsia="Calibri" w:hAnsi="Arial" w:cs="Arial"/>
                <w:color w:val="000000" w:themeColor="text1"/>
                <w:sz w:val="20"/>
                <w:szCs w:val="20"/>
                <w:lang w:val="en-GB"/>
              </w:rPr>
              <w:t>18.5 - 25   Normal weight</w:t>
            </w:r>
          </w:p>
        </w:tc>
        <w:tc>
          <w:tcPr>
            <w:tcW w:w="2014" w:type="dxa"/>
            <w:vAlign w:val="bottom"/>
          </w:tcPr>
          <w:p w14:paraId="2DF95110"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REF</w:t>
            </w:r>
          </w:p>
        </w:tc>
        <w:tc>
          <w:tcPr>
            <w:tcW w:w="873" w:type="dxa"/>
            <w:vAlign w:val="bottom"/>
          </w:tcPr>
          <w:p w14:paraId="50A7B066"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REF</w:t>
            </w:r>
          </w:p>
        </w:tc>
        <w:tc>
          <w:tcPr>
            <w:tcW w:w="1881" w:type="dxa"/>
            <w:vAlign w:val="bottom"/>
          </w:tcPr>
          <w:p w14:paraId="4C270DE0"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REF</w:t>
            </w:r>
          </w:p>
        </w:tc>
        <w:tc>
          <w:tcPr>
            <w:tcW w:w="861" w:type="dxa"/>
            <w:vAlign w:val="bottom"/>
          </w:tcPr>
          <w:p w14:paraId="114C1588"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REF</w:t>
            </w:r>
          </w:p>
        </w:tc>
      </w:tr>
      <w:tr w:rsidR="00CD1621" w14:paraId="36DBBA11" w14:textId="77777777">
        <w:trPr>
          <w:trHeight w:val="300"/>
        </w:trPr>
        <w:tc>
          <w:tcPr>
            <w:tcW w:w="3431" w:type="dxa"/>
            <w:vAlign w:val="center"/>
          </w:tcPr>
          <w:p w14:paraId="4B79847D" w14:textId="77777777" w:rsidR="00CD1621" w:rsidRDefault="00000000">
            <w:pPr>
              <w:widowControl w:val="0"/>
              <w:spacing w:before="120" w:after="120" w:line="240" w:lineRule="auto"/>
              <w:jc w:val="right"/>
              <w:rPr>
                <w:lang w:val="en-GB"/>
              </w:rPr>
            </w:pPr>
            <w:r>
              <w:rPr>
                <w:rFonts w:ascii="Arial" w:eastAsia="Calibri" w:hAnsi="Arial" w:cs="Arial"/>
                <w:color w:val="000000" w:themeColor="text1"/>
                <w:sz w:val="20"/>
                <w:szCs w:val="20"/>
                <w:lang w:val="en-GB"/>
              </w:rPr>
              <w:t>&gt; 25 Overweight</w:t>
            </w:r>
          </w:p>
        </w:tc>
        <w:tc>
          <w:tcPr>
            <w:tcW w:w="2014" w:type="dxa"/>
            <w:vAlign w:val="bottom"/>
          </w:tcPr>
          <w:p w14:paraId="0FDC80EF"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1.27 (0.91-1.76)</w:t>
            </w:r>
          </w:p>
        </w:tc>
        <w:tc>
          <w:tcPr>
            <w:tcW w:w="873" w:type="dxa"/>
            <w:vAlign w:val="bottom"/>
          </w:tcPr>
          <w:p w14:paraId="194B1C48"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0.16</w:t>
            </w:r>
          </w:p>
        </w:tc>
        <w:tc>
          <w:tcPr>
            <w:tcW w:w="1881" w:type="dxa"/>
            <w:vAlign w:val="bottom"/>
          </w:tcPr>
          <w:p w14:paraId="7188A642"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1.20 (0.73-1.97)</w:t>
            </w:r>
          </w:p>
        </w:tc>
        <w:tc>
          <w:tcPr>
            <w:tcW w:w="861" w:type="dxa"/>
            <w:vAlign w:val="bottom"/>
          </w:tcPr>
          <w:p w14:paraId="225F2358"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0.47</w:t>
            </w:r>
          </w:p>
        </w:tc>
      </w:tr>
      <w:tr w:rsidR="00CD1621" w14:paraId="6E307E8F" w14:textId="77777777">
        <w:trPr>
          <w:trHeight w:val="300"/>
        </w:trPr>
        <w:tc>
          <w:tcPr>
            <w:tcW w:w="3431" w:type="dxa"/>
            <w:vAlign w:val="center"/>
          </w:tcPr>
          <w:p w14:paraId="267DE283" w14:textId="77777777" w:rsidR="00CD1621" w:rsidRDefault="00000000">
            <w:pPr>
              <w:widowControl w:val="0"/>
              <w:spacing w:before="120" w:after="120" w:line="240" w:lineRule="auto"/>
              <w:rPr>
                <w:lang w:val="en-GB"/>
              </w:rPr>
            </w:pPr>
            <w:r>
              <w:rPr>
                <w:rFonts w:ascii="Arial" w:eastAsia="Calibri" w:hAnsi="Arial" w:cs="Arial"/>
                <w:color w:val="000000" w:themeColor="text1"/>
                <w:sz w:val="20"/>
                <w:szCs w:val="20"/>
                <w:lang w:val="en-GB"/>
              </w:rPr>
              <w:t>University education</w:t>
            </w:r>
          </w:p>
        </w:tc>
        <w:tc>
          <w:tcPr>
            <w:tcW w:w="2014" w:type="dxa"/>
            <w:vAlign w:val="bottom"/>
          </w:tcPr>
          <w:p w14:paraId="4667883E"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1.17 (0.81-1.66)</w:t>
            </w:r>
          </w:p>
        </w:tc>
        <w:tc>
          <w:tcPr>
            <w:tcW w:w="873" w:type="dxa"/>
            <w:vAlign w:val="bottom"/>
          </w:tcPr>
          <w:p w14:paraId="0CE28566"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0.38</w:t>
            </w:r>
          </w:p>
        </w:tc>
        <w:tc>
          <w:tcPr>
            <w:tcW w:w="1881" w:type="dxa"/>
            <w:vAlign w:val="bottom"/>
          </w:tcPr>
          <w:p w14:paraId="6924497B"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c>
          <w:tcPr>
            <w:tcW w:w="861" w:type="dxa"/>
            <w:vAlign w:val="bottom"/>
          </w:tcPr>
          <w:p w14:paraId="3023F310"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r>
      <w:tr w:rsidR="00CD1621" w14:paraId="053B7C9D" w14:textId="77777777">
        <w:trPr>
          <w:trHeight w:val="300"/>
        </w:trPr>
        <w:tc>
          <w:tcPr>
            <w:tcW w:w="3431" w:type="dxa"/>
            <w:vAlign w:val="center"/>
          </w:tcPr>
          <w:p w14:paraId="5574144E" w14:textId="77777777" w:rsidR="00CD1621" w:rsidRDefault="00000000">
            <w:pPr>
              <w:widowControl w:val="0"/>
              <w:spacing w:before="120" w:after="120" w:line="240" w:lineRule="auto"/>
              <w:rPr>
                <w:lang w:val="en-GB"/>
              </w:rPr>
            </w:pPr>
            <w:r>
              <w:rPr>
                <w:rFonts w:ascii="Arial" w:eastAsia="Calibri" w:hAnsi="Arial" w:cs="Arial"/>
                <w:color w:val="000000" w:themeColor="text1"/>
                <w:sz w:val="20"/>
                <w:szCs w:val="20"/>
                <w:lang w:val="en-GB"/>
              </w:rPr>
              <w:t>Family status</w:t>
            </w:r>
          </w:p>
        </w:tc>
        <w:tc>
          <w:tcPr>
            <w:tcW w:w="2014" w:type="dxa"/>
            <w:vAlign w:val="bottom"/>
          </w:tcPr>
          <w:p w14:paraId="613BE4F4"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1.47 (0.60-3.10)</w:t>
            </w:r>
          </w:p>
        </w:tc>
        <w:tc>
          <w:tcPr>
            <w:tcW w:w="873" w:type="dxa"/>
            <w:vAlign w:val="bottom"/>
          </w:tcPr>
          <w:p w14:paraId="51CB3EB4"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0.35</w:t>
            </w:r>
          </w:p>
        </w:tc>
        <w:tc>
          <w:tcPr>
            <w:tcW w:w="1881" w:type="dxa"/>
            <w:vAlign w:val="bottom"/>
          </w:tcPr>
          <w:p w14:paraId="7D3165F7"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c>
          <w:tcPr>
            <w:tcW w:w="861" w:type="dxa"/>
            <w:vAlign w:val="bottom"/>
          </w:tcPr>
          <w:p w14:paraId="6B21A81E"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r>
      <w:tr w:rsidR="00CD1621" w14:paraId="6DF78711" w14:textId="77777777">
        <w:trPr>
          <w:trHeight w:val="300"/>
        </w:trPr>
        <w:tc>
          <w:tcPr>
            <w:tcW w:w="3431" w:type="dxa"/>
            <w:vAlign w:val="center"/>
          </w:tcPr>
          <w:p w14:paraId="5628544C" w14:textId="77777777" w:rsidR="00CD1621" w:rsidRDefault="00000000">
            <w:pPr>
              <w:widowControl w:val="0"/>
              <w:spacing w:before="120" w:after="120" w:line="240" w:lineRule="auto"/>
              <w:rPr>
                <w:lang w:val="en-GB"/>
              </w:rPr>
            </w:pPr>
            <w:r>
              <w:rPr>
                <w:rFonts w:ascii="Arial" w:eastAsia="Calibri" w:hAnsi="Arial" w:cs="Arial"/>
                <w:color w:val="000000" w:themeColor="text1"/>
                <w:sz w:val="20"/>
                <w:szCs w:val="20"/>
                <w:lang w:val="en-GB"/>
              </w:rPr>
              <w:t>Smoking</w:t>
            </w:r>
          </w:p>
        </w:tc>
        <w:tc>
          <w:tcPr>
            <w:tcW w:w="2014" w:type="dxa"/>
            <w:vAlign w:val="bottom"/>
          </w:tcPr>
          <w:p w14:paraId="6436C977"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1.85 (0.62-4.43)</w:t>
            </w:r>
          </w:p>
        </w:tc>
        <w:tc>
          <w:tcPr>
            <w:tcW w:w="873" w:type="dxa"/>
            <w:vAlign w:val="bottom"/>
          </w:tcPr>
          <w:p w14:paraId="24DBBC9D"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0.21</w:t>
            </w:r>
          </w:p>
        </w:tc>
        <w:tc>
          <w:tcPr>
            <w:tcW w:w="1881" w:type="dxa"/>
            <w:vAlign w:val="bottom"/>
          </w:tcPr>
          <w:p w14:paraId="1CDF9978"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c>
          <w:tcPr>
            <w:tcW w:w="861" w:type="dxa"/>
            <w:vAlign w:val="bottom"/>
          </w:tcPr>
          <w:p w14:paraId="490F608B"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r>
      <w:tr w:rsidR="00CD1621" w14:paraId="6B1AB6F9" w14:textId="77777777">
        <w:trPr>
          <w:trHeight w:val="300"/>
        </w:trPr>
        <w:tc>
          <w:tcPr>
            <w:tcW w:w="3431" w:type="dxa"/>
            <w:vAlign w:val="center"/>
          </w:tcPr>
          <w:p w14:paraId="4C057775" w14:textId="77777777" w:rsidR="00CD1621" w:rsidRDefault="00000000">
            <w:pPr>
              <w:widowControl w:val="0"/>
              <w:spacing w:before="120" w:after="120" w:line="240" w:lineRule="auto"/>
              <w:rPr>
                <w:lang w:val="en-GB"/>
              </w:rPr>
            </w:pPr>
            <w:r>
              <w:rPr>
                <w:rFonts w:ascii="Arial" w:eastAsia="Calibri" w:hAnsi="Arial" w:cs="Arial"/>
                <w:color w:val="000000" w:themeColor="text1"/>
                <w:sz w:val="20"/>
                <w:szCs w:val="20"/>
                <w:lang w:val="en-GB"/>
              </w:rPr>
              <w:t>Previous IUFD **</w:t>
            </w:r>
          </w:p>
        </w:tc>
        <w:tc>
          <w:tcPr>
            <w:tcW w:w="2014" w:type="dxa"/>
            <w:vAlign w:val="bottom"/>
          </w:tcPr>
          <w:p w14:paraId="08C4AD15" w14:textId="77777777" w:rsidR="00CD1621" w:rsidRDefault="00000000">
            <w:pPr>
              <w:widowControl w:val="0"/>
              <w:spacing w:before="120" w:after="120" w:line="240" w:lineRule="auto"/>
              <w:jc w:val="center"/>
              <w:rPr>
                <w:lang w:val="en-GB"/>
              </w:rPr>
            </w:pPr>
            <w:r>
              <w:rPr>
                <w:rFonts w:ascii="Arial" w:hAnsi="Arial" w:cs="Arial"/>
                <w:b/>
                <w:bCs/>
                <w:color w:val="000000"/>
                <w:sz w:val="20"/>
                <w:szCs w:val="20"/>
                <w:lang w:val="en-GB"/>
              </w:rPr>
              <w:t>2.53 (0.93-5.72)</w:t>
            </w:r>
          </w:p>
        </w:tc>
        <w:tc>
          <w:tcPr>
            <w:tcW w:w="873" w:type="dxa"/>
            <w:vAlign w:val="bottom"/>
          </w:tcPr>
          <w:p w14:paraId="7C30AF7B" w14:textId="77777777" w:rsidR="00CD1621" w:rsidRDefault="00000000">
            <w:pPr>
              <w:widowControl w:val="0"/>
              <w:spacing w:before="120" w:after="120" w:line="240" w:lineRule="auto"/>
              <w:jc w:val="center"/>
              <w:rPr>
                <w:lang w:val="en-GB"/>
              </w:rPr>
            </w:pPr>
            <w:r>
              <w:rPr>
                <w:rFonts w:ascii="Arial" w:hAnsi="Arial" w:cs="Arial"/>
                <w:b/>
                <w:bCs/>
                <w:color w:val="000000"/>
                <w:sz w:val="20"/>
                <w:szCs w:val="20"/>
                <w:lang w:val="en-GB"/>
              </w:rPr>
              <w:t>0.04</w:t>
            </w:r>
          </w:p>
        </w:tc>
        <w:tc>
          <w:tcPr>
            <w:tcW w:w="1881" w:type="dxa"/>
            <w:vAlign w:val="bottom"/>
          </w:tcPr>
          <w:p w14:paraId="72C8EC01"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c>
          <w:tcPr>
            <w:tcW w:w="861" w:type="dxa"/>
            <w:vAlign w:val="bottom"/>
          </w:tcPr>
          <w:p w14:paraId="2112D8FA"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r>
      <w:tr w:rsidR="00CD1621" w14:paraId="69B3CB3C" w14:textId="77777777">
        <w:trPr>
          <w:trHeight w:val="300"/>
        </w:trPr>
        <w:tc>
          <w:tcPr>
            <w:tcW w:w="3431" w:type="dxa"/>
            <w:vAlign w:val="center"/>
          </w:tcPr>
          <w:p w14:paraId="7AEA6B96" w14:textId="77777777" w:rsidR="00CD1621" w:rsidRDefault="00000000">
            <w:pPr>
              <w:widowControl w:val="0"/>
              <w:spacing w:before="120" w:after="120" w:line="240" w:lineRule="auto"/>
              <w:rPr>
                <w:lang w:val="en-GB"/>
              </w:rPr>
            </w:pPr>
            <w:r>
              <w:rPr>
                <w:rFonts w:ascii="Arial" w:eastAsia="Calibri" w:hAnsi="Arial" w:cs="Arial"/>
                <w:color w:val="000000" w:themeColor="text1"/>
                <w:sz w:val="20"/>
                <w:szCs w:val="20"/>
                <w:lang w:val="en-GB"/>
              </w:rPr>
              <w:t>Previous preterm birth</w:t>
            </w:r>
          </w:p>
        </w:tc>
        <w:tc>
          <w:tcPr>
            <w:tcW w:w="2014" w:type="dxa"/>
            <w:vAlign w:val="bottom"/>
          </w:tcPr>
          <w:p w14:paraId="0E2E4086" w14:textId="77777777" w:rsidR="00CD1621" w:rsidRDefault="00000000">
            <w:pPr>
              <w:widowControl w:val="0"/>
              <w:spacing w:before="120" w:after="120" w:line="240" w:lineRule="auto"/>
              <w:jc w:val="center"/>
              <w:rPr>
                <w:lang w:val="en-GB"/>
              </w:rPr>
            </w:pPr>
            <w:r>
              <w:rPr>
                <w:rFonts w:ascii="Arial" w:hAnsi="Arial" w:cs="Arial"/>
                <w:b/>
                <w:bCs/>
                <w:color w:val="000000"/>
                <w:sz w:val="20"/>
                <w:szCs w:val="20"/>
                <w:lang w:val="en-GB"/>
              </w:rPr>
              <w:t>9.15 (2.98-24.92)</w:t>
            </w:r>
          </w:p>
        </w:tc>
        <w:tc>
          <w:tcPr>
            <w:tcW w:w="873" w:type="dxa"/>
            <w:vAlign w:val="bottom"/>
          </w:tcPr>
          <w:p w14:paraId="1F6DFEDE" w14:textId="77777777" w:rsidR="00CD1621" w:rsidRDefault="00000000">
            <w:pPr>
              <w:widowControl w:val="0"/>
              <w:spacing w:before="120" w:after="120" w:line="240" w:lineRule="auto"/>
              <w:jc w:val="center"/>
              <w:rPr>
                <w:lang w:val="en-GB"/>
              </w:rPr>
            </w:pPr>
            <w:r>
              <w:rPr>
                <w:rFonts w:ascii="Arial" w:hAnsi="Arial" w:cs="Arial"/>
                <w:b/>
                <w:bCs/>
                <w:color w:val="000000"/>
                <w:sz w:val="20"/>
                <w:szCs w:val="20"/>
                <w:lang w:val="en-GB"/>
              </w:rPr>
              <w:t>3.00E-05</w:t>
            </w:r>
          </w:p>
        </w:tc>
        <w:tc>
          <w:tcPr>
            <w:tcW w:w="1881" w:type="dxa"/>
            <w:vAlign w:val="bottom"/>
          </w:tcPr>
          <w:p w14:paraId="59D7483D"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c>
          <w:tcPr>
            <w:tcW w:w="861" w:type="dxa"/>
            <w:vAlign w:val="bottom"/>
          </w:tcPr>
          <w:p w14:paraId="32FB31D7"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r>
      <w:tr w:rsidR="00CD1621" w14:paraId="5CF10542" w14:textId="77777777">
        <w:trPr>
          <w:trHeight w:val="300"/>
        </w:trPr>
        <w:tc>
          <w:tcPr>
            <w:tcW w:w="3431" w:type="dxa"/>
            <w:vAlign w:val="center"/>
          </w:tcPr>
          <w:p w14:paraId="3188BD9A" w14:textId="77777777" w:rsidR="00CD1621" w:rsidRDefault="00000000">
            <w:pPr>
              <w:widowControl w:val="0"/>
              <w:spacing w:before="120" w:after="120" w:line="240" w:lineRule="auto"/>
              <w:rPr>
                <w:lang w:val="en-GB"/>
              </w:rPr>
            </w:pPr>
            <w:r>
              <w:rPr>
                <w:rFonts w:ascii="Arial" w:eastAsia="Calibri" w:hAnsi="Arial" w:cs="Arial"/>
                <w:color w:val="000000" w:themeColor="text1"/>
                <w:sz w:val="20"/>
                <w:szCs w:val="20"/>
                <w:lang w:val="en-GB"/>
              </w:rPr>
              <w:t>Any drugs used during pregnancy</w:t>
            </w:r>
          </w:p>
        </w:tc>
        <w:tc>
          <w:tcPr>
            <w:tcW w:w="2014" w:type="dxa"/>
            <w:vAlign w:val="bottom"/>
          </w:tcPr>
          <w:p w14:paraId="65DE79A3"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2.38 (1.00-5.93)</w:t>
            </w:r>
          </w:p>
        </w:tc>
        <w:tc>
          <w:tcPr>
            <w:tcW w:w="873" w:type="dxa"/>
            <w:vAlign w:val="bottom"/>
          </w:tcPr>
          <w:p w14:paraId="22ED4100"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0.05</w:t>
            </w:r>
          </w:p>
        </w:tc>
        <w:tc>
          <w:tcPr>
            <w:tcW w:w="1881" w:type="dxa"/>
            <w:vAlign w:val="bottom"/>
          </w:tcPr>
          <w:p w14:paraId="02E36E3A"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c>
          <w:tcPr>
            <w:tcW w:w="861" w:type="dxa"/>
            <w:vAlign w:val="bottom"/>
          </w:tcPr>
          <w:p w14:paraId="6A0856A6"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r>
      <w:tr w:rsidR="00CD1621" w14:paraId="4290BEF3" w14:textId="77777777">
        <w:trPr>
          <w:trHeight w:val="300"/>
        </w:trPr>
        <w:tc>
          <w:tcPr>
            <w:tcW w:w="3431" w:type="dxa"/>
            <w:vAlign w:val="center"/>
          </w:tcPr>
          <w:p w14:paraId="2563957C" w14:textId="77777777" w:rsidR="00CD1621" w:rsidRDefault="00000000">
            <w:pPr>
              <w:widowControl w:val="0"/>
              <w:spacing w:before="120" w:after="120" w:line="240" w:lineRule="auto"/>
              <w:rPr>
                <w:lang w:val="en-GB"/>
              </w:rPr>
            </w:pPr>
            <w:r>
              <w:rPr>
                <w:rFonts w:ascii="Arial" w:eastAsia="Calibri" w:hAnsi="Arial" w:cs="Arial"/>
                <w:color w:val="000000" w:themeColor="text1"/>
                <w:sz w:val="20"/>
                <w:szCs w:val="20"/>
                <w:lang w:val="en-GB"/>
              </w:rPr>
              <w:t>Multiple drugs used during pregnancy</w:t>
            </w:r>
          </w:p>
        </w:tc>
        <w:tc>
          <w:tcPr>
            <w:tcW w:w="2014" w:type="dxa"/>
            <w:vAlign w:val="bottom"/>
          </w:tcPr>
          <w:p w14:paraId="786A8E16"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0.52 (0.22-1.18)</w:t>
            </w:r>
          </w:p>
        </w:tc>
        <w:tc>
          <w:tcPr>
            <w:tcW w:w="873" w:type="dxa"/>
            <w:vAlign w:val="bottom"/>
          </w:tcPr>
          <w:p w14:paraId="2AD9CC3E"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0.12</w:t>
            </w:r>
          </w:p>
        </w:tc>
        <w:tc>
          <w:tcPr>
            <w:tcW w:w="1881" w:type="dxa"/>
            <w:vAlign w:val="bottom"/>
          </w:tcPr>
          <w:p w14:paraId="007D2FE2"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c>
          <w:tcPr>
            <w:tcW w:w="861" w:type="dxa"/>
            <w:vAlign w:val="bottom"/>
          </w:tcPr>
          <w:p w14:paraId="5DA29DE8"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r>
      <w:tr w:rsidR="00CD1621" w14:paraId="63BC3813" w14:textId="77777777">
        <w:trPr>
          <w:trHeight w:val="300"/>
        </w:trPr>
        <w:tc>
          <w:tcPr>
            <w:tcW w:w="3431" w:type="dxa"/>
            <w:vAlign w:val="center"/>
          </w:tcPr>
          <w:p w14:paraId="45FA4446" w14:textId="77777777" w:rsidR="00CD1621" w:rsidRDefault="00000000">
            <w:pPr>
              <w:widowControl w:val="0"/>
              <w:spacing w:before="120" w:after="120" w:line="240" w:lineRule="auto"/>
              <w:rPr>
                <w:lang w:val="en-GB"/>
              </w:rPr>
            </w:pPr>
            <w:r>
              <w:rPr>
                <w:rFonts w:ascii="Arial" w:eastAsia="Calibri" w:hAnsi="Arial" w:cs="Arial"/>
                <w:color w:val="000000" w:themeColor="text1"/>
                <w:sz w:val="20"/>
                <w:szCs w:val="20"/>
                <w:lang w:val="en-GB"/>
              </w:rPr>
              <w:t>Neurological medication</w:t>
            </w:r>
          </w:p>
        </w:tc>
        <w:tc>
          <w:tcPr>
            <w:tcW w:w="2014" w:type="dxa"/>
            <w:vAlign w:val="bottom"/>
          </w:tcPr>
          <w:p w14:paraId="2D19FCA9"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1.03 (0.49-1.98)</w:t>
            </w:r>
          </w:p>
        </w:tc>
        <w:tc>
          <w:tcPr>
            <w:tcW w:w="873" w:type="dxa"/>
            <w:vAlign w:val="bottom"/>
          </w:tcPr>
          <w:p w14:paraId="58FEA0F5"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0.92</w:t>
            </w:r>
          </w:p>
        </w:tc>
        <w:tc>
          <w:tcPr>
            <w:tcW w:w="1881" w:type="dxa"/>
            <w:vAlign w:val="bottom"/>
          </w:tcPr>
          <w:p w14:paraId="3B71AE5F"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c>
          <w:tcPr>
            <w:tcW w:w="861" w:type="dxa"/>
            <w:vAlign w:val="bottom"/>
          </w:tcPr>
          <w:p w14:paraId="133B4469"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r>
      <w:tr w:rsidR="00CD1621" w14:paraId="3CDF9D04" w14:textId="77777777">
        <w:trPr>
          <w:trHeight w:val="300"/>
        </w:trPr>
        <w:tc>
          <w:tcPr>
            <w:tcW w:w="3431" w:type="dxa"/>
            <w:vAlign w:val="center"/>
          </w:tcPr>
          <w:p w14:paraId="46C01921" w14:textId="77777777" w:rsidR="00CD1621" w:rsidRDefault="00000000">
            <w:pPr>
              <w:widowControl w:val="0"/>
              <w:spacing w:before="120" w:after="120" w:line="240" w:lineRule="auto"/>
              <w:rPr>
                <w:lang w:val="en-GB"/>
              </w:rPr>
            </w:pPr>
            <w:r>
              <w:rPr>
                <w:rFonts w:ascii="Arial" w:eastAsia="Calibri" w:hAnsi="Arial" w:cs="Arial"/>
                <w:color w:val="000000" w:themeColor="text1"/>
                <w:sz w:val="20"/>
                <w:szCs w:val="20"/>
                <w:lang w:val="en-GB"/>
              </w:rPr>
              <w:t>Gastrointestinal medication</w:t>
            </w:r>
          </w:p>
        </w:tc>
        <w:tc>
          <w:tcPr>
            <w:tcW w:w="2014" w:type="dxa"/>
            <w:vAlign w:val="bottom"/>
          </w:tcPr>
          <w:p w14:paraId="5290D3DD" w14:textId="77777777" w:rsidR="00CD1621" w:rsidRDefault="00000000">
            <w:pPr>
              <w:widowControl w:val="0"/>
              <w:spacing w:before="120" w:after="120" w:line="240" w:lineRule="auto"/>
              <w:jc w:val="center"/>
              <w:rPr>
                <w:lang w:val="en-GB"/>
              </w:rPr>
            </w:pPr>
            <w:r>
              <w:rPr>
                <w:rFonts w:ascii="Arial" w:hAnsi="Arial" w:cs="Arial"/>
                <w:b/>
                <w:bCs/>
                <w:color w:val="000000"/>
                <w:sz w:val="20"/>
                <w:szCs w:val="20"/>
                <w:lang w:val="en-GB"/>
              </w:rPr>
              <w:t>3.40 (1.10-8.91)</w:t>
            </w:r>
          </w:p>
        </w:tc>
        <w:tc>
          <w:tcPr>
            <w:tcW w:w="873" w:type="dxa"/>
            <w:vAlign w:val="bottom"/>
          </w:tcPr>
          <w:p w14:paraId="191CAD10" w14:textId="77777777" w:rsidR="00CD1621" w:rsidRDefault="00000000">
            <w:pPr>
              <w:widowControl w:val="0"/>
              <w:spacing w:before="120" w:after="120" w:line="240" w:lineRule="auto"/>
              <w:jc w:val="center"/>
              <w:rPr>
                <w:lang w:val="en-GB"/>
              </w:rPr>
            </w:pPr>
            <w:r>
              <w:rPr>
                <w:rFonts w:ascii="Arial" w:hAnsi="Arial" w:cs="Arial"/>
                <w:b/>
                <w:bCs/>
                <w:color w:val="000000"/>
                <w:sz w:val="20"/>
                <w:szCs w:val="20"/>
                <w:lang w:val="en-GB"/>
              </w:rPr>
              <w:t>0.02</w:t>
            </w:r>
          </w:p>
        </w:tc>
        <w:tc>
          <w:tcPr>
            <w:tcW w:w="1881" w:type="dxa"/>
            <w:vAlign w:val="bottom"/>
          </w:tcPr>
          <w:p w14:paraId="7C28083D"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c>
          <w:tcPr>
            <w:tcW w:w="861" w:type="dxa"/>
            <w:vAlign w:val="bottom"/>
          </w:tcPr>
          <w:p w14:paraId="26D10CAA"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r>
      <w:tr w:rsidR="00CD1621" w14:paraId="46BD37D4" w14:textId="77777777">
        <w:trPr>
          <w:trHeight w:val="300"/>
        </w:trPr>
        <w:tc>
          <w:tcPr>
            <w:tcW w:w="3431" w:type="dxa"/>
            <w:vAlign w:val="center"/>
          </w:tcPr>
          <w:p w14:paraId="69977253" w14:textId="77777777" w:rsidR="00CD1621" w:rsidRDefault="00000000">
            <w:pPr>
              <w:widowControl w:val="0"/>
              <w:spacing w:before="120" w:after="120" w:line="240" w:lineRule="auto"/>
              <w:rPr>
                <w:lang w:val="en-GB"/>
              </w:rPr>
            </w:pPr>
            <w:r>
              <w:rPr>
                <w:rFonts w:ascii="Arial" w:eastAsia="Calibri" w:hAnsi="Arial" w:cs="Arial"/>
                <w:color w:val="000000" w:themeColor="text1"/>
                <w:sz w:val="20"/>
                <w:szCs w:val="20"/>
                <w:lang w:val="en-GB"/>
              </w:rPr>
              <w:t>High blood pressure early pregnancy</w:t>
            </w:r>
          </w:p>
        </w:tc>
        <w:tc>
          <w:tcPr>
            <w:tcW w:w="2014" w:type="dxa"/>
            <w:vAlign w:val="bottom"/>
          </w:tcPr>
          <w:p w14:paraId="7209CC1E"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3.31 (0.84-10.44)</w:t>
            </w:r>
          </w:p>
        </w:tc>
        <w:tc>
          <w:tcPr>
            <w:tcW w:w="873" w:type="dxa"/>
            <w:vAlign w:val="bottom"/>
          </w:tcPr>
          <w:p w14:paraId="7CE87F4D"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0.06</w:t>
            </w:r>
          </w:p>
        </w:tc>
        <w:tc>
          <w:tcPr>
            <w:tcW w:w="1881" w:type="dxa"/>
            <w:vAlign w:val="bottom"/>
          </w:tcPr>
          <w:p w14:paraId="7E689618"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c>
          <w:tcPr>
            <w:tcW w:w="861" w:type="dxa"/>
            <w:vAlign w:val="bottom"/>
          </w:tcPr>
          <w:p w14:paraId="0D5310EE"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r>
      <w:tr w:rsidR="00CD1621" w14:paraId="5E029912" w14:textId="77777777">
        <w:trPr>
          <w:trHeight w:val="300"/>
        </w:trPr>
        <w:tc>
          <w:tcPr>
            <w:tcW w:w="3431" w:type="dxa"/>
            <w:vAlign w:val="center"/>
          </w:tcPr>
          <w:p w14:paraId="641390C9" w14:textId="77777777" w:rsidR="00CD1621" w:rsidRDefault="00000000">
            <w:pPr>
              <w:widowControl w:val="0"/>
              <w:spacing w:before="120" w:after="120" w:line="240" w:lineRule="auto"/>
              <w:rPr>
                <w:lang w:val="en-GB"/>
              </w:rPr>
            </w:pPr>
            <w:r>
              <w:rPr>
                <w:rFonts w:ascii="Arial" w:eastAsia="Calibri" w:hAnsi="Arial" w:cs="Arial"/>
                <w:color w:val="000000" w:themeColor="text1"/>
                <w:sz w:val="20"/>
                <w:szCs w:val="20"/>
                <w:lang w:val="en-GB"/>
              </w:rPr>
              <w:t>Pregnancy week of sampling</w:t>
            </w:r>
          </w:p>
        </w:tc>
        <w:tc>
          <w:tcPr>
            <w:tcW w:w="2014" w:type="dxa"/>
            <w:vAlign w:val="bottom"/>
          </w:tcPr>
          <w:p w14:paraId="5DA667E1"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0.98 (0.94-1.03)</w:t>
            </w:r>
          </w:p>
        </w:tc>
        <w:tc>
          <w:tcPr>
            <w:tcW w:w="873" w:type="dxa"/>
            <w:vAlign w:val="bottom"/>
          </w:tcPr>
          <w:p w14:paraId="53EBFC0D"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0.53</w:t>
            </w:r>
          </w:p>
        </w:tc>
        <w:tc>
          <w:tcPr>
            <w:tcW w:w="1881" w:type="dxa"/>
            <w:vAlign w:val="bottom"/>
          </w:tcPr>
          <w:p w14:paraId="1F316C58"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c>
          <w:tcPr>
            <w:tcW w:w="861" w:type="dxa"/>
            <w:vAlign w:val="bottom"/>
          </w:tcPr>
          <w:p w14:paraId="46163BD8"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 </w:t>
            </w:r>
          </w:p>
        </w:tc>
      </w:tr>
      <w:tr w:rsidR="00CD1621" w14:paraId="08A9F19E" w14:textId="77777777">
        <w:trPr>
          <w:trHeight w:val="300"/>
        </w:trPr>
        <w:tc>
          <w:tcPr>
            <w:tcW w:w="3431" w:type="dxa"/>
            <w:vAlign w:val="center"/>
          </w:tcPr>
          <w:p w14:paraId="24B72BF2" w14:textId="77777777" w:rsidR="00CD1621" w:rsidRDefault="00000000">
            <w:pPr>
              <w:widowControl w:val="0"/>
              <w:spacing w:before="120" w:after="120" w:line="240" w:lineRule="auto"/>
              <w:rPr>
                <w:lang w:val="en-GB"/>
              </w:rPr>
            </w:pPr>
            <w:r>
              <w:rPr>
                <w:rFonts w:ascii="Arial" w:eastAsia="Calibri" w:hAnsi="Arial" w:cs="Arial"/>
                <w:color w:val="000000" w:themeColor="text1"/>
                <w:sz w:val="20"/>
                <w:szCs w:val="20"/>
                <w:lang w:val="en-GB"/>
              </w:rPr>
              <w:t>Pre Covid-19 ***</w:t>
            </w:r>
          </w:p>
        </w:tc>
        <w:tc>
          <w:tcPr>
            <w:tcW w:w="2014" w:type="dxa"/>
            <w:vAlign w:val="bottom"/>
          </w:tcPr>
          <w:p w14:paraId="221DA5AD"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0.76 (0.55-1.06)</w:t>
            </w:r>
          </w:p>
        </w:tc>
        <w:tc>
          <w:tcPr>
            <w:tcW w:w="873" w:type="dxa"/>
            <w:vAlign w:val="bottom"/>
          </w:tcPr>
          <w:p w14:paraId="6669B19E"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0.09</w:t>
            </w:r>
          </w:p>
        </w:tc>
        <w:tc>
          <w:tcPr>
            <w:tcW w:w="1881" w:type="dxa"/>
            <w:vAlign w:val="bottom"/>
          </w:tcPr>
          <w:p w14:paraId="7FCFD715"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0.61 (0.37-1.01)</w:t>
            </w:r>
          </w:p>
        </w:tc>
        <w:tc>
          <w:tcPr>
            <w:tcW w:w="861" w:type="dxa"/>
            <w:vAlign w:val="bottom"/>
          </w:tcPr>
          <w:p w14:paraId="637B34EA" w14:textId="77777777" w:rsidR="00CD1621" w:rsidRDefault="00000000">
            <w:pPr>
              <w:widowControl w:val="0"/>
              <w:spacing w:before="120" w:after="120" w:line="240" w:lineRule="auto"/>
              <w:jc w:val="center"/>
              <w:rPr>
                <w:lang w:val="en-GB"/>
              </w:rPr>
            </w:pPr>
            <w:r>
              <w:rPr>
                <w:rFonts w:ascii="Arial" w:hAnsi="Arial" w:cs="Arial"/>
                <w:color w:val="000000"/>
                <w:sz w:val="20"/>
                <w:szCs w:val="20"/>
                <w:lang w:val="en-GB"/>
              </w:rPr>
              <w:t>0.06</w:t>
            </w:r>
          </w:p>
        </w:tc>
      </w:tr>
    </w:tbl>
    <w:p w14:paraId="7AA6F07E" w14:textId="77777777" w:rsidR="00CD1621" w:rsidRDefault="00000000">
      <w:pPr>
        <w:spacing w:before="120" w:after="120" w:line="480" w:lineRule="auto"/>
        <w:jc w:val="both"/>
        <w:rPr>
          <w:lang w:val="en-GB"/>
        </w:rPr>
      </w:pPr>
      <w:r>
        <w:rPr>
          <w:rFonts w:ascii="Arial" w:eastAsia="Calibri" w:hAnsi="Arial" w:cs="Arial"/>
          <w:color w:val="000000" w:themeColor="text1"/>
          <w:sz w:val="20"/>
          <w:szCs w:val="20"/>
          <w:lang w:val="en-GB"/>
        </w:rPr>
        <w:t>*Body mass index, **Intrauterine fetal demise, ***Defined as March 1st 2020; REF, Reference group</w:t>
      </w:r>
    </w:p>
    <w:p w14:paraId="71651785" w14:textId="77777777" w:rsidR="00CD1621" w:rsidRDefault="00CD1621">
      <w:pPr>
        <w:spacing w:before="120" w:after="120" w:line="480" w:lineRule="auto"/>
        <w:jc w:val="both"/>
        <w:rPr>
          <w:rFonts w:ascii="Arial" w:eastAsia="Calibri" w:hAnsi="Arial" w:cs="Arial"/>
          <w:color w:val="000000" w:themeColor="text1"/>
          <w:sz w:val="20"/>
          <w:szCs w:val="20"/>
          <w:lang w:val="en-GB"/>
        </w:rPr>
      </w:pPr>
    </w:p>
    <w:p w14:paraId="4E442BFF" w14:textId="77777777" w:rsidR="00CD1621" w:rsidRDefault="00CD1621">
      <w:pPr>
        <w:spacing w:before="120" w:after="120" w:line="480" w:lineRule="auto"/>
        <w:jc w:val="both"/>
        <w:rPr>
          <w:rFonts w:ascii="Arial" w:eastAsia="Calibri" w:hAnsi="Arial" w:cs="Arial"/>
          <w:color w:val="000000" w:themeColor="text1"/>
          <w:sz w:val="20"/>
          <w:szCs w:val="20"/>
          <w:lang w:val="en-GB"/>
        </w:rPr>
      </w:pPr>
    </w:p>
    <w:p w14:paraId="2858B805" w14:textId="77777777" w:rsidR="00CD1621" w:rsidRDefault="00CD1621">
      <w:pPr>
        <w:spacing w:before="120" w:after="120" w:line="480" w:lineRule="auto"/>
        <w:jc w:val="both"/>
        <w:rPr>
          <w:rFonts w:ascii="Arial" w:hAnsi="Arial" w:cs="Arial"/>
          <w:b/>
          <w:bCs/>
          <w:sz w:val="28"/>
          <w:szCs w:val="28"/>
          <w:lang w:val="en-GB"/>
        </w:rPr>
      </w:pPr>
    </w:p>
    <w:p w14:paraId="6E985E3F" w14:textId="77777777" w:rsidR="00CD1621" w:rsidRDefault="00000000">
      <w:pPr>
        <w:spacing w:before="120" w:after="120" w:line="480" w:lineRule="auto"/>
        <w:jc w:val="both"/>
        <w:rPr>
          <w:lang w:val="en-GB"/>
        </w:rPr>
      </w:pPr>
      <w:r>
        <w:rPr>
          <w:rFonts w:ascii="Arial" w:hAnsi="Arial" w:cs="Arial"/>
          <w:b/>
          <w:bCs/>
          <w:sz w:val="28"/>
          <w:szCs w:val="28"/>
          <w:lang w:val="en-GB"/>
        </w:rPr>
        <w:t>2 PERMANOVA variables tested</w:t>
      </w:r>
    </w:p>
    <w:p w14:paraId="66648D32" w14:textId="77777777" w:rsidR="00CD1621" w:rsidRDefault="00000000">
      <w:pPr>
        <w:spacing w:before="120" w:after="120" w:line="276" w:lineRule="auto"/>
        <w:jc w:val="both"/>
        <w:rPr>
          <w:lang w:val="en-GB"/>
        </w:rPr>
      </w:pPr>
      <w:r>
        <w:rPr>
          <w:rFonts w:ascii="Arial" w:hAnsi="Arial" w:cs="Arial"/>
          <w:i/>
          <w:iCs/>
          <w:lang w:val="en-GB"/>
        </w:rPr>
        <w:t>Table S3. Questionnaire variables included in PERMANOVA analysis for vaginal and fecal microbiome samples.</w:t>
      </w:r>
    </w:p>
    <w:tbl>
      <w:tblPr>
        <w:tblStyle w:val="TableGrid"/>
        <w:tblW w:w="8825" w:type="dxa"/>
        <w:tblLayout w:type="fixed"/>
        <w:tblLook w:val="06A0" w:firstRow="1" w:lastRow="0" w:firstColumn="1" w:lastColumn="0" w:noHBand="1" w:noVBand="1"/>
      </w:tblPr>
      <w:tblGrid>
        <w:gridCol w:w="3019"/>
        <w:gridCol w:w="5806"/>
      </w:tblGrid>
      <w:tr w:rsidR="00CD1621" w14:paraId="4310362D" w14:textId="77777777">
        <w:trPr>
          <w:trHeight w:val="300"/>
        </w:trPr>
        <w:tc>
          <w:tcPr>
            <w:tcW w:w="3019" w:type="dxa"/>
          </w:tcPr>
          <w:p w14:paraId="3A89B02D" w14:textId="77777777" w:rsidR="00CD1621" w:rsidRDefault="00000000">
            <w:pPr>
              <w:widowControl w:val="0"/>
              <w:spacing w:line="276" w:lineRule="auto"/>
              <w:rPr>
                <w:lang w:val="en-GB"/>
              </w:rPr>
            </w:pPr>
            <w:r>
              <w:rPr>
                <w:rFonts w:ascii="Arial" w:eastAsia="Calibri" w:hAnsi="Arial" w:cs="Arial"/>
                <w:b/>
                <w:bCs/>
                <w:lang w:val="en-GB"/>
              </w:rPr>
              <w:t>Timepoint</w:t>
            </w:r>
          </w:p>
        </w:tc>
        <w:tc>
          <w:tcPr>
            <w:tcW w:w="5805" w:type="dxa"/>
          </w:tcPr>
          <w:p w14:paraId="4F386F3C" w14:textId="77777777" w:rsidR="00CD1621" w:rsidRDefault="00000000">
            <w:pPr>
              <w:widowControl w:val="0"/>
              <w:spacing w:line="276" w:lineRule="auto"/>
              <w:rPr>
                <w:lang w:val="en-GB"/>
              </w:rPr>
            </w:pPr>
            <w:r>
              <w:rPr>
                <w:rFonts w:ascii="Arial" w:eastAsia="Calibri" w:hAnsi="Arial" w:cs="Arial"/>
                <w:b/>
                <w:bCs/>
                <w:lang w:val="en-GB"/>
              </w:rPr>
              <w:t>Variables</w:t>
            </w:r>
          </w:p>
        </w:tc>
      </w:tr>
      <w:tr w:rsidR="00CD1621" w14:paraId="210C645A" w14:textId="77777777">
        <w:trPr>
          <w:trHeight w:val="300"/>
        </w:trPr>
        <w:tc>
          <w:tcPr>
            <w:tcW w:w="3019" w:type="dxa"/>
          </w:tcPr>
          <w:p w14:paraId="5FFB2CF8" w14:textId="77777777" w:rsidR="00CD1621" w:rsidRDefault="00000000">
            <w:pPr>
              <w:widowControl w:val="0"/>
              <w:spacing w:line="276" w:lineRule="auto"/>
              <w:rPr>
                <w:lang w:val="en-GB"/>
              </w:rPr>
            </w:pPr>
            <w:r>
              <w:rPr>
                <w:rFonts w:ascii="Arial" w:eastAsia="Calibri" w:hAnsi="Arial" w:cs="Arial"/>
                <w:lang w:val="en-GB"/>
              </w:rPr>
              <w:t>Timepoint one and two microbiome analysis</w:t>
            </w:r>
          </w:p>
        </w:tc>
        <w:tc>
          <w:tcPr>
            <w:tcW w:w="5805" w:type="dxa"/>
          </w:tcPr>
          <w:p w14:paraId="41F91104" w14:textId="77777777" w:rsidR="00CD1621" w:rsidRDefault="00000000">
            <w:pPr>
              <w:widowControl w:val="0"/>
              <w:spacing w:line="276" w:lineRule="auto"/>
              <w:rPr>
                <w:lang w:val="en-GB"/>
              </w:rPr>
            </w:pPr>
            <w:r>
              <w:rPr>
                <w:rFonts w:ascii="Arial" w:eastAsia="Calibri" w:hAnsi="Arial" w:cs="Arial"/>
                <w:b/>
                <w:bCs/>
                <w:lang w:val="en-GB"/>
              </w:rPr>
              <w:t>Background variables:</w:t>
            </w:r>
          </w:p>
          <w:p w14:paraId="0B0EA803" w14:textId="77777777" w:rsidR="00CD1621" w:rsidRDefault="00000000">
            <w:pPr>
              <w:widowControl w:val="0"/>
              <w:spacing w:line="276" w:lineRule="auto"/>
              <w:rPr>
                <w:lang w:val="en-GB"/>
              </w:rPr>
            </w:pPr>
            <w:r>
              <w:rPr>
                <w:rFonts w:ascii="Arial" w:eastAsia="Calibri" w:hAnsi="Arial" w:cs="Arial"/>
                <w:lang w:val="en-GB"/>
              </w:rPr>
              <w:t>Age (groups; &lt;25, 25-35, &gt;35)</w:t>
            </w:r>
          </w:p>
          <w:p w14:paraId="4C504199" w14:textId="77777777" w:rsidR="00CD1621" w:rsidRDefault="00000000">
            <w:pPr>
              <w:widowControl w:val="0"/>
              <w:spacing w:line="276" w:lineRule="auto"/>
              <w:rPr>
                <w:lang w:val="en-GB"/>
              </w:rPr>
            </w:pPr>
            <w:r>
              <w:rPr>
                <w:rFonts w:ascii="Arial" w:eastAsia="Calibri" w:hAnsi="Arial" w:cs="Arial"/>
                <w:lang w:val="en-GB"/>
              </w:rPr>
              <w:t>BMI before pregnancy (Groups; underweight, average weight, overweight, obese)</w:t>
            </w:r>
          </w:p>
          <w:p w14:paraId="3DF16180" w14:textId="77777777" w:rsidR="00CD1621" w:rsidRDefault="00000000">
            <w:pPr>
              <w:widowControl w:val="0"/>
              <w:spacing w:line="276" w:lineRule="auto"/>
              <w:rPr>
                <w:lang w:val="en-GB"/>
              </w:rPr>
            </w:pPr>
            <w:r>
              <w:rPr>
                <w:rFonts w:ascii="Arial" w:eastAsia="Calibri" w:hAnsi="Arial" w:cs="Arial"/>
                <w:lang w:val="en-GB"/>
              </w:rPr>
              <w:t>BMI early pregnancy (Groups; underweight, average weight, overweight, obese)</w:t>
            </w:r>
          </w:p>
          <w:p w14:paraId="703639F3" w14:textId="77777777" w:rsidR="00CD1621" w:rsidRDefault="00000000">
            <w:pPr>
              <w:widowControl w:val="0"/>
              <w:spacing w:line="276" w:lineRule="auto"/>
              <w:rPr>
                <w:lang w:val="en-GB"/>
              </w:rPr>
            </w:pPr>
            <w:r>
              <w:rPr>
                <w:rFonts w:ascii="Arial" w:eastAsia="Calibri" w:hAnsi="Arial" w:cs="Arial"/>
                <w:lang w:val="en-GB"/>
              </w:rPr>
              <w:t>Parity (primiparous or not)</w:t>
            </w:r>
          </w:p>
          <w:p w14:paraId="6B59FFEF" w14:textId="77777777" w:rsidR="00CD1621" w:rsidRDefault="00000000">
            <w:pPr>
              <w:widowControl w:val="0"/>
              <w:spacing w:line="276" w:lineRule="auto"/>
              <w:rPr>
                <w:lang w:val="en-GB"/>
              </w:rPr>
            </w:pPr>
            <w:r>
              <w:rPr>
                <w:rFonts w:ascii="Arial" w:eastAsia="Calibri" w:hAnsi="Arial" w:cs="Arial"/>
                <w:lang w:val="en-GB"/>
              </w:rPr>
              <w:t>Time to pregnancy (Groups; &lt; 6 months, 6-12 months, &gt; 12 months)</w:t>
            </w:r>
          </w:p>
          <w:p w14:paraId="76BC59F3" w14:textId="77777777" w:rsidR="00CD1621" w:rsidRDefault="00000000">
            <w:pPr>
              <w:widowControl w:val="0"/>
              <w:spacing w:line="276" w:lineRule="auto"/>
              <w:rPr>
                <w:lang w:val="en-GB"/>
              </w:rPr>
            </w:pPr>
            <w:r>
              <w:rPr>
                <w:rFonts w:ascii="Arial" w:eastAsia="Calibri" w:hAnsi="Arial" w:cs="Arial"/>
                <w:lang w:val="en-GB"/>
              </w:rPr>
              <w:t>Smoking (yes/no)</w:t>
            </w:r>
          </w:p>
          <w:p w14:paraId="32D3AF4C" w14:textId="77777777" w:rsidR="00CD1621" w:rsidRDefault="00000000">
            <w:pPr>
              <w:widowControl w:val="0"/>
              <w:spacing w:line="276" w:lineRule="auto"/>
              <w:rPr>
                <w:lang w:val="en-GB"/>
              </w:rPr>
            </w:pPr>
            <w:r>
              <w:rPr>
                <w:rFonts w:ascii="Arial" w:eastAsia="Calibri" w:hAnsi="Arial" w:cs="Arial"/>
                <w:lang w:val="en-GB"/>
              </w:rPr>
              <w:t>Snuff / smokeless tobacco (yes/no)</w:t>
            </w:r>
          </w:p>
          <w:p w14:paraId="7DF8BF5C" w14:textId="77777777" w:rsidR="00CD1621" w:rsidRDefault="00000000">
            <w:pPr>
              <w:widowControl w:val="0"/>
              <w:spacing w:line="276" w:lineRule="auto"/>
              <w:rPr>
                <w:lang w:val="en-GB"/>
              </w:rPr>
            </w:pPr>
            <w:r>
              <w:rPr>
                <w:rFonts w:ascii="Arial" w:eastAsia="Calibri" w:hAnsi="Arial" w:cs="Arial"/>
                <w:lang w:val="en-GB"/>
              </w:rPr>
              <w:t>Number of cigarettes daily (continuous)</w:t>
            </w:r>
          </w:p>
          <w:p w14:paraId="4AD23AEF" w14:textId="77777777" w:rsidR="00CD1621" w:rsidRDefault="00000000">
            <w:pPr>
              <w:widowControl w:val="0"/>
              <w:spacing w:line="276" w:lineRule="auto"/>
              <w:rPr>
                <w:lang w:val="en-GB"/>
              </w:rPr>
            </w:pPr>
            <w:r>
              <w:rPr>
                <w:rFonts w:ascii="Arial" w:eastAsia="Calibri" w:hAnsi="Arial" w:cs="Arial"/>
                <w:lang w:val="en-GB"/>
              </w:rPr>
              <w:t>Alcohol 3 months before pregnancy (yes/no)</w:t>
            </w:r>
          </w:p>
          <w:p w14:paraId="7E2BCF3E" w14:textId="77777777" w:rsidR="00CD1621" w:rsidRDefault="00000000">
            <w:pPr>
              <w:widowControl w:val="0"/>
              <w:spacing w:line="276" w:lineRule="auto"/>
              <w:rPr>
                <w:lang w:val="en-GB"/>
              </w:rPr>
            </w:pPr>
            <w:r>
              <w:rPr>
                <w:rFonts w:ascii="Arial" w:eastAsia="Calibri" w:hAnsi="Arial" w:cs="Arial"/>
                <w:lang w:val="en-GB"/>
              </w:rPr>
              <w:t>Socio-economic score (continuous, 0-3)</w:t>
            </w:r>
          </w:p>
          <w:p w14:paraId="71BA775B" w14:textId="77777777" w:rsidR="00CD1621" w:rsidRDefault="00000000">
            <w:pPr>
              <w:widowControl w:val="0"/>
              <w:spacing w:line="276" w:lineRule="auto"/>
              <w:rPr>
                <w:lang w:val="en-GB"/>
              </w:rPr>
            </w:pPr>
            <w:r>
              <w:rPr>
                <w:rFonts w:ascii="Arial" w:eastAsia="Calibri" w:hAnsi="Arial" w:cs="Arial"/>
                <w:lang w:val="en-GB"/>
              </w:rPr>
              <w:t>Low socio-economic score (cut-off; &lt;3)</w:t>
            </w:r>
          </w:p>
          <w:p w14:paraId="1981C563" w14:textId="77777777" w:rsidR="00CD1621" w:rsidRDefault="00000000">
            <w:pPr>
              <w:widowControl w:val="0"/>
              <w:spacing w:line="276" w:lineRule="auto"/>
              <w:rPr>
                <w:lang w:val="en-GB"/>
              </w:rPr>
            </w:pPr>
            <w:r>
              <w:rPr>
                <w:rFonts w:ascii="Arial" w:eastAsia="Calibri" w:hAnsi="Arial" w:cs="Arial"/>
                <w:lang w:val="en-GB"/>
              </w:rPr>
              <w:t>Pregnancy before start of Covid-19 (yes/no)</w:t>
            </w:r>
          </w:p>
          <w:p w14:paraId="227E2D06" w14:textId="77777777" w:rsidR="00CD1621" w:rsidRDefault="00000000">
            <w:pPr>
              <w:widowControl w:val="0"/>
              <w:spacing w:line="276" w:lineRule="auto"/>
              <w:rPr>
                <w:lang w:val="en-GB"/>
              </w:rPr>
            </w:pPr>
            <w:r>
              <w:rPr>
                <w:rFonts w:ascii="Arial" w:eastAsia="Calibri" w:hAnsi="Arial" w:cs="Arial"/>
                <w:b/>
                <w:bCs/>
                <w:lang w:val="en-GB"/>
              </w:rPr>
              <w:t>Diet (separate answers for timepoint one and two):</w:t>
            </w:r>
          </w:p>
          <w:p w14:paraId="5D9212A6" w14:textId="77777777" w:rsidR="00CD1621" w:rsidRDefault="00000000">
            <w:pPr>
              <w:widowControl w:val="0"/>
              <w:spacing w:line="276" w:lineRule="auto"/>
              <w:rPr>
                <w:lang w:val="en-GB"/>
              </w:rPr>
            </w:pPr>
            <w:r>
              <w:rPr>
                <w:rFonts w:ascii="Arial" w:eastAsia="Calibri" w:hAnsi="Arial" w:cs="Arial"/>
                <w:lang w:val="en-GB"/>
              </w:rPr>
              <w:t>Vegetarian diet (yes/no)</w:t>
            </w:r>
          </w:p>
          <w:p w14:paraId="47E2517B" w14:textId="77777777" w:rsidR="00CD1621" w:rsidRDefault="00000000">
            <w:pPr>
              <w:widowControl w:val="0"/>
              <w:spacing w:line="276" w:lineRule="auto"/>
              <w:rPr>
                <w:lang w:val="en-GB"/>
              </w:rPr>
            </w:pPr>
            <w:r>
              <w:rPr>
                <w:rFonts w:ascii="Arial" w:eastAsia="Calibri" w:hAnsi="Arial" w:cs="Arial"/>
                <w:lang w:val="en-GB"/>
              </w:rPr>
              <w:t>Vegan diet (yes/no)</w:t>
            </w:r>
          </w:p>
          <w:p w14:paraId="505CBA18" w14:textId="77777777" w:rsidR="00CD1621" w:rsidRDefault="00000000">
            <w:pPr>
              <w:widowControl w:val="0"/>
              <w:spacing w:line="276" w:lineRule="auto"/>
              <w:rPr>
                <w:lang w:val="en-GB"/>
              </w:rPr>
            </w:pPr>
            <w:r>
              <w:rPr>
                <w:rFonts w:ascii="Arial" w:eastAsia="Calibri" w:hAnsi="Arial" w:cs="Arial"/>
                <w:lang w:val="en-GB"/>
              </w:rPr>
              <w:t>Intake of fish (yes/no)</w:t>
            </w:r>
          </w:p>
          <w:p w14:paraId="105BFF77" w14:textId="77777777" w:rsidR="00CD1621" w:rsidRDefault="00000000">
            <w:pPr>
              <w:widowControl w:val="0"/>
              <w:spacing w:line="276" w:lineRule="auto"/>
              <w:rPr>
                <w:lang w:val="en-GB"/>
              </w:rPr>
            </w:pPr>
            <w:r>
              <w:rPr>
                <w:rFonts w:ascii="Arial" w:eastAsia="Calibri" w:hAnsi="Arial" w:cs="Arial"/>
                <w:lang w:val="en-GB"/>
              </w:rPr>
              <w:t>Frequency of sugar drinks (Groups; Daily, Often/week, Once a week, More seldom)</w:t>
            </w:r>
          </w:p>
          <w:p w14:paraId="34643C6B" w14:textId="77777777" w:rsidR="00CD1621" w:rsidRDefault="00000000">
            <w:pPr>
              <w:widowControl w:val="0"/>
              <w:spacing w:line="276" w:lineRule="auto"/>
              <w:rPr>
                <w:lang w:val="en-GB"/>
              </w:rPr>
            </w:pPr>
            <w:r>
              <w:rPr>
                <w:rFonts w:ascii="Arial" w:eastAsia="Calibri" w:hAnsi="Arial" w:cs="Arial"/>
                <w:lang w:val="en-GB"/>
              </w:rPr>
              <w:t>Frequency of fruit consumption (Groups; Daily, Often/week, Once a week, More seldom)</w:t>
            </w:r>
          </w:p>
          <w:p w14:paraId="046E9397" w14:textId="77777777" w:rsidR="00CD1621" w:rsidRDefault="00000000">
            <w:pPr>
              <w:widowControl w:val="0"/>
              <w:spacing w:line="276" w:lineRule="auto"/>
              <w:rPr>
                <w:lang w:val="en-GB"/>
              </w:rPr>
            </w:pPr>
            <w:r>
              <w:rPr>
                <w:rFonts w:ascii="Arial" w:eastAsia="Calibri" w:hAnsi="Arial" w:cs="Arial"/>
                <w:lang w:val="en-GB"/>
              </w:rPr>
              <w:t>Frequency of vegetable consumption (Groups; Daily, Often/week, Once a week, More seldom)</w:t>
            </w:r>
          </w:p>
          <w:p w14:paraId="2120BC9B" w14:textId="77777777" w:rsidR="00CD1621" w:rsidRDefault="00000000">
            <w:pPr>
              <w:widowControl w:val="0"/>
              <w:spacing w:line="276" w:lineRule="auto"/>
              <w:rPr>
                <w:lang w:val="en-GB"/>
              </w:rPr>
            </w:pPr>
            <w:r>
              <w:rPr>
                <w:rFonts w:ascii="Arial" w:eastAsia="Calibri" w:hAnsi="Arial" w:cs="Arial"/>
                <w:lang w:val="en-GB"/>
              </w:rPr>
              <w:t xml:space="preserve">Frequency of fibre rich bread consumption (Groups; </w:t>
            </w:r>
            <w:r>
              <w:rPr>
                <w:rFonts w:ascii="Arial" w:eastAsia="Calibri" w:hAnsi="Arial" w:cs="Arial"/>
                <w:lang w:val="en-GB"/>
              </w:rPr>
              <w:lastRenderedPageBreak/>
              <w:t>Daily, Often/week, Once a week, More seldom)</w:t>
            </w:r>
          </w:p>
          <w:p w14:paraId="7FF05B59" w14:textId="77777777" w:rsidR="00CD1621" w:rsidRDefault="00000000">
            <w:pPr>
              <w:widowControl w:val="0"/>
              <w:spacing w:line="276" w:lineRule="auto"/>
              <w:rPr>
                <w:lang w:val="en-GB"/>
              </w:rPr>
            </w:pPr>
            <w:r>
              <w:rPr>
                <w:rFonts w:ascii="Arial" w:eastAsia="Calibri" w:hAnsi="Arial" w:cs="Arial"/>
                <w:lang w:val="en-GB"/>
              </w:rPr>
              <w:t>Use of vitamins or supplements (yes/no)</w:t>
            </w:r>
          </w:p>
          <w:p w14:paraId="42ED6BC1" w14:textId="77777777" w:rsidR="00CD1621" w:rsidRDefault="00000000">
            <w:pPr>
              <w:widowControl w:val="0"/>
              <w:spacing w:line="276" w:lineRule="auto"/>
              <w:rPr>
                <w:lang w:val="en-GB"/>
              </w:rPr>
            </w:pPr>
            <w:r>
              <w:rPr>
                <w:rFonts w:ascii="Arial" w:eastAsia="Calibri" w:hAnsi="Arial" w:cs="Arial"/>
                <w:lang w:val="en-GB"/>
              </w:rPr>
              <w:t>Iron supplements (yes/no)</w:t>
            </w:r>
          </w:p>
          <w:p w14:paraId="294B9FDC" w14:textId="77777777" w:rsidR="00CD1621" w:rsidRDefault="00000000">
            <w:pPr>
              <w:widowControl w:val="0"/>
              <w:spacing w:line="276" w:lineRule="auto"/>
              <w:rPr>
                <w:lang w:val="en-GB"/>
              </w:rPr>
            </w:pPr>
            <w:r>
              <w:rPr>
                <w:rFonts w:ascii="Arial" w:eastAsia="Calibri" w:hAnsi="Arial" w:cs="Arial"/>
                <w:lang w:val="en-GB"/>
              </w:rPr>
              <w:t>Probiotics (yes/no)</w:t>
            </w:r>
          </w:p>
          <w:p w14:paraId="55407F1B" w14:textId="77777777" w:rsidR="00CD1621" w:rsidRDefault="00000000">
            <w:pPr>
              <w:widowControl w:val="0"/>
              <w:spacing w:line="276" w:lineRule="auto"/>
              <w:rPr>
                <w:lang w:val="en-GB"/>
              </w:rPr>
            </w:pPr>
            <w:r>
              <w:rPr>
                <w:rFonts w:ascii="Arial" w:eastAsia="Calibri" w:hAnsi="Arial" w:cs="Arial"/>
                <w:b/>
                <w:bCs/>
                <w:lang w:val="en-GB"/>
              </w:rPr>
              <w:t>Health:</w:t>
            </w:r>
          </w:p>
          <w:p w14:paraId="265913E4" w14:textId="77777777" w:rsidR="00CD1621" w:rsidRDefault="00000000">
            <w:pPr>
              <w:widowControl w:val="0"/>
              <w:spacing w:line="276" w:lineRule="auto"/>
              <w:rPr>
                <w:lang w:val="en-GB"/>
              </w:rPr>
            </w:pPr>
            <w:r>
              <w:rPr>
                <w:rFonts w:ascii="Arial" w:eastAsia="Calibri" w:hAnsi="Arial" w:cs="Arial"/>
                <w:lang w:val="en-GB"/>
              </w:rPr>
              <w:t>Number of previous miscarriages (continuous)</w:t>
            </w:r>
          </w:p>
          <w:p w14:paraId="425CC694" w14:textId="77777777" w:rsidR="00CD1621" w:rsidRDefault="00000000">
            <w:pPr>
              <w:widowControl w:val="0"/>
              <w:spacing w:line="276" w:lineRule="auto"/>
              <w:rPr>
                <w:lang w:val="en-GB"/>
              </w:rPr>
            </w:pPr>
            <w:r>
              <w:rPr>
                <w:rFonts w:ascii="Arial" w:eastAsia="Calibri" w:hAnsi="Arial" w:cs="Arial"/>
                <w:lang w:val="en-GB"/>
              </w:rPr>
              <w:t>Previous recurrent pregnancy loss (&gt; 2, yes/no)</w:t>
            </w:r>
          </w:p>
          <w:p w14:paraId="7C3AF0CE" w14:textId="77777777" w:rsidR="00CD1621" w:rsidRDefault="00000000">
            <w:pPr>
              <w:widowControl w:val="0"/>
              <w:spacing w:line="276" w:lineRule="auto"/>
              <w:rPr>
                <w:lang w:val="en-GB"/>
              </w:rPr>
            </w:pPr>
            <w:r>
              <w:rPr>
                <w:rFonts w:ascii="Arial" w:eastAsia="Calibri" w:hAnsi="Arial" w:cs="Arial"/>
                <w:lang w:val="en-GB"/>
              </w:rPr>
              <w:t>Previous PTB (yes/no)</w:t>
            </w:r>
          </w:p>
          <w:p w14:paraId="7C351541" w14:textId="77777777" w:rsidR="00CD1621" w:rsidRDefault="00000000">
            <w:pPr>
              <w:widowControl w:val="0"/>
              <w:spacing w:line="276" w:lineRule="auto"/>
              <w:rPr>
                <w:lang w:val="en-GB"/>
              </w:rPr>
            </w:pPr>
            <w:r>
              <w:rPr>
                <w:rFonts w:ascii="Arial" w:eastAsia="Calibri" w:hAnsi="Arial" w:cs="Arial"/>
                <w:lang w:val="en-GB"/>
              </w:rPr>
              <w:t>Previous intrauterine fetal death (yes/no)</w:t>
            </w:r>
          </w:p>
          <w:p w14:paraId="1B7D59B9" w14:textId="77777777" w:rsidR="00CD1621" w:rsidRDefault="00000000">
            <w:pPr>
              <w:widowControl w:val="0"/>
              <w:spacing w:line="276" w:lineRule="auto"/>
              <w:rPr>
                <w:lang w:val="en-GB"/>
              </w:rPr>
            </w:pPr>
            <w:r>
              <w:rPr>
                <w:rFonts w:ascii="Arial" w:eastAsia="Calibri" w:hAnsi="Arial" w:cs="Arial"/>
                <w:lang w:val="en-GB"/>
              </w:rPr>
              <w:t>Non-hormonal contraceptives (yes/no)</w:t>
            </w:r>
          </w:p>
          <w:p w14:paraId="32E7D278" w14:textId="77777777" w:rsidR="00CD1621" w:rsidRDefault="00000000">
            <w:pPr>
              <w:widowControl w:val="0"/>
              <w:spacing w:line="276" w:lineRule="auto"/>
              <w:rPr>
                <w:lang w:val="en-GB"/>
              </w:rPr>
            </w:pPr>
            <w:r>
              <w:rPr>
                <w:rFonts w:ascii="Arial" w:eastAsia="Calibri" w:hAnsi="Arial" w:cs="Arial"/>
                <w:lang w:val="en-GB"/>
              </w:rPr>
              <w:t>Hormonal contraceptives (yes/no)</w:t>
            </w:r>
          </w:p>
          <w:p w14:paraId="02820B48" w14:textId="77777777" w:rsidR="00CD1621" w:rsidRDefault="00000000">
            <w:pPr>
              <w:widowControl w:val="0"/>
              <w:spacing w:line="276" w:lineRule="auto"/>
              <w:rPr>
                <w:lang w:val="en-GB"/>
              </w:rPr>
            </w:pPr>
            <w:r>
              <w:rPr>
                <w:rFonts w:ascii="Arial" w:eastAsia="Calibri" w:hAnsi="Arial" w:cs="Arial"/>
                <w:lang w:val="en-GB"/>
              </w:rPr>
              <w:t>Regular menstruation (yes/no)</w:t>
            </w:r>
          </w:p>
          <w:p w14:paraId="51F779C9" w14:textId="77777777" w:rsidR="00CD1621" w:rsidRDefault="00000000">
            <w:pPr>
              <w:widowControl w:val="0"/>
              <w:spacing w:line="276" w:lineRule="auto"/>
              <w:rPr>
                <w:lang w:val="en-GB"/>
              </w:rPr>
            </w:pPr>
            <w:r>
              <w:rPr>
                <w:rFonts w:ascii="Arial" w:eastAsia="Calibri" w:hAnsi="Arial" w:cs="Arial"/>
                <w:lang w:val="en-GB"/>
              </w:rPr>
              <w:t>Menstrual pain (groups; none, low or high)</w:t>
            </w:r>
          </w:p>
          <w:p w14:paraId="1E07E971" w14:textId="77777777" w:rsidR="00CD1621" w:rsidRDefault="00000000">
            <w:pPr>
              <w:widowControl w:val="0"/>
              <w:spacing w:line="276" w:lineRule="auto"/>
              <w:rPr>
                <w:lang w:val="en-GB"/>
              </w:rPr>
            </w:pPr>
            <w:r>
              <w:rPr>
                <w:rFonts w:ascii="Arial" w:eastAsia="Calibri" w:hAnsi="Arial" w:cs="Arial"/>
                <w:lang w:val="en-GB"/>
              </w:rPr>
              <w:t>Polycystic ovary syndrome (PCOS) (yes/no)</w:t>
            </w:r>
          </w:p>
          <w:p w14:paraId="3093613A" w14:textId="77777777" w:rsidR="00CD1621" w:rsidRDefault="00000000">
            <w:pPr>
              <w:widowControl w:val="0"/>
              <w:spacing w:line="276" w:lineRule="auto"/>
              <w:rPr>
                <w:lang w:val="en-GB"/>
              </w:rPr>
            </w:pPr>
            <w:r>
              <w:rPr>
                <w:rFonts w:ascii="Arial" w:eastAsia="Calibri" w:hAnsi="Arial" w:cs="Arial"/>
                <w:lang w:val="en-GB"/>
              </w:rPr>
              <w:t>Endometriosis (yes, no or maybe)</w:t>
            </w:r>
          </w:p>
          <w:p w14:paraId="2105CB5C" w14:textId="77777777" w:rsidR="00CD1621" w:rsidRDefault="00000000">
            <w:pPr>
              <w:widowControl w:val="0"/>
              <w:spacing w:line="276" w:lineRule="auto"/>
              <w:rPr>
                <w:lang w:val="en-GB"/>
              </w:rPr>
            </w:pPr>
            <w:r>
              <w:rPr>
                <w:rFonts w:ascii="Arial" w:eastAsia="Calibri" w:hAnsi="Arial" w:cs="Arial"/>
                <w:lang w:val="en-GB"/>
              </w:rPr>
              <w:t>Bristol rating (Groups; normal, slow, fast, various)</w:t>
            </w:r>
          </w:p>
          <w:p w14:paraId="7657415D" w14:textId="77777777" w:rsidR="00CD1621" w:rsidRDefault="00000000">
            <w:pPr>
              <w:widowControl w:val="0"/>
              <w:spacing w:line="276" w:lineRule="auto"/>
              <w:rPr>
                <w:lang w:val="en-GB"/>
              </w:rPr>
            </w:pPr>
            <w:r>
              <w:rPr>
                <w:rFonts w:ascii="Arial" w:eastAsia="Calibri" w:hAnsi="Arial" w:cs="Arial"/>
                <w:b/>
                <w:bCs/>
                <w:lang w:val="en-GB"/>
              </w:rPr>
              <w:t>Early pregnancy (separate answers for timepoint one and two):</w:t>
            </w:r>
          </w:p>
          <w:p w14:paraId="0C738ECA" w14:textId="77777777" w:rsidR="00CD1621" w:rsidRDefault="00000000">
            <w:pPr>
              <w:widowControl w:val="0"/>
              <w:spacing w:line="276" w:lineRule="auto"/>
              <w:rPr>
                <w:lang w:val="en-GB"/>
              </w:rPr>
            </w:pPr>
            <w:r>
              <w:rPr>
                <w:rFonts w:ascii="Arial" w:eastAsia="Calibri" w:hAnsi="Arial" w:cs="Arial"/>
                <w:lang w:val="en-GB"/>
              </w:rPr>
              <w:t>EPDS score (continuous)</w:t>
            </w:r>
          </w:p>
          <w:p w14:paraId="4839948E" w14:textId="77777777" w:rsidR="00CD1621" w:rsidRDefault="00000000">
            <w:pPr>
              <w:widowControl w:val="0"/>
              <w:spacing w:line="276" w:lineRule="auto"/>
              <w:rPr>
                <w:lang w:val="en-GB"/>
              </w:rPr>
            </w:pPr>
            <w:r>
              <w:rPr>
                <w:rFonts w:ascii="Arial" w:eastAsia="Calibri" w:hAnsi="Arial" w:cs="Arial"/>
                <w:lang w:val="en-GB"/>
              </w:rPr>
              <w:t>PSS-4 score (continuous)</w:t>
            </w:r>
          </w:p>
          <w:p w14:paraId="6404D5C3" w14:textId="77777777" w:rsidR="00CD1621" w:rsidRDefault="00000000">
            <w:pPr>
              <w:widowControl w:val="0"/>
              <w:spacing w:line="276" w:lineRule="auto"/>
              <w:rPr>
                <w:lang w:val="en-GB"/>
              </w:rPr>
            </w:pPr>
            <w:r>
              <w:rPr>
                <w:rFonts w:ascii="Arial" w:eastAsia="Calibri" w:hAnsi="Arial" w:cs="Arial"/>
                <w:lang w:val="en-GB"/>
              </w:rPr>
              <w:t>High PSS-4 score (PSS-4 &gt;6)</w:t>
            </w:r>
          </w:p>
          <w:p w14:paraId="2889934D" w14:textId="77777777" w:rsidR="00CD1621" w:rsidRDefault="00000000">
            <w:pPr>
              <w:widowControl w:val="0"/>
              <w:spacing w:line="276" w:lineRule="auto"/>
              <w:rPr>
                <w:lang w:val="en-GB"/>
              </w:rPr>
            </w:pPr>
            <w:r>
              <w:rPr>
                <w:rFonts w:ascii="Arial" w:eastAsia="Calibri" w:hAnsi="Arial" w:cs="Arial"/>
                <w:lang w:val="en-GB"/>
              </w:rPr>
              <w:t>PUQE score (continuous)</w:t>
            </w:r>
          </w:p>
          <w:p w14:paraId="40E4B54F" w14:textId="77777777" w:rsidR="00CD1621" w:rsidRDefault="00000000">
            <w:pPr>
              <w:widowControl w:val="0"/>
              <w:spacing w:line="276" w:lineRule="auto"/>
              <w:rPr>
                <w:lang w:val="en-GB"/>
              </w:rPr>
            </w:pPr>
            <w:r>
              <w:rPr>
                <w:rFonts w:ascii="Arial" w:eastAsia="Calibri" w:hAnsi="Arial" w:cs="Arial"/>
                <w:lang w:val="en-GB"/>
              </w:rPr>
              <w:t>PUQE score group (Groups; mild, moderate, severe)</w:t>
            </w:r>
          </w:p>
        </w:tc>
      </w:tr>
      <w:tr w:rsidR="00CD1621" w14:paraId="74DA5549" w14:textId="77777777">
        <w:trPr>
          <w:trHeight w:val="300"/>
        </w:trPr>
        <w:tc>
          <w:tcPr>
            <w:tcW w:w="3019" w:type="dxa"/>
          </w:tcPr>
          <w:p w14:paraId="7372A390" w14:textId="77777777" w:rsidR="00CD1621" w:rsidRDefault="00000000">
            <w:pPr>
              <w:widowControl w:val="0"/>
              <w:spacing w:line="276" w:lineRule="auto"/>
              <w:rPr>
                <w:lang w:val="en-GB"/>
              </w:rPr>
            </w:pPr>
            <w:r>
              <w:rPr>
                <w:rFonts w:ascii="Arial" w:eastAsia="Calibri" w:hAnsi="Arial" w:cs="Arial"/>
                <w:lang w:val="en-GB"/>
              </w:rPr>
              <w:lastRenderedPageBreak/>
              <w:t>Only timepoint one</w:t>
            </w:r>
          </w:p>
        </w:tc>
        <w:tc>
          <w:tcPr>
            <w:tcW w:w="5805" w:type="dxa"/>
          </w:tcPr>
          <w:p w14:paraId="0FF9C779" w14:textId="77777777" w:rsidR="00CD1621" w:rsidRDefault="00000000">
            <w:pPr>
              <w:widowControl w:val="0"/>
              <w:spacing w:line="276" w:lineRule="auto"/>
              <w:rPr>
                <w:lang w:val="en-GB"/>
              </w:rPr>
            </w:pPr>
            <w:r>
              <w:rPr>
                <w:rFonts w:ascii="Arial" w:eastAsia="Calibri" w:hAnsi="Arial" w:cs="Arial"/>
                <w:lang w:val="en-GB"/>
              </w:rPr>
              <w:t>Assisted conception (yes/no)</w:t>
            </w:r>
          </w:p>
          <w:p w14:paraId="7C661FAE" w14:textId="77777777" w:rsidR="00CD1621" w:rsidRDefault="00000000">
            <w:pPr>
              <w:widowControl w:val="0"/>
              <w:spacing w:line="276" w:lineRule="auto"/>
              <w:rPr>
                <w:lang w:val="en-GB"/>
              </w:rPr>
            </w:pPr>
            <w:r>
              <w:rPr>
                <w:rFonts w:ascii="Arial" w:eastAsia="Calibri" w:hAnsi="Arial" w:cs="Arial"/>
                <w:lang w:val="en-GB"/>
              </w:rPr>
              <w:t>Natural conception (yes/no)</w:t>
            </w:r>
          </w:p>
        </w:tc>
      </w:tr>
      <w:tr w:rsidR="00CD1621" w14:paraId="2C5AE862" w14:textId="77777777">
        <w:trPr>
          <w:trHeight w:val="300"/>
        </w:trPr>
        <w:tc>
          <w:tcPr>
            <w:tcW w:w="3019" w:type="dxa"/>
          </w:tcPr>
          <w:p w14:paraId="7706D41E" w14:textId="77777777" w:rsidR="00CD1621" w:rsidRDefault="00000000">
            <w:pPr>
              <w:widowControl w:val="0"/>
              <w:spacing w:line="276" w:lineRule="auto"/>
              <w:rPr>
                <w:lang w:val="en-GB"/>
              </w:rPr>
            </w:pPr>
            <w:r>
              <w:rPr>
                <w:rFonts w:ascii="Arial" w:eastAsia="Calibri" w:hAnsi="Arial" w:cs="Arial"/>
                <w:lang w:val="en-GB"/>
              </w:rPr>
              <w:t>Only timepoint two</w:t>
            </w:r>
          </w:p>
        </w:tc>
        <w:tc>
          <w:tcPr>
            <w:tcW w:w="5805" w:type="dxa"/>
          </w:tcPr>
          <w:p w14:paraId="5C0473D0" w14:textId="77777777" w:rsidR="00CD1621" w:rsidRDefault="00000000">
            <w:pPr>
              <w:widowControl w:val="0"/>
              <w:spacing w:line="276" w:lineRule="auto"/>
              <w:rPr>
                <w:lang w:val="en-GB"/>
              </w:rPr>
            </w:pPr>
            <w:r>
              <w:rPr>
                <w:rFonts w:ascii="Arial" w:eastAsia="Calibri" w:hAnsi="Arial" w:cs="Arial"/>
                <w:lang w:val="en-GB"/>
              </w:rPr>
              <w:t>Diet score (continuous, based on frequency of fruit, vegetables, whole grain bread, sugar and sugar-free drinks)</w:t>
            </w:r>
          </w:p>
          <w:p w14:paraId="31DBE893" w14:textId="77777777" w:rsidR="00CD1621" w:rsidRDefault="00000000">
            <w:pPr>
              <w:widowControl w:val="0"/>
              <w:spacing w:line="276" w:lineRule="auto"/>
              <w:rPr>
                <w:lang w:val="en-GB"/>
              </w:rPr>
            </w:pPr>
            <w:r>
              <w:rPr>
                <w:rFonts w:ascii="Arial" w:eastAsia="Calibri" w:hAnsi="Arial" w:cs="Arial"/>
                <w:lang w:val="en-GB"/>
              </w:rPr>
              <w:t>Healthy diet (diet score &lt;3)</w:t>
            </w:r>
          </w:p>
          <w:p w14:paraId="5C762C76" w14:textId="77777777" w:rsidR="00CD1621" w:rsidRDefault="00000000">
            <w:pPr>
              <w:widowControl w:val="0"/>
              <w:spacing w:line="276" w:lineRule="auto"/>
              <w:rPr>
                <w:lang w:val="en-GB"/>
              </w:rPr>
            </w:pPr>
            <w:r>
              <w:rPr>
                <w:rFonts w:ascii="Arial" w:eastAsia="Calibri" w:hAnsi="Arial" w:cs="Arial"/>
                <w:lang w:val="en-GB"/>
              </w:rPr>
              <w:t>Gastrointestinal medication (yes/no)</w:t>
            </w:r>
          </w:p>
          <w:p w14:paraId="3C949BA3" w14:textId="77777777" w:rsidR="00CD1621" w:rsidRDefault="00000000">
            <w:pPr>
              <w:widowControl w:val="0"/>
              <w:spacing w:line="276" w:lineRule="auto"/>
              <w:rPr>
                <w:lang w:val="en-GB"/>
              </w:rPr>
            </w:pPr>
            <w:r>
              <w:rPr>
                <w:rFonts w:ascii="Arial" w:eastAsia="Calibri" w:hAnsi="Arial" w:cs="Arial"/>
                <w:lang w:val="en-GB"/>
              </w:rPr>
              <w:t>Neurological medication (yes/no)</w:t>
            </w:r>
          </w:p>
          <w:p w14:paraId="2C237DDB" w14:textId="77777777" w:rsidR="00CD1621" w:rsidRDefault="00000000">
            <w:pPr>
              <w:widowControl w:val="0"/>
              <w:spacing w:line="276" w:lineRule="auto"/>
              <w:rPr>
                <w:lang w:val="en-GB"/>
              </w:rPr>
            </w:pPr>
            <w:r>
              <w:rPr>
                <w:rFonts w:ascii="Arial" w:eastAsia="Calibri" w:hAnsi="Arial" w:cs="Arial"/>
                <w:lang w:val="en-GB"/>
              </w:rPr>
              <w:t>Haematological medication (yes/no)</w:t>
            </w:r>
          </w:p>
          <w:p w14:paraId="689FF287" w14:textId="77777777" w:rsidR="00CD1621" w:rsidRDefault="00000000">
            <w:pPr>
              <w:widowControl w:val="0"/>
              <w:spacing w:line="276" w:lineRule="auto"/>
              <w:rPr>
                <w:lang w:val="en-GB"/>
              </w:rPr>
            </w:pPr>
            <w:r>
              <w:rPr>
                <w:rFonts w:ascii="Arial" w:eastAsia="Calibri" w:hAnsi="Arial" w:cs="Arial"/>
                <w:lang w:val="en-GB"/>
              </w:rPr>
              <w:lastRenderedPageBreak/>
              <w:t>Blood pressure medication (yes/no)</w:t>
            </w:r>
          </w:p>
          <w:p w14:paraId="5B28192E" w14:textId="77777777" w:rsidR="00CD1621" w:rsidRDefault="00000000">
            <w:pPr>
              <w:widowControl w:val="0"/>
              <w:spacing w:line="276" w:lineRule="auto"/>
              <w:rPr>
                <w:lang w:val="en-GB"/>
              </w:rPr>
            </w:pPr>
            <w:r>
              <w:rPr>
                <w:rFonts w:ascii="Arial" w:eastAsia="Calibri" w:hAnsi="Arial" w:cs="Arial"/>
                <w:lang w:val="en-GB"/>
              </w:rPr>
              <w:t>Any issues during pregnancy (yes/no)</w:t>
            </w:r>
          </w:p>
        </w:tc>
      </w:tr>
    </w:tbl>
    <w:p w14:paraId="3691B5F1" w14:textId="77777777" w:rsidR="00CD1621" w:rsidRDefault="00000000">
      <w:pPr>
        <w:spacing w:before="120" w:after="120" w:line="480" w:lineRule="auto"/>
        <w:jc w:val="both"/>
        <w:rPr>
          <w:lang w:val="en-GB"/>
        </w:rPr>
      </w:pPr>
      <w:r>
        <w:rPr>
          <w:rFonts w:ascii="Arial" w:hAnsi="Arial" w:cs="Arial"/>
          <w:b/>
          <w:bCs/>
          <w:sz w:val="28"/>
          <w:szCs w:val="28"/>
          <w:lang w:val="en-GB"/>
        </w:rPr>
        <w:lastRenderedPageBreak/>
        <w:t>3 Longitudinal comparisons</w:t>
      </w:r>
    </w:p>
    <w:p w14:paraId="0EFDBD30" w14:textId="77777777" w:rsidR="00CD1621" w:rsidRDefault="00000000">
      <w:pPr>
        <w:spacing w:before="120" w:after="120" w:line="480" w:lineRule="auto"/>
        <w:jc w:val="both"/>
        <w:rPr>
          <w:lang w:val="en-GB"/>
        </w:rPr>
      </w:pPr>
      <w:r>
        <w:rPr>
          <w:rFonts w:ascii="Arial" w:hAnsi="Arial" w:cs="Arial"/>
          <w:b/>
          <w:bCs/>
          <w:iCs/>
          <w:sz w:val="24"/>
          <w:szCs w:val="24"/>
          <w:lang w:val="en-GB"/>
        </w:rPr>
        <w:t>Vaginal microbiome</w:t>
      </w:r>
    </w:p>
    <w:p w14:paraId="374F9DB9" w14:textId="77777777" w:rsidR="00CD1621" w:rsidRDefault="00000000">
      <w:pPr>
        <w:spacing w:before="120" w:after="120" w:line="480" w:lineRule="auto"/>
        <w:jc w:val="both"/>
        <w:rPr>
          <w:lang w:val="en-GB"/>
        </w:rPr>
      </w:pPr>
      <w:r>
        <w:rPr>
          <w:rFonts w:ascii="Arial" w:hAnsi="Arial" w:cs="Arial"/>
          <w:sz w:val="24"/>
          <w:szCs w:val="24"/>
          <w:lang w:val="en-GB"/>
        </w:rPr>
        <w:t xml:space="preserve">In the taxonomic profile of both cases and controls, minimal changes in the dominant organisms (Lactobacilli and </w:t>
      </w:r>
      <w:r>
        <w:rPr>
          <w:rFonts w:ascii="Arial" w:hAnsi="Arial" w:cs="Arial"/>
          <w:i/>
          <w:iCs/>
          <w:sz w:val="24"/>
          <w:szCs w:val="24"/>
          <w:lang w:val="en-GB"/>
        </w:rPr>
        <w:t>G. vaginalis</w:t>
      </w:r>
      <w:r>
        <w:rPr>
          <w:rFonts w:ascii="Arial" w:hAnsi="Arial" w:cs="Arial"/>
          <w:sz w:val="24"/>
          <w:szCs w:val="24"/>
          <w:lang w:val="en-GB"/>
        </w:rPr>
        <w:t>) were observed (Figure S1A and B). However, an ANCOMBC-2 analysis indicated a significant (Benjamini-Hochberg-adjusted) log fold-change increase of greater than 0.5 in the relative abundance of minor bacteria at the second timepoint in both cases and controls (Figure S1C and D).</w:t>
      </w:r>
    </w:p>
    <w:p w14:paraId="0462A065" w14:textId="77777777" w:rsidR="00CD1621" w:rsidRDefault="00000000">
      <w:pPr>
        <w:spacing w:before="120" w:after="120" w:line="480" w:lineRule="auto"/>
        <w:jc w:val="both"/>
        <w:rPr>
          <w:lang w:val="en-GB"/>
        </w:rPr>
      </w:pPr>
      <w:r>
        <w:rPr>
          <w:rFonts w:ascii="Arial" w:hAnsi="Arial" w:cs="Arial"/>
          <w:sz w:val="24"/>
          <w:szCs w:val="24"/>
          <w:lang w:val="en-GB"/>
        </w:rPr>
        <w:t xml:space="preserve">For both cases and controls, </w:t>
      </w:r>
      <w:r>
        <w:rPr>
          <w:rFonts w:ascii="Arial" w:hAnsi="Arial" w:cs="Arial"/>
          <w:i/>
          <w:iCs/>
          <w:sz w:val="24"/>
          <w:szCs w:val="24"/>
          <w:lang w:val="en-GB"/>
        </w:rPr>
        <w:t>Corynebacterium</w:t>
      </w:r>
      <w:r>
        <w:rPr>
          <w:rFonts w:ascii="Arial" w:hAnsi="Arial" w:cs="Arial"/>
          <w:sz w:val="24"/>
          <w:szCs w:val="24"/>
          <w:lang w:val="en-GB"/>
        </w:rPr>
        <w:t xml:space="preserve"> sp. HMSC08D02, </w:t>
      </w:r>
      <w:r>
        <w:rPr>
          <w:rFonts w:ascii="Arial" w:hAnsi="Arial" w:cs="Arial"/>
          <w:i/>
          <w:iCs/>
          <w:sz w:val="24"/>
          <w:szCs w:val="24"/>
          <w:lang w:val="en-GB"/>
        </w:rPr>
        <w:t>Corynebacterium aurimucosum</w:t>
      </w:r>
      <w:r>
        <w:rPr>
          <w:rFonts w:ascii="Arial" w:hAnsi="Arial" w:cs="Arial"/>
          <w:sz w:val="24"/>
          <w:szCs w:val="24"/>
          <w:lang w:val="en-GB"/>
        </w:rPr>
        <w:t xml:space="preserve">, </w:t>
      </w:r>
      <w:r>
        <w:rPr>
          <w:rFonts w:ascii="Arial" w:hAnsi="Arial" w:cs="Arial"/>
          <w:i/>
          <w:iCs/>
          <w:sz w:val="24"/>
          <w:szCs w:val="24"/>
          <w:lang w:val="en-GB"/>
        </w:rPr>
        <w:t>Coriobacteriales bacterium</w:t>
      </w:r>
      <w:r>
        <w:rPr>
          <w:rFonts w:ascii="Arial" w:hAnsi="Arial" w:cs="Arial"/>
          <w:sz w:val="24"/>
          <w:szCs w:val="24"/>
          <w:lang w:val="en-GB"/>
        </w:rPr>
        <w:t xml:space="preserve"> DNF00809, </w:t>
      </w:r>
      <w:r>
        <w:rPr>
          <w:rFonts w:ascii="Arial" w:hAnsi="Arial" w:cs="Arial"/>
          <w:i/>
          <w:iCs/>
          <w:sz w:val="24"/>
          <w:szCs w:val="24"/>
          <w:lang w:val="en-GB"/>
        </w:rPr>
        <w:t xml:space="preserve">Streptococcus </w:t>
      </w:r>
      <w:r>
        <w:rPr>
          <w:rFonts w:ascii="Arial" w:hAnsi="Arial" w:cs="Arial"/>
          <w:sz w:val="24"/>
          <w:szCs w:val="24"/>
          <w:lang w:val="en-GB"/>
        </w:rPr>
        <w:t xml:space="preserve">SGB3665 and </w:t>
      </w:r>
      <w:r>
        <w:rPr>
          <w:rFonts w:ascii="Arial" w:hAnsi="Arial" w:cs="Arial"/>
          <w:i/>
          <w:iCs/>
          <w:sz w:val="24"/>
          <w:szCs w:val="24"/>
          <w:lang w:val="en-GB"/>
        </w:rPr>
        <w:t>Limosilactobacillus</w:t>
      </w:r>
      <w:r>
        <w:rPr>
          <w:rFonts w:ascii="Arial" w:hAnsi="Arial" w:cs="Arial"/>
          <w:sz w:val="24"/>
          <w:szCs w:val="24"/>
          <w:lang w:val="en-GB"/>
        </w:rPr>
        <w:t xml:space="preserve"> </w:t>
      </w:r>
      <w:r>
        <w:rPr>
          <w:rFonts w:ascii="Arial" w:hAnsi="Arial" w:cs="Arial"/>
          <w:i/>
          <w:iCs/>
          <w:sz w:val="24"/>
          <w:szCs w:val="24"/>
          <w:lang w:val="en-GB"/>
        </w:rPr>
        <w:t>portuensis</w:t>
      </w:r>
      <w:r>
        <w:rPr>
          <w:rFonts w:ascii="Arial" w:hAnsi="Arial" w:cs="Arial"/>
          <w:sz w:val="24"/>
          <w:szCs w:val="24"/>
          <w:lang w:val="en-GB"/>
        </w:rPr>
        <w:t xml:space="preserve"> were decreased at timepoint two. </w:t>
      </w:r>
      <w:r>
        <w:rPr>
          <w:rFonts w:ascii="Arial" w:hAnsi="Arial" w:cs="Arial"/>
          <w:i/>
          <w:iCs/>
          <w:sz w:val="24"/>
          <w:szCs w:val="24"/>
          <w:lang w:val="en-GB"/>
        </w:rPr>
        <w:t>Fannyhessea vaginae</w:t>
      </w:r>
      <w:r>
        <w:rPr>
          <w:rFonts w:ascii="Arial" w:hAnsi="Arial" w:cs="Arial"/>
          <w:sz w:val="24"/>
          <w:szCs w:val="24"/>
          <w:lang w:val="en-GB"/>
        </w:rPr>
        <w:t xml:space="preserve"> was found to be differentially abundant in the control group but not in the cases.</w:t>
      </w:r>
    </w:p>
    <w:p w14:paraId="56B00287" w14:textId="77777777" w:rsidR="00CD1621" w:rsidRDefault="00000000">
      <w:pPr>
        <w:spacing w:before="120" w:after="120" w:line="480" w:lineRule="auto"/>
        <w:jc w:val="both"/>
        <w:rPr>
          <w:lang w:val="en-GB"/>
        </w:rPr>
      </w:pPr>
      <w:r>
        <w:rPr>
          <w:rFonts w:ascii="Arial" w:hAnsi="Arial" w:cs="Arial"/>
          <w:sz w:val="24"/>
          <w:szCs w:val="24"/>
          <w:lang w:val="en-GB"/>
        </w:rPr>
        <w:t>A significant change in alpha diversity (Shannon index) from early to late pregnancy was observed for cases (all preterm birth subgroups combined; p = 0.039), which wasn’t observed for the controls (Figure S1E and F).</w:t>
      </w:r>
    </w:p>
    <w:p w14:paraId="395DEBF4" w14:textId="77777777" w:rsidR="00CD1621" w:rsidRDefault="00000000">
      <w:pPr>
        <w:spacing w:before="120" w:after="120" w:line="276" w:lineRule="auto"/>
        <w:jc w:val="both"/>
        <w:rPr>
          <w:lang w:val="en-GB"/>
        </w:rPr>
      </w:pPr>
      <w:r>
        <w:rPr>
          <w:noProof/>
          <w:lang w:val="en-GB"/>
        </w:rPr>
        <w:lastRenderedPageBreak/>
        <w:drawing>
          <wp:inline distT="0" distB="0" distL="0" distR="0" wp14:anchorId="1EF1ED1A" wp14:editId="4221B5F8">
            <wp:extent cx="5762625" cy="5695950"/>
            <wp:effectExtent l="0" t="0" r="0" b="0"/>
            <wp:docPr id="1" name="Picture 53566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35667073"/>
                    <pic:cNvPicPr>
                      <a:picLocks noChangeAspect="1" noChangeArrowheads="1"/>
                    </pic:cNvPicPr>
                  </pic:nvPicPr>
                  <pic:blipFill>
                    <a:blip r:embed="rId11"/>
                    <a:stretch>
                      <a:fillRect/>
                    </a:stretch>
                  </pic:blipFill>
                  <pic:spPr bwMode="auto">
                    <a:xfrm>
                      <a:off x="0" y="0"/>
                      <a:ext cx="5762625" cy="5695950"/>
                    </a:xfrm>
                    <a:prstGeom prst="rect">
                      <a:avLst/>
                    </a:prstGeom>
                  </pic:spPr>
                </pic:pic>
              </a:graphicData>
            </a:graphic>
          </wp:inline>
        </w:drawing>
      </w:r>
      <w:r>
        <w:rPr>
          <w:lang w:val="en-GB"/>
        </w:rPr>
        <w:t>Supplementary Figure S1. Comparison of vaginal microbiome between timepoint one and timepoint two. Relative abundance of species for (a) preterm birth cases and (b) controls. Comparison of species enriched in timepoint 1 (left) or timepoint 2 (right) for (c) cases and (d) controls. Organisms that are significantly different between timepoint one two (FDR-adjusted p &lt; 0.05) are named and highlighted in blue. Differences in Shannon diversity between timepoint one and two for (e) preterm birth cases (p = 0.039) and (f) controls (n.s.).</w:t>
      </w:r>
    </w:p>
    <w:p w14:paraId="6331D398" w14:textId="77777777" w:rsidR="00CD1621" w:rsidRDefault="00000000">
      <w:pPr>
        <w:spacing w:before="120" w:after="120" w:line="480" w:lineRule="auto"/>
        <w:jc w:val="both"/>
        <w:rPr>
          <w:lang w:val="en-GB"/>
        </w:rPr>
      </w:pPr>
      <w:r>
        <w:rPr>
          <w:rFonts w:ascii="Arial" w:hAnsi="Arial" w:cs="Arial"/>
          <w:b/>
          <w:bCs/>
          <w:sz w:val="24"/>
          <w:szCs w:val="24"/>
          <w:lang w:val="en-GB"/>
        </w:rPr>
        <w:t>Faecal microbiome</w:t>
      </w:r>
    </w:p>
    <w:p w14:paraId="098F53E6" w14:textId="77777777" w:rsidR="00CD1621" w:rsidRDefault="00000000">
      <w:pPr>
        <w:spacing w:before="120" w:after="120" w:line="480" w:lineRule="auto"/>
        <w:jc w:val="both"/>
        <w:rPr>
          <w:lang w:val="en-GB"/>
        </w:rPr>
      </w:pPr>
      <w:r>
        <w:rPr>
          <w:rFonts w:ascii="Arial" w:hAnsi="Arial" w:cs="Arial"/>
          <w:sz w:val="24"/>
          <w:szCs w:val="24"/>
          <w:lang w:val="en-GB"/>
        </w:rPr>
        <w:t xml:space="preserve">There were no notable changes in the major microbial organisms belonging to the </w:t>
      </w:r>
      <w:r>
        <w:rPr>
          <w:rFonts w:ascii="Arial" w:hAnsi="Arial" w:cs="Arial"/>
          <w:i/>
          <w:iCs/>
          <w:sz w:val="24"/>
          <w:szCs w:val="24"/>
          <w:lang w:val="en-GB"/>
        </w:rPr>
        <w:t>Feacalibacterium</w:t>
      </w:r>
      <w:r>
        <w:rPr>
          <w:rFonts w:ascii="Arial" w:hAnsi="Arial" w:cs="Arial"/>
          <w:sz w:val="24"/>
          <w:szCs w:val="24"/>
          <w:lang w:val="en-GB"/>
        </w:rPr>
        <w:t xml:space="preserve"> and </w:t>
      </w:r>
      <w:r>
        <w:rPr>
          <w:rFonts w:ascii="Arial" w:hAnsi="Arial" w:cs="Arial"/>
          <w:i/>
          <w:iCs/>
          <w:sz w:val="24"/>
          <w:szCs w:val="24"/>
          <w:lang w:val="en-GB"/>
        </w:rPr>
        <w:t>Bifidobacterium</w:t>
      </w:r>
      <w:r>
        <w:rPr>
          <w:rFonts w:ascii="Arial" w:hAnsi="Arial" w:cs="Arial"/>
          <w:sz w:val="24"/>
          <w:szCs w:val="24"/>
          <w:lang w:val="en-GB"/>
        </w:rPr>
        <w:t xml:space="preserve"> genera between the two timepoints in the faecal samples. The ANCOM-BC2 results between the two timepoints for cases and controls showed several organisms with significant log-fold changes.</w:t>
      </w:r>
    </w:p>
    <w:p w14:paraId="5A9264B0" w14:textId="77777777" w:rsidR="00CD1621" w:rsidRDefault="00000000">
      <w:pPr>
        <w:spacing w:before="120" w:after="120" w:line="480" w:lineRule="auto"/>
        <w:jc w:val="both"/>
        <w:rPr>
          <w:lang w:val="en-GB"/>
        </w:rPr>
      </w:pPr>
      <w:r>
        <w:rPr>
          <w:rFonts w:ascii="Arial" w:hAnsi="Arial" w:cs="Arial"/>
          <w:sz w:val="24"/>
          <w:szCs w:val="24"/>
          <w:lang w:val="en-GB"/>
        </w:rPr>
        <w:lastRenderedPageBreak/>
        <w:t xml:space="preserve">For cases, </w:t>
      </w:r>
      <w:r>
        <w:rPr>
          <w:rFonts w:ascii="Arial" w:hAnsi="Arial" w:cs="Arial"/>
          <w:i/>
          <w:iCs/>
          <w:sz w:val="24"/>
          <w:szCs w:val="24"/>
          <w:lang w:val="en-GB"/>
        </w:rPr>
        <w:t>Campylobacter hominis</w:t>
      </w:r>
      <w:r>
        <w:rPr>
          <w:rFonts w:ascii="Arial" w:hAnsi="Arial" w:cs="Arial"/>
          <w:sz w:val="24"/>
          <w:szCs w:val="24"/>
          <w:lang w:val="en-GB"/>
        </w:rPr>
        <w:t xml:space="preserve"> was more  abundant at timepoint two, while </w:t>
      </w:r>
      <w:r>
        <w:rPr>
          <w:rFonts w:ascii="Arial" w:hAnsi="Arial" w:cs="Arial"/>
          <w:i/>
          <w:iCs/>
          <w:sz w:val="24"/>
          <w:szCs w:val="24"/>
          <w:lang w:val="en-GB"/>
        </w:rPr>
        <w:t>Ruminoccus bromii</w:t>
      </w:r>
      <w:r>
        <w:rPr>
          <w:rFonts w:ascii="Arial" w:hAnsi="Arial" w:cs="Arial"/>
          <w:sz w:val="24"/>
          <w:szCs w:val="24"/>
          <w:lang w:val="en-GB"/>
        </w:rPr>
        <w:t xml:space="preserve">, </w:t>
      </w:r>
      <w:r>
        <w:rPr>
          <w:rFonts w:ascii="Arial" w:hAnsi="Arial" w:cs="Arial"/>
          <w:i/>
          <w:iCs/>
          <w:sz w:val="24"/>
          <w:szCs w:val="24"/>
          <w:lang w:val="en-GB"/>
        </w:rPr>
        <w:t>Escherichia coli</w:t>
      </w:r>
      <w:r>
        <w:rPr>
          <w:rFonts w:ascii="Arial" w:hAnsi="Arial" w:cs="Arial"/>
          <w:sz w:val="24"/>
          <w:szCs w:val="24"/>
          <w:lang w:val="en-GB"/>
        </w:rPr>
        <w:t xml:space="preserve"> and </w:t>
      </w:r>
      <w:r>
        <w:rPr>
          <w:rFonts w:ascii="Arial" w:hAnsi="Arial" w:cs="Arial"/>
          <w:i/>
          <w:iCs/>
          <w:sz w:val="24"/>
          <w:szCs w:val="24"/>
          <w:lang w:val="en-GB"/>
        </w:rPr>
        <w:t>Enterocloster adelensis</w:t>
      </w:r>
      <w:r>
        <w:rPr>
          <w:rFonts w:ascii="Arial" w:hAnsi="Arial" w:cs="Arial"/>
          <w:sz w:val="24"/>
          <w:szCs w:val="24"/>
          <w:lang w:val="en-GB"/>
        </w:rPr>
        <w:t xml:space="preserve"> were more abundant at timepoint one (Figure S2A). </w:t>
      </w:r>
    </w:p>
    <w:p w14:paraId="3D2D8E60" w14:textId="77777777" w:rsidR="00CD1621" w:rsidRDefault="00000000">
      <w:pPr>
        <w:spacing w:before="120" w:after="120" w:line="480" w:lineRule="auto"/>
        <w:jc w:val="both"/>
        <w:rPr>
          <w:lang w:val="en-GB"/>
        </w:rPr>
      </w:pPr>
      <w:r>
        <w:rPr>
          <w:rFonts w:ascii="Arial" w:hAnsi="Arial" w:cs="Arial"/>
          <w:sz w:val="24"/>
          <w:szCs w:val="24"/>
          <w:lang w:val="en-GB"/>
        </w:rPr>
        <w:t xml:space="preserve">For controls, </w:t>
      </w:r>
      <w:r>
        <w:rPr>
          <w:rFonts w:ascii="Arial" w:hAnsi="Arial" w:cs="Arial"/>
          <w:i/>
          <w:iCs/>
          <w:sz w:val="24"/>
          <w:szCs w:val="24"/>
          <w:lang w:val="en-GB"/>
        </w:rPr>
        <w:t>Lancefieldella_parvula</w:t>
      </w:r>
      <w:r>
        <w:rPr>
          <w:rFonts w:ascii="Arial" w:hAnsi="Arial" w:cs="Arial"/>
          <w:sz w:val="24"/>
          <w:szCs w:val="24"/>
          <w:lang w:val="en-GB"/>
        </w:rPr>
        <w:t xml:space="preserve">, </w:t>
      </w:r>
      <w:r>
        <w:rPr>
          <w:rFonts w:ascii="Arial" w:hAnsi="Arial" w:cs="Arial"/>
          <w:i/>
          <w:iCs/>
          <w:sz w:val="24"/>
          <w:szCs w:val="24"/>
          <w:lang w:val="en-GB"/>
        </w:rPr>
        <w:t>GGB3513 SGB4691</w:t>
      </w:r>
      <w:r>
        <w:rPr>
          <w:rFonts w:ascii="Arial" w:hAnsi="Arial" w:cs="Arial"/>
          <w:sz w:val="24"/>
          <w:szCs w:val="24"/>
          <w:lang w:val="en-GB"/>
        </w:rPr>
        <w:t xml:space="preserve"> (phylum Firmicutes), </w:t>
      </w:r>
      <w:r>
        <w:rPr>
          <w:rFonts w:ascii="Arial" w:hAnsi="Arial" w:cs="Arial"/>
          <w:i/>
          <w:iCs/>
          <w:sz w:val="24"/>
          <w:szCs w:val="24"/>
          <w:lang w:val="en-GB"/>
        </w:rPr>
        <w:t>GGB38744 SGB14842</w:t>
      </w:r>
      <w:r>
        <w:rPr>
          <w:rFonts w:ascii="Arial" w:hAnsi="Arial" w:cs="Arial"/>
          <w:sz w:val="24"/>
          <w:szCs w:val="24"/>
          <w:lang w:val="en-GB"/>
        </w:rPr>
        <w:t xml:space="preserve"> (family Oscillospiraceae) were more present in the second timepoint, while </w:t>
      </w:r>
      <w:r>
        <w:rPr>
          <w:rFonts w:ascii="Arial" w:hAnsi="Arial" w:cs="Arial"/>
          <w:i/>
          <w:iCs/>
          <w:sz w:val="24"/>
          <w:szCs w:val="24"/>
          <w:lang w:val="en-GB"/>
        </w:rPr>
        <w:t>Actinomyces SGB17168</w:t>
      </w:r>
      <w:r>
        <w:rPr>
          <w:rFonts w:ascii="Arial" w:hAnsi="Arial" w:cs="Arial"/>
          <w:sz w:val="24"/>
          <w:szCs w:val="24"/>
          <w:lang w:val="en-GB"/>
        </w:rPr>
        <w:t xml:space="preserve"> and </w:t>
      </w:r>
      <w:r>
        <w:rPr>
          <w:rFonts w:ascii="Arial" w:hAnsi="Arial" w:cs="Arial"/>
          <w:i/>
          <w:iCs/>
          <w:sz w:val="24"/>
          <w:szCs w:val="24"/>
          <w:lang w:val="en-GB"/>
        </w:rPr>
        <w:t>Agathobaculum butyriciproducens</w:t>
      </w:r>
      <w:r>
        <w:rPr>
          <w:rFonts w:ascii="Arial" w:hAnsi="Arial" w:cs="Arial"/>
          <w:sz w:val="24"/>
          <w:szCs w:val="24"/>
          <w:lang w:val="en-GB"/>
        </w:rPr>
        <w:t xml:space="preserve"> were more abundant in the first timepoint (Figure S2B).</w:t>
      </w:r>
    </w:p>
    <w:p w14:paraId="17BBDBEF" w14:textId="77777777" w:rsidR="00CD1621" w:rsidRDefault="00000000">
      <w:pPr>
        <w:spacing w:before="120" w:after="120" w:line="480" w:lineRule="auto"/>
        <w:jc w:val="both"/>
        <w:rPr>
          <w:lang w:val="en-GB"/>
        </w:rPr>
      </w:pPr>
      <w:r>
        <w:rPr>
          <w:rFonts w:ascii="Arial" w:hAnsi="Arial" w:cs="Arial"/>
          <w:sz w:val="24"/>
          <w:szCs w:val="24"/>
          <w:lang w:val="en-GB"/>
        </w:rPr>
        <w:t xml:space="preserve">The Shannon index was used to measure the alpha diversity between cases and controls. No significant difference between the two timepoints was observed, </w:t>
      </w:r>
      <w:bookmarkStart w:id="1" w:name="_Int_VmXGBu15"/>
      <w:r>
        <w:rPr>
          <w:rFonts w:ascii="Arial" w:hAnsi="Arial" w:cs="Arial"/>
          <w:sz w:val="24"/>
          <w:szCs w:val="24"/>
          <w:lang w:val="en-GB"/>
        </w:rPr>
        <w:t>neither</w:t>
      </w:r>
      <w:bookmarkEnd w:id="1"/>
      <w:r>
        <w:rPr>
          <w:rFonts w:ascii="Arial" w:hAnsi="Arial" w:cs="Arial"/>
          <w:sz w:val="24"/>
          <w:szCs w:val="24"/>
          <w:lang w:val="en-GB"/>
        </w:rPr>
        <w:t xml:space="preserve"> for cases nor controls (Figure S2C and D).</w:t>
      </w:r>
    </w:p>
    <w:p w14:paraId="1CF1183F" w14:textId="77777777" w:rsidR="00CD1621" w:rsidRDefault="00000000">
      <w:pPr>
        <w:spacing w:before="120" w:after="120" w:line="276" w:lineRule="auto"/>
        <w:jc w:val="both"/>
        <w:rPr>
          <w:lang w:val="en-GB"/>
        </w:rPr>
      </w:pPr>
      <w:r>
        <w:rPr>
          <w:noProof/>
          <w:lang w:val="en-GB"/>
        </w:rPr>
        <w:drawing>
          <wp:inline distT="0" distB="0" distL="0" distR="0" wp14:anchorId="224EB56D" wp14:editId="4092D144">
            <wp:extent cx="5762625" cy="3686175"/>
            <wp:effectExtent l="0" t="0" r="0" b="0"/>
            <wp:docPr id="2" name="Picture 45600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56006687"/>
                    <pic:cNvPicPr>
                      <a:picLocks noChangeAspect="1" noChangeArrowheads="1"/>
                    </pic:cNvPicPr>
                  </pic:nvPicPr>
                  <pic:blipFill>
                    <a:blip r:embed="rId12"/>
                    <a:stretch>
                      <a:fillRect/>
                    </a:stretch>
                  </pic:blipFill>
                  <pic:spPr bwMode="auto">
                    <a:xfrm>
                      <a:off x="0" y="0"/>
                      <a:ext cx="5762625" cy="3686175"/>
                    </a:xfrm>
                    <a:prstGeom prst="rect">
                      <a:avLst/>
                    </a:prstGeom>
                  </pic:spPr>
                </pic:pic>
              </a:graphicData>
            </a:graphic>
          </wp:inline>
        </w:drawing>
      </w:r>
      <w:r>
        <w:rPr>
          <w:lang w:val="en-GB"/>
        </w:rPr>
        <w:t>Supplementary Figure S2.  Comparison of species enriched in timepoint 1 (left) or timepoint 2 (right) for (c) cases and (d) controls. Organisms that are significantly different between timepoint one two (FDR-adjusted p &lt; 0.05) are named and highlighted in blue.Fecal microbiome Shannon diversity at timepoint one and two for (c) preterm birth cases and (d) controls, none of which were significant.</w:t>
      </w:r>
      <w:r>
        <w:br w:type="page"/>
      </w:r>
    </w:p>
    <w:p w14:paraId="683BFA1B" w14:textId="77777777" w:rsidR="00CD1621" w:rsidRDefault="00000000">
      <w:pPr>
        <w:spacing w:after="0" w:line="240" w:lineRule="auto"/>
        <w:rPr>
          <w:lang w:val="en-GB"/>
        </w:rPr>
      </w:pPr>
      <w:r>
        <w:rPr>
          <w:rFonts w:ascii="Arial" w:eastAsia="Arial" w:hAnsi="Arial" w:cs="Arial"/>
          <w:b/>
          <w:bCs/>
          <w:sz w:val="28"/>
          <w:szCs w:val="28"/>
          <w:lang w:val="en-GB"/>
        </w:rPr>
        <w:lastRenderedPageBreak/>
        <w:t>Supplementary Figures</w:t>
      </w:r>
    </w:p>
    <w:p w14:paraId="5FF6DA1D" w14:textId="77777777" w:rsidR="00CD1621" w:rsidRDefault="00CD1621">
      <w:pPr>
        <w:spacing w:after="0" w:line="240" w:lineRule="auto"/>
        <w:rPr>
          <w:b/>
          <w:bCs/>
          <w:sz w:val="32"/>
          <w:szCs w:val="32"/>
          <w:lang w:val="en-GB"/>
        </w:rPr>
      </w:pPr>
    </w:p>
    <w:p w14:paraId="1C1A717D" w14:textId="77777777" w:rsidR="00CD1621" w:rsidRDefault="00000000">
      <w:pPr>
        <w:spacing w:before="120" w:after="120" w:line="480" w:lineRule="auto"/>
        <w:jc w:val="both"/>
        <w:rPr>
          <w:lang w:val="en-GB"/>
        </w:rPr>
      </w:pPr>
      <w:r>
        <w:rPr>
          <w:noProof/>
          <w:lang w:val="en-GB"/>
        </w:rPr>
        <w:drawing>
          <wp:inline distT="0" distB="0" distL="0" distR="0" wp14:anchorId="5B730028" wp14:editId="65D9F24B">
            <wp:extent cx="2886710" cy="5224145"/>
            <wp:effectExtent l="0" t="0" r="0" b="0"/>
            <wp:docPr id="3" name="Picture 188580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85800333"/>
                    <pic:cNvPicPr>
                      <a:picLocks noChangeAspect="1" noChangeArrowheads="1"/>
                    </pic:cNvPicPr>
                  </pic:nvPicPr>
                  <pic:blipFill>
                    <a:blip r:embed="rId13"/>
                    <a:stretch>
                      <a:fillRect/>
                    </a:stretch>
                  </pic:blipFill>
                  <pic:spPr bwMode="auto">
                    <a:xfrm>
                      <a:off x="0" y="0"/>
                      <a:ext cx="2886710" cy="5224145"/>
                    </a:xfrm>
                    <a:prstGeom prst="rect">
                      <a:avLst/>
                    </a:prstGeom>
                  </pic:spPr>
                </pic:pic>
              </a:graphicData>
            </a:graphic>
          </wp:inline>
        </w:drawing>
      </w:r>
    </w:p>
    <w:p w14:paraId="3D8091EA" w14:textId="77777777" w:rsidR="00CD1621" w:rsidRDefault="00000000">
      <w:pPr>
        <w:spacing w:before="120" w:after="120" w:line="276" w:lineRule="auto"/>
        <w:jc w:val="both"/>
        <w:rPr>
          <w:lang w:val="en-GB"/>
        </w:rPr>
      </w:pPr>
      <w:r>
        <w:rPr>
          <w:lang w:val="en-GB"/>
        </w:rPr>
        <w:t>Supplementary Figure S3: Flowchart of the SweMaMi cohort, cases of preterm birth (and its subgroups) and controls.</w:t>
      </w:r>
    </w:p>
    <w:p w14:paraId="086A9F1E" w14:textId="77777777" w:rsidR="00CD1621" w:rsidRDefault="00CD1621">
      <w:pPr>
        <w:spacing w:before="120" w:after="120" w:line="480" w:lineRule="auto"/>
        <w:jc w:val="both"/>
        <w:rPr>
          <w:rFonts w:ascii="Arial" w:hAnsi="Arial" w:cs="Arial"/>
          <w:b/>
          <w:bCs/>
          <w:sz w:val="24"/>
          <w:szCs w:val="24"/>
          <w:lang w:val="en-GB"/>
        </w:rPr>
      </w:pPr>
    </w:p>
    <w:p w14:paraId="7D6704F5" w14:textId="77777777" w:rsidR="00CD1621" w:rsidRDefault="00000000">
      <w:pPr>
        <w:spacing w:before="120" w:after="120" w:line="276" w:lineRule="auto"/>
        <w:jc w:val="both"/>
        <w:rPr>
          <w:lang w:val="en-GB"/>
        </w:rPr>
      </w:pPr>
      <w:r>
        <w:rPr>
          <w:noProof/>
          <w:lang w:val="en-GB"/>
        </w:rPr>
        <w:lastRenderedPageBreak/>
        <w:drawing>
          <wp:anchor distT="0" distB="0" distL="0" distR="0" simplePos="0" relativeHeight="6" behindDoc="0" locked="0" layoutInCell="0" allowOverlap="1" wp14:anchorId="7531196F" wp14:editId="77A9B0A1">
            <wp:simplePos x="0" y="0"/>
            <wp:positionH relativeFrom="column">
              <wp:align>center</wp:align>
            </wp:positionH>
            <wp:positionV relativeFrom="paragraph">
              <wp:posOffset>635</wp:posOffset>
            </wp:positionV>
            <wp:extent cx="5760720" cy="4114800"/>
            <wp:effectExtent l="0" t="0" r="0" b="0"/>
            <wp:wrapSquare wrapText="largest"/>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4"/>
                    <a:stretch>
                      <a:fillRect/>
                    </a:stretch>
                  </pic:blipFill>
                  <pic:spPr bwMode="auto">
                    <a:xfrm>
                      <a:off x="0" y="0"/>
                      <a:ext cx="5760720" cy="4114800"/>
                    </a:xfrm>
                    <a:prstGeom prst="rect">
                      <a:avLst/>
                    </a:prstGeom>
                  </pic:spPr>
                </pic:pic>
              </a:graphicData>
            </a:graphic>
          </wp:anchor>
        </w:drawing>
      </w:r>
    </w:p>
    <w:p w14:paraId="74361AA5" w14:textId="77777777" w:rsidR="00CD1621" w:rsidRDefault="00000000">
      <w:pPr>
        <w:spacing w:before="120" w:after="120" w:line="276" w:lineRule="auto"/>
        <w:jc w:val="both"/>
        <w:rPr>
          <w:lang w:val="en-GB"/>
        </w:rPr>
      </w:pPr>
      <w:r>
        <w:rPr>
          <w:lang w:val="en-GB"/>
        </w:rPr>
        <w:t>Supplementary Figure S4. Relative abundance of the most abundant vaginal microbiome species in preterm birth cases at (a) timepoint one and (b) two, and matched controls at (c) timepoint one and (d) two.</w:t>
      </w:r>
    </w:p>
    <w:p w14:paraId="5AA91EA8" w14:textId="77777777" w:rsidR="00CD1621" w:rsidRDefault="00000000">
      <w:pPr>
        <w:spacing w:before="120" w:after="120" w:line="276" w:lineRule="auto"/>
        <w:jc w:val="both"/>
        <w:rPr>
          <w:lang w:val="en-GB"/>
        </w:rPr>
      </w:pPr>
      <w:r>
        <w:rPr>
          <w:noProof/>
          <w:lang w:val="en-GB"/>
        </w:rPr>
        <w:lastRenderedPageBreak/>
        <w:drawing>
          <wp:inline distT="0" distB="0" distL="0" distR="0" wp14:anchorId="43EA13B0" wp14:editId="060222E1">
            <wp:extent cx="5762625" cy="5105400"/>
            <wp:effectExtent l="0" t="0" r="0" b="0"/>
            <wp:docPr id="5" name="Picture 11911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9116719"/>
                    <pic:cNvPicPr>
                      <a:picLocks noChangeAspect="1" noChangeArrowheads="1"/>
                    </pic:cNvPicPr>
                  </pic:nvPicPr>
                  <pic:blipFill>
                    <a:blip r:embed="rId15"/>
                    <a:stretch>
                      <a:fillRect/>
                    </a:stretch>
                  </pic:blipFill>
                  <pic:spPr bwMode="auto">
                    <a:xfrm>
                      <a:off x="0" y="0"/>
                      <a:ext cx="5762625" cy="5105400"/>
                    </a:xfrm>
                    <a:prstGeom prst="rect">
                      <a:avLst/>
                    </a:prstGeom>
                  </pic:spPr>
                </pic:pic>
              </a:graphicData>
            </a:graphic>
          </wp:inline>
        </w:drawing>
      </w:r>
      <w:r>
        <w:rPr>
          <w:lang w:val="en-GB"/>
        </w:rPr>
        <w:t>Supplementary Figure S5. Random forest machine learning models at timepoint two using (a) all data and (b) denoised with AUROC values. The most important (c) health data, (d) vaginal and (e) faecal variables in the model are shown in relation to the Varlmp scaled importance.</w:t>
      </w:r>
    </w:p>
    <w:p w14:paraId="2509F078" w14:textId="77777777" w:rsidR="00CD1621" w:rsidRDefault="00CD1621">
      <w:pPr>
        <w:spacing w:before="120" w:after="120" w:line="480" w:lineRule="auto"/>
        <w:jc w:val="both"/>
        <w:rPr>
          <w:lang w:val="en-GB"/>
        </w:rPr>
      </w:pPr>
    </w:p>
    <w:p w14:paraId="095AF27B" w14:textId="77777777" w:rsidR="00CD1621" w:rsidRDefault="00CD1621">
      <w:pPr>
        <w:spacing w:before="120" w:after="120" w:line="480" w:lineRule="auto"/>
        <w:jc w:val="both"/>
        <w:rPr>
          <w:lang w:val="en-GB"/>
        </w:rPr>
      </w:pPr>
    </w:p>
    <w:p w14:paraId="011505B8" w14:textId="77777777" w:rsidR="00CD1621" w:rsidRDefault="00CD1621">
      <w:pPr>
        <w:spacing w:before="120" w:after="120" w:line="480" w:lineRule="auto"/>
        <w:jc w:val="both"/>
        <w:rPr>
          <w:b/>
          <w:bCs/>
          <w:sz w:val="36"/>
          <w:szCs w:val="36"/>
          <w:lang w:val="en-GB"/>
        </w:rPr>
      </w:pPr>
    </w:p>
    <w:p w14:paraId="1E891DB1" w14:textId="77777777" w:rsidR="00CD1621" w:rsidRDefault="00CD1621">
      <w:pPr>
        <w:spacing w:before="120" w:after="120" w:line="480" w:lineRule="auto"/>
        <w:jc w:val="both"/>
        <w:rPr>
          <w:b/>
          <w:bCs/>
          <w:sz w:val="36"/>
          <w:szCs w:val="36"/>
          <w:lang w:val="en-GB"/>
        </w:rPr>
      </w:pPr>
    </w:p>
    <w:p w14:paraId="0D44CB79" w14:textId="77777777" w:rsidR="00CD1621" w:rsidRDefault="00CD1621">
      <w:pPr>
        <w:spacing w:before="120" w:after="120" w:line="480" w:lineRule="auto"/>
        <w:jc w:val="both"/>
        <w:rPr>
          <w:b/>
          <w:bCs/>
          <w:sz w:val="36"/>
          <w:szCs w:val="36"/>
          <w:lang w:val="en-GB"/>
        </w:rPr>
      </w:pPr>
    </w:p>
    <w:p w14:paraId="233E9A77" w14:textId="77777777" w:rsidR="00CD1621" w:rsidRDefault="00CD1621">
      <w:pPr>
        <w:spacing w:before="120" w:after="120" w:line="480" w:lineRule="auto"/>
        <w:jc w:val="both"/>
        <w:rPr>
          <w:b/>
          <w:bCs/>
          <w:sz w:val="36"/>
          <w:szCs w:val="36"/>
          <w:lang w:val="en-GB"/>
        </w:rPr>
      </w:pPr>
    </w:p>
    <w:p w14:paraId="33B89D96" w14:textId="77777777" w:rsidR="00CD1621" w:rsidRDefault="00000000">
      <w:pPr>
        <w:spacing w:before="120" w:after="120" w:line="480" w:lineRule="auto"/>
        <w:jc w:val="both"/>
        <w:rPr>
          <w:lang w:val="en-GB"/>
        </w:rPr>
      </w:pPr>
      <w:r>
        <w:rPr>
          <w:b/>
          <w:bCs/>
          <w:sz w:val="36"/>
          <w:szCs w:val="36"/>
          <w:lang w:val="en-GB"/>
        </w:rPr>
        <w:lastRenderedPageBreak/>
        <w:t>References</w:t>
      </w:r>
    </w:p>
    <w:p w14:paraId="4C825739" w14:textId="77777777" w:rsidR="00CD1621" w:rsidRDefault="00000000">
      <w:pPr>
        <w:pStyle w:val="EndNoteBibliography"/>
        <w:spacing w:after="0"/>
        <w:ind w:left="720" w:hanging="720"/>
        <w:rPr>
          <w:lang w:val="en-GB"/>
        </w:rPr>
      </w:pPr>
      <w:r>
        <w:fldChar w:fldCharType="begin"/>
      </w:r>
      <w:r>
        <w:rPr>
          <w:lang w:val="en-GB"/>
        </w:rPr>
        <w:instrText>ADDIN EN.REFLIST</w:instrText>
      </w:r>
      <w:r>
        <w:rPr>
          <w:lang w:val="en-GB"/>
        </w:rPr>
        <w:fldChar w:fldCharType="separate"/>
      </w:r>
      <w:r>
        <w:rPr>
          <w:lang w:val="en-GB"/>
        </w:rPr>
        <w:t>1.</w:t>
      </w:r>
      <w:r>
        <w:rPr>
          <w:lang w:val="en-GB"/>
        </w:rPr>
        <w:tab/>
        <w:t xml:space="preserve">Goldenberg, R.L., et al., </w:t>
      </w:r>
      <w:r>
        <w:rPr>
          <w:i/>
          <w:lang w:val="en-GB"/>
        </w:rPr>
        <w:t>Epidemiology and causes of preterm birth.</w:t>
      </w:r>
      <w:r>
        <w:rPr>
          <w:lang w:val="en-GB"/>
        </w:rPr>
        <w:t xml:space="preserve"> Lancet, 2008. </w:t>
      </w:r>
      <w:r>
        <w:rPr>
          <w:b/>
          <w:lang w:val="en-GB"/>
        </w:rPr>
        <w:t>371</w:t>
      </w:r>
      <w:r>
        <w:rPr>
          <w:lang w:val="en-GB"/>
        </w:rPr>
        <w:t>(9606): p. 75-84.</w:t>
      </w:r>
    </w:p>
    <w:p w14:paraId="3F591217" w14:textId="77777777" w:rsidR="00CD1621" w:rsidRDefault="00000000">
      <w:pPr>
        <w:pStyle w:val="EndNoteBibliography"/>
        <w:spacing w:after="0"/>
        <w:ind w:left="720" w:hanging="720"/>
        <w:rPr>
          <w:lang w:val="en-GB"/>
        </w:rPr>
      </w:pPr>
      <w:r>
        <w:rPr>
          <w:lang w:val="en-GB"/>
        </w:rPr>
        <w:t>2.</w:t>
      </w:r>
      <w:r>
        <w:rPr>
          <w:lang w:val="en-GB"/>
        </w:rPr>
        <w:tab/>
        <w:t xml:space="preserve">Koullali, B., et al., </w:t>
      </w:r>
      <w:r>
        <w:rPr>
          <w:i/>
          <w:lang w:val="en-GB"/>
        </w:rPr>
        <w:t>Risk assessment and management to prevent preterm birth.</w:t>
      </w:r>
      <w:r>
        <w:rPr>
          <w:lang w:val="en-GB"/>
        </w:rPr>
        <w:t xml:space="preserve"> Semin Fetal Neonatal Med, 2016. </w:t>
      </w:r>
      <w:r>
        <w:rPr>
          <w:b/>
          <w:lang w:val="en-GB"/>
        </w:rPr>
        <w:t>21</w:t>
      </w:r>
      <w:r>
        <w:rPr>
          <w:lang w:val="en-GB"/>
        </w:rPr>
        <w:t>(2): p. 80-8.</w:t>
      </w:r>
    </w:p>
    <w:p w14:paraId="5717DF8F" w14:textId="77777777" w:rsidR="00CD1621" w:rsidRDefault="00000000">
      <w:pPr>
        <w:pStyle w:val="EndNoteBibliography"/>
        <w:spacing w:after="0"/>
        <w:ind w:left="720" w:hanging="720"/>
        <w:rPr>
          <w:lang w:val="en-GB"/>
        </w:rPr>
      </w:pPr>
      <w:r>
        <w:rPr>
          <w:lang w:val="en-GB"/>
        </w:rPr>
        <w:t>3.</w:t>
      </w:r>
      <w:r>
        <w:rPr>
          <w:lang w:val="en-GB"/>
        </w:rPr>
        <w:tab/>
        <w:t xml:space="preserve">Frey, H.A. and M.A. Klebanoff, </w:t>
      </w:r>
      <w:r>
        <w:rPr>
          <w:i/>
          <w:lang w:val="en-GB"/>
        </w:rPr>
        <w:t>The epidemiology, etiology, and costs of preterm birth.</w:t>
      </w:r>
      <w:r>
        <w:rPr>
          <w:lang w:val="en-GB"/>
        </w:rPr>
        <w:t xml:space="preserve"> Semin Fetal Neonatal Med, 2016. </w:t>
      </w:r>
      <w:r>
        <w:rPr>
          <w:b/>
          <w:lang w:val="en-GB"/>
        </w:rPr>
        <w:t>21</w:t>
      </w:r>
      <w:r>
        <w:rPr>
          <w:lang w:val="en-GB"/>
        </w:rPr>
        <w:t>(2): p. 68-73.</w:t>
      </w:r>
    </w:p>
    <w:p w14:paraId="49E85DAB" w14:textId="77777777" w:rsidR="00CD1621" w:rsidRDefault="00000000">
      <w:pPr>
        <w:pStyle w:val="EndNoteBibliography"/>
        <w:spacing w:after="0"/>
        <w:ind w:left="720" w:hanging="720"/>
        <w:rPr>
          <w:lang w:val="en-GB"/>
        </w:rPr>
      </w:pPr>
      <w:r>
        <w:rPr>
          <w:lang w:val="en-GB"/>
        </w:rPr>
        <w:t>4.</w:t>
      </w:r>
      <w:r>
        <w:rPr>
          <w:lang w:val="en-GB"/>
        </w:rPr>
        <w:tab/>
        <w:t xml:space="preserve">Oskovi Kaplan, Z.A. and A.S. Ozgu-Erdinc, </w:t>
      </w:r>
      <w:r>
        <w:rPr>
          <w:i/>
          <w:lang w:val="en-GB"/>
        </w:rPr>
        <w:t>Prediction of Preterm Birth: Maternal Characteristics, Ultrasound Markers, and Biomarkers: An Updated Overview.</w:t>
      </w:r>
      <w:r>
        <w:rPr>
          <w:lang w:val="en-GB"/>
        </w:rPr>
        <w:t xml:space="preserve"> J Pregnancy, 2018. </w:t>
      </w:r>
      <w:r>
        <w:rPr>
          <w:b/>
          <w:lang w:val="en-GB"/>
        </w:rPr>
        <w:t>2018</w:t>
      </w:r>
      <w:r>
        <w:rPr>
          <w:lang w:val="en-GB"/>
        </w:rPr>
        <w:t>: p. 8367571.</w:t>
      </w:r>
    </w:p>
    <w:p w14:paraId="725E5876" w14:textId="77777777" w:rsidR="00CD1621" w:rsidRDefault="00000000">
      <w:pPr>
        <w:pStyle w:val="EndNoteBibliography"/>
        <w:spacing w:after="0"/>
        <w:ind w:left="720" w:hanging="720"/>
        <w:rPr>
          <w:lang w:val="en-GB"/>
        </w:rPr>
      </w:pPr>
      <w:r>
        <w:rPr>
          <w:lang w:val="en-GB"/>
        </w:rPr>
        <w:t>5.</w:t>
      </w:r>
      <w:r>
        <w:rPr>
          <w:lang w:val="en-GB"/>
        </w:rPr>
        <w:tab/>
        <w:t xml:space="preserve">Axmon, A. and L. Hagmar, </w:t>
      </w:r>
      <w:r>
        <w:rPr>
          <w:i/>
          <w:lang w:val="en-GB"/>
        </w:rPr>
        <w:t>Time to pregnancy and pregnancy outcome.</w:t>
      </w:r>
      <w:r>
        <w:rPr>
          <w:lang w:val="en-GB"/>
        </w:rPr>
        <w:t xml:space="preserve"> Fertil Steril, 2005. </w:t>
      </w:r>
      <w:r>
        <w:rPr>
          <w:b/>
          <w:lang w:val="en-GB"/>
        </w:rPr>
        <w:t>84</w:t>
      </w:r>
      <w:r>
        <w:rPr>
          <w:lang w:val="en-GB"/>
        </w:rPr>
        <w:t>(4): p. 966-74.</w:t>
      </w:r>
    </w:p>
    <w:p w14:paraId="2874A3ED" w14:textId="77777777" w:rsidR="00CD1621" w:rsidRDefault="00000000">
      <w:pPr>
        <w:pStyle w:val="EndNoteBibliography"/>
        <w:spacing w:after="0"/>
        <w:ind w:left="720" w:hanging="720"/>
        <w:rPr>
          <w:lang w:val="en-GB"/>
        </w:rPr>
      </w:pPr>
      <w:r>
        <w:rPr>
          <w:lang w:val="en-GB"/>
        </w:rPr>
        <w:t>6.</w:t>
      </w:r>
      <w:r>
        <w:rPr>
          <w:lang w:val="en-GB"/>
        </w:rPr>
        <w:tab/>
        <w:t xml:space="preserve">Cox, J.L., J.M. Holden, and R. Sagovsky, </w:t>
      </w:r>
      <w:r>
        <w:rPr>
          <w:i/>
          <w:lang w:val="en-GB"/>
        </w:rPr>
        <w:t>Detection of postnatal depression. Development of the 10-item Edinburgh Postnatal Depression Scale.</w:t>
      </w:r>
      <w:r>
        <w:rPr>
          <w:lang w:val="en-GB"/>
        </w:rPr>
        <w:t xml:space="preserve"> Br J Psychiatry, 1987. </w:t>
      </w:r>
      <w:r>
        <w:rPr>
          <w:b/>
          <w:lang w:val="en-GB"/>
        </w:rPr>
        <w:t>150</w:t>
      </w:r>
      <w:r>
        <w:rPr>
          <w:lang w:val="en-GB"/>
        </w:rPr>
        <w:t>: p. 782-6.</w:t>
      </w:r>
    </w:p>
    <w:p w14:paraId="1DC174B8" w14:textId="77777777" w:rsidR="00CD1621" w:rsidRDefault="00000000">
      <w:pPr>
        <w:pStyle w:val="EndNoteBibliography"/>
        <w:spacing w:after="0"/>
        <w:ind w:left="720" w:hanging="720"/>
        <w:rPr>
          <w:lang w:val="en-GB"/>
        </w:rPr>
      </w:pPr>
      <w:r>
        <w:rPr>
          <w:lang w:val="en-GB"/>
        </w:rPr>
        <w:t>7.</w:t>
      </w:r>
      <w:r>
        <w:rPr>
          <w:lang w:val="en-GB"/>
        </w:rPr>
        <w:tab/>
        <w:t xml:space="preserve">Cohen, S., T. Kamarck, and R. Mermelstein, </w:t>
      </w:r>
      <w:r>
        <w:rPr>
          <w:i/>
          <w:lang w:val="en-GB"/>
        </w:rPr>
        <w:t>A global measure of perceived stress.</w:t>
      </w:r>
      <w:r>
        <w:rPr>
          <w:lang w:val="en-GB"/>
        </w:rPr>
        <w:t xml:space="preserve"> J Health Soc Behav, 1983. </w:t>
      </w:r>
      <w:r>
        <w:rPr>
          <w:b/>
          <w:lang w:val="en-GB"/>
        </w:rPr>
        <w:t>24</w:t>
      </w:r>
      <w:r>
        <w:rPr>
          <w:lang w:val="en-GB"/>
        </w:rPr>
        <w:t>(4): p. 385-96.</w:t>
      </w:r>
    </w:p>
    <w:p w14:paraId="21A78479" w14:textId="77777777" w:rsidR="00CD1621" w:rsidRDefault="00000000">
      <w:pPr>
        <w:pStyle w:val="EndNoteBibliography"/>
        <w:ind w:left="720" w:hanging="720"/>
        <w:rPr>
          <w:lang w:val="en-GB"/>
        </w:rPr>
      </w:pPr>
      <w:r>
        <w:rPr>
          <w:lang w:val="en-GB"/>
        </w:rPr>
        <w:t>8.</w:t>
      </w:r>
      <w:r>
        <w:rPr>
          <w:lang w:val="en-GB"/>
        </w:rPr>
        <w:tab/>
        <w:t xml:space="preserve">Brusselaers, N., </w:t>
      </w:r>
      <w:r>
        <w:rPr>
          <w:i/>
          <w:lang w:val="en-GB"/>
        </w:rPr>
        <w:t>Prescribed Drugs and the Microbiome.</w:t>
      </w:r>
      <w:r>
        <w:rPr>
          <w:lang w:val="en-GB"/>
        </w:rPr>
        <w:t xml:space="preserve"> Gastroenterol Clin North Am, 2019. </w:t>
      </w:r>
      <w:r>
        <w:rPr>
          <w:b/>
          <w:lang w:val="en-GB"/>
        </w:rPr>
        <w:t>48</w:t>
      </w:r>
      <w:r>
        <w:rPr>
          <w:lang w:val="en-GB"/>
        </w:rPr>
        <w:t>(3): p. 331-342.</w:t>
      </w:r>
    </w:p>
    <w:p w14:paraId="3291D054" w14:textId="77777777" w:rsidR="00CD1621" w:rsidRDefault="00000000">
      <w:pPr>
        <w:spacing w:before="120" w:after="120" w:line="480" w:lineRule="auto"/>
        <w:jc w:val="both"/>
        <w:rPr>
          <w:lang w:val="en-GB"/>
        </w:rPr>
      </w:pPr>
      <w:r>
        <w:rPr>
          <w:lang w:val="en-GB"/>
        </w:rPr>
        <w:fldChar w:fldCharType="end"/>
      </w:r>
    </w:p>
    <w:sectPr w:rsidR="00CD1621">
      <w:footerReference w:type="default" r:id="rId16"/>
      <w:pgSz w:w="11906" w:h="16838"/>
      <w:pgMar w:top="1417" w:right="1417" w:bottom="1417" w:left="1417"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F8AFC" w14:textId="77777777" w:rsidR="00F34229" w:rsidRDefault="00F34229">
      <w:pPr>
        <w:spacing w:after="0" w:line="240" w:lineRule="auto"/>
      </w:pPr>
      <w:r>
        <w:separator/>
      </w:r>
    </w:p>
  </w:endnote>
  <w:endnote w:type="continuationSeparator" w:id="0">
    <w:p w14:paraId="71043C77" w14:textId="77777777" w:rsidR="00F34229" w:rsidRDefault="00F34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ptos Narrow">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332810"/>
      <w:docPartObj>
        <w:docPartGallery w:val="AutoText"/>
      </w:docPartObj>
    </w:sdtPr>
    <w:sdtContent>
      <w:p w14:paraId="59683D80" w14:textId="77777777" w:rsidR="00CD1621" w:rsidRDefault="00000000">
        <w:pPr>
          <w:pStyle w:val="Footer"/>
          <w:jc w:val="center"/>
        </w:pPr>
        <w:r>
          <w:fldChar w:fldCharType="begin"/>
        </w:r>
        <w:r>
          <w:instrText xml:space="preserve"> PAGE </w:instrText>
        </w:r>
        <w:r>
          <w:fldChar w:fldCharType="separate"/>
        </w:r>
        <w:r>
          <w:t>12</w:t>
        </w:r>
        <w:r>
          <w:fldChar w:fldCharType="end"/>
        </w:r>
      </w:p>
    </w:sdtContent>
  </w:sdt>
  <w:p w14:paraId="0F0C33E4" w14:textId="77777777" w:rsidR="00CD1621" w:rsidRDefault="00CD1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D34FC" w14:textId="77777777" w:rsidR="00F34229" w:rsidRDefault="00F34229">
      <w:pPr>
        <w:spacing w:after="0" w:line="240" w:lineRule="auto"/>
      </w:pPr>
      <w:r>
        <w:separator/>
      </w:r>
    </w:p>
  </w:footnote>
  <w:footnote w:type="continuationSeparator" w:id="0">
    <w:p w14:paraId="2A36D7B5" w14:textId="77777777" w:rsidR="00F34229" w:rsidRDefault="00F342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117E7"/>
    <w:multiLevelType w:val="multilevel"/>
    <w:tmpl w:val="5B3A1BEC"/>
    <w:lvl w:ilvl="0">
      <w:start w:val="1"/>
      <w:numFmt w:val="decimal"/>
      <w:pStyle w:val="Level1"/>
      <w:lvlText w:val="%1."/>
      <w:lvlJc w:val="left"/>
      <w:pPr>
        <w:tabs>
          <w:tab w:val="num" w:pos="0"/>
        </w:tabs>
        <w:ind w:left="720" w:hanging="360"/>
      </w:pPr>
    </w:lvl>
    <w:lvl w:ilvl="1">
      <w:start w:val="1"/>
      <w:numFmt w:val="decimal"/>
      <w:lvlText w:val="%1.%2"/>
      <w:lvlJc w:val="left"/>
      <w:pPr>
        <w:tabs>
          <w:tab w:val="num" w:pos="0"/>
        </w:tabs>
        <w:ind w:left="1080" w:hanging="720"/>
      </w:pPr>
      <w:rPr>
        <w:i w:val="0"/>
      </w:rPr>
    </w:lvl>
    <w:lvl w:ilvl="2">
      <w:start w:val="1"/>
      <w:numFmt w:val="decimal"/>
      <w:lvlText w:val="%1.%2.%3"/>
      <w:lvlJc w:val="left"/>
      <w:pPr>
        <w:tabs>
          <w:tab w:val="num" w:pos="0"/>
        </w:tabs>
        <w:ind w:left="1080" w:hanging="720"/>
      </w:pPr>
      <w:rPr>
        <w:i w:val="0"/>
      </w:rPr>
    </w:lvl>
    <w:lvl w:ilvl="3">
      <w:start w:val="1"/>
      <w:numFmt w:val="decimal"/>
      <w:lvlText w:val="%1.%2.%3.%4"/>
      <w:lvlJc w:val="left"/>
      <w:pPr>
        <w:tabs>
          <w:tab w:val="num" w:pos="0"/>
        </w:tabs>
        <w:ind w:left="1440" w:hanging="1080"/>
      </w:pPr>
      <w:rPr>
        <w:i w:val="0"/>
      </w:rPr>
    </w:lvl>
    <w:lvl w:ilvl="4">
      <w:start w:val="1"/>
      <w:numFmt w:val="decimal"/>
      <w:lvlText w:val="%1.%2.%3.%4.%5"/>
      <w:lvlJc w:val="left"/>
      <w:pPr>
        <w:tabs>
          <w:tab w:val="num" w:pos="0"/>
        </w:tabs>
        <w:ind w:left="1800" w:hanging="1440"/>
      </w:pPr>
      <w:rPr>
        <w:i w:val="0"/>
      </w:rPr>
    </w:lvl>
    <w:lvl w:ilvl="5">
      <w:start w:val="1"/>
      <w:numFmt w:val="decimal"/>
      <w:lvlText w:val="%1.%2.%3.%4.%5.%6"/>
      <w:lvlJc w:val="left"/>
      <w:pPr>
        <w:tabs>
          <w:tab w:val="num" w:pos="0"/>
        </w:tabs>
        <w:ind w:left="2160" w:hanging="1800"/>
      </w:pPr>
      <w:rPr>
        <w:i w:val="0"/>
      </w:rPr>
    </w:lvl>
    <w:lvl w:ilvl="6">
      <w:start w:val="1"/>
      <w:numFmt w:val="decimal"/>
      <w:lvlText w:val="%1.%2.%3.%4.%5.%6.%7"/>
      <w:lvlJc w:val="left"/>
      <w:pPr>
        <w:tabs>
          <w:tab w:val="num" w:pos="0"/>
        </w:tabs>
        <w:ind w:left="2160" w:hanging="1800"/>
      </w:pPr>
      <w:rPr>
        <w:i w:val="0"/>
      </w:rPr>
    </w:lvl>
    <w:lvl w:ilvl="7">
      <w:start w:val="1"/>
      <w:numFmt w:val="decimal"/>
      <w:lvlText w:val="%1.%2.%3.%4.%5.%6.%7.%8"/>
      <w:lvlJc w:val="left"/>
      <w:pPr>
        <w:tabs>
          <w:tab w:val="num" w:pos="0"/>
        </w:tabs>
        <w:ind w:left="2520" w:hanging="2160"/>
      </w:pPr>
      <w:rPr>
        <w:i w:val="0"/>
      </w:rPr>
    </w:lvl>
    <w:lvl w:ilvl="8">
      <w:start w:val="1"/>
      <w:numFmt w:val="decimal"/>
      <w:lvlText w:val="%1.%2.%3.%4.%5.%6.%7.%8.%9"/>
      <w:lvlJc w:val="left"/>
      <w:pPr>
        <w:tabs>
          <w:tab w:val="num" w:pos="0"/>
        </w:tabs>
        <w:ind w:left="2880" w:hanging="2520"/>
      </w:pPr>
      <w:rPr>
        <w:i w:val="0"/>
      </w:rPr>
    </w:lvl>
  </w:abstractNum>
  <w:abstractNum w:abstractNumId="1" w15:restartNumberingAfterBreak="0">
    <w:nsid w:val="7E5E34B5"/>
    <w:multiLevelType w:val="multilevel"/>
    <w:tmpl w:val="A48E7D1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240871412">
    <w:abstractNumId w:val="0"/>
  </w:num>
  <w:num w:numId="2" w16cid:durableId="1108936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hideSpellingErrors/>
  <w:hideGrammaticalErrors/>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621"/>
    <w:rsid w:val="00576470"/>
    <w:rsid w:val="00CD1621"/>
    <w:rsid w:val="00F34229"/>
    <w:rsid w:val="00FF69C4"/>
  </w:rsids>
  <m:mathPr>
    <m:mathFont m:val="Cambria Math"/>
    <m:brkBin m:val="before"/>
    <m:brkBinSub m:val="--"/>
    <m:smallFrac m:val="0"/>
    <m:dispDef/>
    <m:lMargin m:val="0"/>
    <m:rMargin m:val="0"/>
    <m:defJc m:val="centerGroup"/>
    <m:wrapIndent m:val="1440"/>
    <m:intLim m:val="subSup"/>
    <m:naryLim m:val="undOvr"/>
  </m:mathPr>
  <w:themeFontLang w:val="sv-SE" w:eastAsia="zh-CN" w:bidi="zh-CN"/>
  <w:clrSchemeMapping w:bg1="light1" w:t1="dark1" w:bg2="light2" w:t2="dark2" w:accent1="accent1" w:accent2="accent2" w:accent3="accent3" w:accent4="accent4" w:accent5="accent5" w:accent6="accent6" w:hyperlink="hyperlink" w:followedHyperlink="followedHyperlink"/>
  <w:decimalSymbol w:val=","/>
  <w:listSeparator w:val=","/>
  <w14:docId w14:val="30DF3246"/>
  <w15:docId w15:val="{88A8F107-0795-D04E-A5F0-B8AC968FF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sv-SE" w:eastAsia="sv-S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EndNoteBibliographyTitleChar">
    <w:name w:val="EndNote Bibliography Title Char"/>
    <w:basedOn w:val="DefaultParagraphFont"/>
    <w:link w:val="EndNoteBibliographyTitle"/>
    <w:qFormat/>
    <w:rPr>
      <w:rFonts w:ascii="Calibri" w:hAnsi="Calibri" w:cs="Calibri"/>
      <w:sz w:val="22"/>
      <w:szCs w:val="22"/>
      <w:lang w:val="en-US" w:eastAsia="en-US"/>
    </w:rPr>
  </w:style>
  <w:style w:type="character" w:customStyle="1" w:styleId="EndNoteBibliographyChar">
    <w:name w:val="EndNote Bibliography Char"/>
    <w:basedOn w:val="DefaultParagraphFont"/>
    <w:link w:val="EndNoteBibliography"/>
    <w:qFormat/>
    <w:rPr>
      <w:rFonts w:ascii="Calibri" w:hAnsi="Calibri" w:cs="Calibri"/>
      <w:sz w:val="22"/>
      <w:szCs w:val="22"/>
      <w:lang w:val="en-US"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Mention1">
    <w:name w:val="Mention1"/>
    <w:basedOn w:val="DefaultParagraphFont"/>
    <w:uiPriority w:val="99"/>
    <w:unhideWhenUsed/>
    <w:qFormat/>
    <w:rPr>
      <w:color w:val="2B579A"/>
      <w:shd w:val="clear" w:color="auto" w:fill="E1DFDD"/>
    </w:rPr>
  </w:style>
  <w:style w:type="character" w:customStyle="1" w:styleId="LineNumbering">
    <w:name w:val="Line Numbering"/>
  </w:style>
  <w:style w:type="character" w:styleId="Mention">
    <w:name w:val="Mention"/>
    <w:basedOn w:val="DefaultParagraphFont"/>
    <w:uiPriority w:val="99"/>
    <w:unhideWhenUsed/>
    <w:qFormat/>
    <w:rsid w:val="00BF07D7"/>
    <w:rPr>
      <w:color w:val="2B579A"/>
      <w:shd w:val="clear" w:color="auto" w:fill="E1DFDD"/>
    </w:rPr>
  </w:style>
  <w:style w:type="character" w:styleId="UnresolvedMention">
    <w:name w:val="Unresolved Mention"/>
    <w:basedOn w:val="DefaultParagraphFont"/>
    <w:uiPriority w:val="99"/>
    <w:semiHidden/>
    <w:unhideWhenUsed/>
    <w:qFormat/>
    <w:rsid w:val="00B81AFF"/>
    <w:rPr>
      <w:color w:val="605E5C"/>
      <w:shd w:val="clear" w:color="auto" w:fill="E1DFDD"/>
    </w:rPr>
  </w:style>
  <w:style w:type="character" w:styleId="FollowedHyperlink">
    <w:name w:val="FollowedHyperlink"/>
    <w:basedOn w:val="DefaultParagraphFont"/>
    <w:uiPriority w:val="99"/>
    <w:semiHidden/>
    <w:unhideWhenUsed/>
    <w:rsid w:val="00BC46EF"/>
    <w:rPr>
      <w:color w:val="800080"/>
      <w:u w:val="single"/>
    </w:rPr>
  </w:style>
  <w:style w:type="character" w:customStyle="1" w:styleId="HTMLPreformattedChar">
    <w:name w:val="HTML Preformatted Char"/>
    <w:basedOn w:val="DefaultParagraphFont"/>
    <w:link w:val="HTMLPreformatted"/>
    <w:uiPriority w:val="99"/>
    <w:qFormat/>
    <w:rsid w:val="009013AC"/>
    <w:rPr>
      <w:rFonts w:ascii="Consolas" w:hAnsi="Consolas"/>
      <w:lang w:eastAsia="en-US"/>
    </w:rPr>
  </w:style>
  <w:style w:type="character" w:customStyle="1" w:styleId="Level1Char">
    <w:name w:val="Level 1 Char"/>
    <w:basedOn w:val="DefaultParagraphFont"/>
    <w:link w:val="Level1"/>
    <w:qFormat/>
    <w:rsid w:val="0F533EE2"/>
    <w:rPr>
      <w:rFonts w:ascii="Arial" w:hAnsi="Arial" w:cs="Arial"/>
      <w:b/>
      <w:bCs/>
      <w:sz w:val="32"/>
      <w:szCs w:val="32"/>
      <w:lang w:val="en-US" w:eastAsia="en-US"/>
    </w:rPr>
  </w:style>
  <w:style w:type="character" w:customStyle="1" w:styleId="Level2Char">
    <w:name w:val="Level 2 Char"/>
    <w:basedOn w:val="DefaultParagraphFont"/>
    <w:link w:val="Level2"/>
    <w:qFormat/>
    <w:rsid w:val="0F533EE2"/>
    <w:rPr>
      <w:rFonts w:ascii="Arial" w:hAnsi="Arial" w:cs="Arial"/>
      <w:b/>
      <w:bCs/>
      <w:sz w:val="24"/>
      <w:szCs w:val="24"/>
      <w:lang w:val="en-US" w:eastAsia="en-US"/>
    </w:rPr>
  </w:style>
  <w:style w:type="character" w:customStyle="1" w:styleId="Level3Char">
    <w:name w:val="Level 3 Char"/>
    <w:basedOn w:val="DefaultParagraphFont"/>
    <w:link w:val="Level3"/>
    <w:qFormat/>
    <w:rsid w:val="0F533EE2"/>
    <w:rPr>
      <w:rFonts w:ascii="Arial" w:hAnsi="Arial" w:cs="Arial"/>
      <w:b w:val="0"/>
      <w:bCs w:val="0"/>
      <w:i/>
      <w:iCs/>
      <w:sz w:val="24"/>
      <w:szCs w:val="24"/>
      <w:lang w:val="en-US" w:eastAsia="en-US"/>
    </w:rPr>
  </w:style>
  <w:style w:type="character" w:customStyle="1" w:styleId="wacimagecontainer">
    <w:name w:val="wacimagecontainer"/>
    <w:basedOn w:val="DefaultParagraphFont"/>
    <w:qFormat/>
    <w:rsid w:val="00D07A04"/>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next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customStyle="1" w:styleId="HeaderandFooter">
    <w:name w:val="Header and Footer"/>
    <w:basedOn w:val="Normal"/>
    <w:qFormat/>
  </w:style>
  <w:style w:type="paragraph" w:styleId="Footer">
    <w:name w:val="footer"/>
    <w:basedOn w:val="Normal"/>
    <w:link w:val="FooterChar"/>
    <w:uiPriority w:val="99"/>
    <w:unhideWhenUsed/>
    <w:pPr>
      <w:tabs>
        <w:tab w:val="center" w:pos="4536"/>
        <w:tab w:val="right" w:pos="9072"/>
      </w:tabs>
      <w:spacing w:after="0" w:line="240" w:lineRule="auto"/>
    </w:pPr>
  </w:style>
  <w:style w:type="paragraph" w:styleId="Header">
    <w:name w:val="header"/>
    <w:basedOn w:val="Normal"/>
    <w:link w:val="HeaderChar"/>
    <w:uiPriority w:val="99"/>
    <w:unhideWhenUsed/>
    <w:pPr>
      <w:tabs>
        <w:tab w:val="center" w:pos="4536"/>
        <w:tab w:val="right" w:pos="9072"/>
      </w:tabs>
      <w:spacing w:after="0" w:line="240" w:lineRule="auto"/>
    </w:pPr>
  </w:style>
  <w:style w:type="paragraph" w:customStyle="1" w:styleId="EndNoteBibliographyTitle">
    <w:name w:val="EndNote Bibliography Title"/>
    <w:basedOn w:val="Normal"/>
    <w:link w:val="EndNoteBibliographyTitleChar"/>
    <w:qFormat/>
    <w:pPr>
      <w:spacing w:after="0"/>
      <w:jc w:val="center"/>
    </w:pPr>
    <w:rPr>
      <w:rFonts w:ascii="Calibri" w:hAnsi="Calibri" w:cs="Calibri"/>
      <w:lang w:val="en-US"/>
    </w:rPr>
  </w:style>
  <w:style w:type="paragraph" w:customStyle="1" w:styleId="EndNoteBibliography">
    <w:name w:val="EndNote Bibliography"/>
    <w:basedOn w:val="Normal"/>
    <w:link w:val="EndNoteBibliographyChar"/>
    <w:qFormat/>
    <w:pPr>
      <w:spacing w:line="240" w:lineRule="auto"/>
      <w:jc w:val="both"/>
    </w:pPr>
    <w:rPr>
      <w:rFonts w:ascii="Calibri" w:hAnsi="Calibri" w:cs="Calibri"/>
      <w:lang w:val="en-US"/>
    </w:rPr>
  </w:style>
  <w:style w:type="paragraph" w:customStyle="1" w:styleId="Revision1">
    <w:name w:val="Revision1"/>
    <w:uiPriority w:val="99"/>
    <w:semiHidden/>
    <w:qFormat/>
    <w:rPr>
      <w:sz w:val="22"/>
      <w:szCs w:val="22"/>
      <w:lang w:eastAsia="en-US"/>
    </w:rPr>
  </w:style>
  <w:style w:type="paragraph" w:styleId="ListParagraph">
    <w:name w:val="List Paragraph"/>
    <w:basedOn w:val="Normal"/>
    <w:uiPriority w:val="34"/>
    <w:qFormat/>
    <w:pPr>
      <w:ind w:left="720"/>
      <w:contextualSpacing/>
    </w:pPr>
  </w:style>
  <w:style w:type="paragraph" w:styleId="Revision">
    <w:name w:val="Revision"/>
    <w:uiPriority w:val="99"/>
    <w:semiHidden/>
    <w:qFormat/>
    <w:rsid w:val="004B21B3"/>
    <w:rPr>
      <w:sz w:val="22"/>
      <w:szCs w:val="22"/>
      <w:lang w:eastAsia="en-US"/>
    </w:rPr>
  </w:style>
  <w:style w:type="paragraph" w:customStyle="1" w:styleId="msonormal0">
    <w:name w:val="msonormal"/>
    <w:basedOn w:val="Normal"/>
    <w:qFormat/>
    <w:rsid w:val="00BC46EF"/>
    <w:pPr>
      <w:suppressAutoHyphens w:val="0"/>
      <w:spacing w:beforeAutospacing="1" w:afterAutospacing="1" w:line="240" w:lineRule="auto"/>
    </w:pPr>
    <w:rPr>
      <w:rFonts w:ascii="Times New Roman" w:eastAsia="Times New Roman" w:hAnsi="Times New Roman" w:cs="Times New Roman"/>
      <w:sz w:val="24"/>
      <w:szCs w:val="24"/>
      <w:lang w:eastAsia="sv-SE"/>
    </w:rPr>
  </w:style>
  <w:style w:type="paragraph" w:customStyle="1" w:styleId="xl16">
    <w:name w:val="xl16"/>
    <w:basedOn w:val="Normal"/>
    <w:qFormat/>
    <w:rsid w:val="00BC46EF"/>
    <w:pPr>
      <w:suppressAutoHyphens w:val="0"/>
      <w:spacing w:beforeAutospacing="1" w:afterAutospacing="1" w:line="240" w:lineRule="auto"/>
      <w:jc w:val="center"/>
    </w:pPr>
    <w:rPr>
      <w:rFonts w:ascii="Times New Roman" w:eastAsia="Times New Roman" w:hAnsi="Times New Roman" w:cs="Times New Roman"/>
      <w:b/>
      <w:bCs/>
      <w:sz w:val="24"/>
      <w:szCs w:val="24"/>
      <w:lang w:eastAsia="sv-SE"/>
    </w:rPr>
  </w:style>
  <w:style w:type="paragraph" w:customStyle="1" w:styleId="xl17">
    <w:name w:val="xl17"/>
    <w:basedOn w:val="Normal"/>
    <w:qFormat/>
    <w:rsid w:val="00BC46EF"/>
    <w:pPr>
      <w:suppressAutoHyphens w:val="0"/>
      <w:spacing w:beforeAutospacing="1" w:afterAutospacing="1" w:line="240" w:lineRule="auto"/>
      <w:jc w:val="center"/>
    </w:pPr>
    <w:rPr>
      <w:rFonts w:ascii="Times New Roman" w:eastAsia="Times New Roman" w:hAnsi="Times New Roman" w:cs="Times New Roman"/>
      <w:b/>
      <w:bCs/>
      <w:sz w:val="24"/>
      <w:szCs w:val="24"/>
      <w:lang w:eastAsia="sv-SE"/>
    </w:rPr>
  </w:style>
  <w:style w:type="paragraph" w:styleId="HTMLPreformatted">
    <w:name w:val="HTML Preformatted"/>
    <w:basedOn w:val="Normal"/>
    <w:link w:val="HTMLPreformattedChar"/>
    <w:uiPriority w:val="99"/>
    <w:unhideWhenUsed/>
    <w:qFormat/>
    <w:rsid w:val="009013AC"/>
    <w:pPr>
      <w:spacing w:after="0" w:line="240" w:lineRule="auto"/>
    </w:pPr>
    <w:rPr>
      <w:rFonts w:ascii="Consolas" w:hAnsi="Consolas"/>
      <w:sz w:val="20"/>
      <w:szCs w:val="20"/>
    </w:rPr>
  </w:style>
  <w:style w:type="paragraph" w:customStyle="1" w:styleId="Level1">
    <w:name w:val="Level 1"/>
    <w:basedOn w:val="Normal"/>
    <w:link w:val="Level1Char"/>
    <w:qFormat/>
    <w:rsid w:val="0F533EE2"/>
    <w:pPr>
      <w:numPr>
        <w:numId w:val="1"/>
      </w:numPr>
      <w:contextualSpacing/>
      <w:jc w:val="both"/>
    </w:pPr>
    <w:rPr>
      <w:rFonts w:ascii="Arial" w:hAnsi="Arial" w:cs="Arial"/>
      <w:b/>
      <w:bCs/>
      <w:sz w:val="32"/>
      <w:szCs w:val="32"/>
      <w:lang w:val="en-US"/>
    </w:rPr>
  </w:style>
  <w:style w:type="paragraph" w:customStyle="1" w:styleId="Level2">
    <w:name w:val="Level 2"/>
    <w:basedOn w:val="Normal"/>
    <w:link w:val="Level2Char"/>
    <w:qFormat/>
    <w:rsid w:val="0F533EE2"/>
    <w:pPr>
      <w:jc w:val="both"/>
    </w:pPr>
    <w:rPr>
      <w:rFonts w:ascii="Arial" w:hAnsi="Arial" w:cs="Arial"/>
      <w:b/>
      <w:bCs/>
      <w:sz w:val="24"/>
      <w:szCs w:val="24"/>
      <w:lang w:val="en-US"/>
    </w:rPr>
  </w:style>
  <w:style w:type="paragraph" w:customStyle="1" w:styleId="Level3">
    <w:name w:val="Level 3"/>
    <w:basedOn w:val="Normal"/>
    <w:link w:val="Level3Char"/>
    <w:qFormat/>
    <w:rsid w:val="0F533EE2"/>
    <w:pPr>
      <w:jc w:val="both"/>
    </w:pPr>
    <w:rPr>
      <w:rFonts w:ascii="Arial" w:hAnsi="Arial" w:cs="Arial"/>
      <w:i/>
      <w:iCs/>
      <w:sz w:val="24"/>
      <w:szCs w:val="24"/>
      <w:lang w:val="en-US"/>
    </w:rPr>
  </w:style>
  <w:style w:type="paragraph" w:styleId="NormalWeb">
    <w:name w:val="Normal (Web)"/>
    <w:basedOn w:val="Normal"/>
    <w:uiPriority w:val="99"/>
    <w:unhideWhenUsed/>
    <w:qFormat/>
    <w:rsid w:val="009C6686"/>
    <w:pPr>
      <w:suppressAutoHyphens w:val="0"/>
      <w:spacing w:beforeAutospacing="1" w:afterAutospacing="1" w:line="240" w:lineRule="auto"/>
    </w:pPr>
    <w:rPr>
      <w:rFonts w:ascii="Times New Roman" w:eastAsia="Times New Roman" w:hAnsi="Times New Roman" w:cs="Times New Roman"/>
      <w:sz w:val="24"/>
      <w:szCs w:val="24"/>
      <w:lang w:val="en-US" w:eastAsia="en-GB"/>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1">
    <w:name w:val="Plain Table 1"/>
    <w:basedOn w:val="TableNormal"/>
    <w:uiPriority w:val="41"/>
    <w:rsid w:val="00785E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5363D"/>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e640f19-8cba-4956-ad01-8ad7690087c0">
      <Terms xmlns="http://schemas.microsoft.com/office/infopath/2007/PartnerControls"/>
    </lcf76f155ced4ddcb4097134ff3c332f>
    <TaxCatchAll xmlns="93016bf0-7aff-4af3-8e33-477e74c87f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F6BC9D49A6B84797EC3B231EF7776B" ma:contentTypeVersion="18" ma:contentTypeDescription="Create a new document." ma:contentTypeScope="" ma:versionID="cba4cdff22b585dd3431b3f839626c12">
  <xsd:schema xmlns:xsd="http://www.w3.org/2001/XMLSchema" xmlns:xs="http://www.w3.org/2001/XMLSchema" xmlns:p="http://schemas.microsoft.com/office/2006/metadata/properties" xmlns:ns2="2e640f19-8cba-4956-ad01-8ad7690087c0" xmlns:ns3="93016bf0-7aff-4af3-8e33-477e74c87f7c" targetNamespace="http://schemas.microsoft.com/office/2006/metadata/properties" ma:root="true" ma:fieldsID="5d218fe0c60c907c93d4862a3fb69864" ns2:_="" ns3:_="">
    <xsd:import namespace="2e640f19-8cba-4956-ad01-8ad7690087c0"/>
    <xsd:import namespace="93016bf0-7aff-4af3-8e33-477e74c87f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40f19-8cba-4956-ad01-8ad7690087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34d398b-60ba-4ad0-a6da-da1ce693b8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16bf0-7aff-4af3-8e33-477e74c87f7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bac066-a814-4bff-adae-766f4255b313}" ma:internalName="TaxCatchAll" ma:showField="CatchAllData" ma:web="93016bf0-7aff-4af3-8e33-477e74c87f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640403-D08F-4E8D-9E3F-E3803DF0E1E6}">
  <ds:schemaRefs>
    <ds:schemaRef ds:uri="http://schemas.openxmlformats.org/officeDocument/2006/bibliography"/>
  </ds:schemaRefs>
</ds:datastoreItem>
</file>

<file path=customXml/itemProps2.xml><?xml version="1.0" encoding="utf-8"?>
<ds:datastoreItem xmlns:ds="http://schemas.openxmlformats.org/officeDocument/2006/customXml" ds:itemID="{F931C832-3D5C-49AE-96B2-D9C7E58BAF84}">
  <ds:schemaRefs>
    <ds:schemaRef ds:uri="http://schemas.microsoft.com/office/2006/metadata/properties"/>
    <ds:schemaRef ds:uri="http://schemas.microsoft.com/office/infopath/2007/PartnerControls"/>
    <ds:schemaRef ds:uri="2e640f19-8cba-4956-ad01-8ad7690087c0"/>
    <ds:schemaRef ds:uri="93016bf0-7aff-4af3-8e33-477e74c87f7c"/>
  </ds:schemaRefs>
</ds:datastoreItem>
</file>

<file path=customXml/itemProps3.xml><?xml version="1.0" encoding="utf-8"?>
<ds:datastoreItem xmlns:ds="http://schemas.openxmlformats.org/officeDocument/2006/customXml" ds:itemID="{0D67C958-7BF5-449E-808F-6C9A5779353E}">
  <ds:schemaRefs>
    <ds:schemaRef ds:uri="http://schemas.microsoft.com/sharepoint/v3/contenttype/forms"/>
  </ds:schemaRefs>
</ds:datastoreItem>
</file>

<file path=customXml/itemProps4.xml><?xml version="1.0" encoding="utf-8"?>
<ds:datastoreItem xmlns:ds="http://schemas.openxmlformats.org/officeDocument/2006/customXml" ds:itemID="{8BC95ACF-3B91-429C-822E-4C61BB10D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40f19-8cba-4956-ad01-8ad7690087c0"/>
    <ds:schemaRef ds:uri="93016bf0-7aff-4af3-8e33-477e74c87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2748</Words>
  <Characters>15664</Characters>
  <Application>Microsoft Office Word</Application>
  <DocSecurity>0</DocSecurity>
  <Lines>130</Lines>
  <Paragraphs>36</Paragraphs>
  <ScaleCrop>false</ScaleCrop>
  <Company/>
  <LinksUpToDate>false</LinksUpToDate>
  <CharactersWithSpaces>18376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Unnur Gudnadóttir</dc:creator>
  <dc:description/>
  <cp:lastModifiedBy>Lars Engstrand</cp:lastModifiedBy>
  <cp:revision>2</cp:revision>
  <cp:lastPrinted>2024-10-11T23:55:00Z</cp:lastPrinted>
  <dcterms:created xsi:type="dcterms:W3CDTF">2025-09-15T12:39:00Z</dcterms:created>
  <dcterms:modified xsi:type="dcterms:W3CDTF">2025-09-15T12:39:00Z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0x01010026F6BC9D49A6B84797EC3B231EF7776B</vt:lpwstr>
  </property>
  <property fmtid="{D5CDD505-2E9C-101B-9397-08002B2CF9AE}" pid="3" name="KSOProductBuildVer">
    <vt:lpwstr>1033-11.1.0.11691</vt:lpwstr>
  </property>
  <property fmtid="{D5CDD505-2E9C-101B-9397-08002B2CF9AE}" pid="4" name="MediaServiceImageTags">
    <vt:lpwstr/>
  </property>
</Properties>
</file>