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F225C" w14:textId="6BBF20DA" w:rsidR="005E55C6" w:rsidRPr="005E1B77" w:rsidRDefault="005E55C6" w:rsidP="005E1B77">
      <w:pPr>
        <w:spacing w:line="360" w:lineRule="auto"/>
        <w:jc w:val="center"/>
        <w:rPr>
          <w:rFonts w:ascii="Times New Roman" w:hAnsi="Times New Roman" w:cs="Times New Roman"/>
          <w:b/>
          <w:bCs/>
          <w:color w:val="000000" w:themeColor="text1"/>
          <w:sz w:val="36"/>
          <w:szCs w:val="36"/>
        </w:rPr>
      </w:pPr>
      <w:r w:rsidRPr="00CA2442">
        <w:rPr>
          <w:rFonts w:ascii="Times New Roman" w:hAnsi="Times New Roman" w:cs="Times New Roman"/>
          <w:b/>
          <w:bCs/>
          <w:sz w:val="32"/>
          <w:szCs w:val="32"/>
        </w:rPr>
        <w:t xml:space="preserve">Supplementary materials for </w:t>
      </w:r>
      <w:r w:rsidR="006827C4">
        <w:rPr>
          <w:rFonts w:ascii="Times New Roman" w:hAnsi="Times New Roman" w:cs="Times New Roman"/>
          <w:b/>
          <w:bCs/>
          <w:sz w:val="32"/>
          <w:szCs w:val="32"/>
        </w:rPr>
        <w:t>“</w:t>
      </w:r>
      <w:r w:rsidR="005E1B77" w:rsidRPr="001B2C60">
        <w:rPr>
          <w:rFonts w:ascii="Times New Roman" w:hAnsi="Times New Roman" w:cs="Times New Roman"/>
          <w:b/>
          <w:bCs/>
          <w:sz w:val="32"/>
          <w:szCs w:val="32"/>
        </w:rPr>
        <w:t xml:space="preserve">Global warming and the Pacific Decadal Oscillation drive seasonally varying increases in </w:t>
      </w:r>
      <w:r w:rsidR="005E1B77">
        <w:rPr>
          <w:rFonts w:ascii="Times New Roman" w:hAnsi="Times New Roman" w:cs="Times New Roman"/>
          <w:b/>
          <w:bCs/>
          <w:sz w:val="32"/>
          <w:szCs w:val="32"/>
        </w:rPr>
        <w:t xml:space="preserve">extreme </w:t>
      </w:r>
      <w:r w:rsidR="005E1B77" w:rsidRPr="001B2C60">
        <w:rPr>
          <w:rFonts w:ascii="Times New Roman" w:hAnsi="Times New Roman" w:cs="Times New Roman"/>
          <w:b/>
          <w:bCs/>
          <w:sz w:val="32"/>
          <w:szCs w:val="32"/>
        </w:rPr>
        <w:t>fire weather over the southwestern US</w:t>
      </w:r>
      <w:r w:rsidR="006827C4">
        <w:rPr>
          <w:rFonts w:ascii="Times New Roman" w:hAnsi="Times New Roman" w:cs="Times New Roman"/>
          <w:b/>
          <w:bCs/>
          <w:sz w:val="32"/>
          <w:szCs w:val="32"/>
        </w:rPr>
        <w:t>”</w:t>
      </w:r>
    </w:p>
    <w:p w14:paraId="229BE284" w14:textId="77777777" w:rsidR="005E55C6" w:rsidRPr="00CA2442" w:rsidRDefault="005E55C6" w:rsidP="005E55C6">
      <w:pPr>
        <w:rPr>
          <w:rFonts w:ascii="Times New Roman" w:hAnsi="Times New Roman" w:cs="Times New Roman"/>
          <w:b/>
          <w:bCs/>
          <w:sz w:val="32"/>
          <w:szCs w:val="32"/>
        </w:rPr>
      </w:pPr>
    </w:p>
    <w:p w14:paraId="518908E0" w14:textId="77777777" w:rsidR="00A57282" w:rsidRPr="00FE53D6" w:rsidRDefault="00A57282" w:rsidP="00A57282">
      <w:pPr>
        <w:spacing w:line="360" w:lineRule="auto"/>
        <w:ind w:firstLine="720"/>
        <w:jc w:val="center"/>
        <w:rPr>
          <w:rFonts w:ascii="Times New Roman" w:hAnsi="Times New Roman" w:cs="Times New Roman"/>
          <w:b/>
          <w:bCs/>
          <w:color w:val="000000" w:themeColor="text1"/>
        </w:rPr>
      </w:pPr>
      <w:r w:rsidRPr="00FE53D6">
        <w:rPr>
          <w:rFonts w:ascii="Times New Roman" w:hAnsi="Times New Roman" w:cs="Times New Roman"/>
          <w:b/>
          <w:bCs/>
          <w:color w:val="000000" w:themeColor="text1"/>
        </w:rPr>
        <w:t xml:space="preserve">Jiale Lou </w:t>
      </w:r>
      <w:r w:rsidRPr="00FE53D6">
        <w:rPr>
          <w:rFonts w:ascii="Times New Roman" w:hAnsi="Times New Roman" w:cs="Times New Roman"/>
          <w:b/>
          <w:bCs/>
          <w:color w:val="000000" w:themeColor="text1"/>
          <w:vertAlign w:val="superscript"/>
        </w:rPr>
        <w:t>1</w:t>
      </w:r>
      <w:r w:rsidRPr="00FE53D6">
        <w:rPr>
          <w:rFonts w:ascii="Times New Roman" w:hAnsi="Times New Roman" w:cs="Times New Roman"/>
          <w:b/>
          <w:bCs/>
          <w:color w:val="000000" w:themeColor="text1"/>
        </w:rPr>
        <w:t xml:space="preserve">, </w:t>
      </w:r>
      <w:proofErr w:type="spellStart"/>
      <w:r w:rsidRPr="00FE53D6">
        <w:rPr>
          <w:rFonts w:ascii="Times New Roman" w:hAnsi="Times New Roman" w:cs="Times New Roman"/>
          <w:b/>
          <w:bCs/>
          <w:color w:val="000000" w:themeColor="text1"/>
        </w:rPr>
        <w:t>Youngji</w:t>
      </w:r>
      <w:proofErr w:type="spellEnd"/>
      <w:r w:rsidRPr="00FE53D6">
        <w:rPr>
          <w:rFonts w:ascii="Times New Roman" w:hAnsi="Times New Roman" w:cs="Times New Roman"/>
          <w:b/>
          <w:bCs/>
          <w:color w:val="000000" w:themeColor="text1"/>
        </w:rPr>
        <w:t xml:space="preserve"> Joh</w:t>
      </w:r>
      <w:r>
        <w:rPr>
          <w:rFonts w:ascii="Times New Roman" w:hAnsi="Times New Roman" w:cs="Times New Roman"/>
          <w:b/>
          <w:bCs/>
          <w:color w:val="000000" w:themeColor="text1"/>
          <w:vertAlign w:val="superscript"/>
        </w:rPr>
        <w:t xml:space="preserve"> 2</w:t>
      </w:r>
      <w:r w:rsidRPr="00FE53D6">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Darri A. Stuber </w:t>
      </w:r>
      <w:r w:rsidRPr="00240380">
        <w:rPr>
          <w:rFonts w:ascii="Times New Roman" w:hAnsi="Times New Roman" w:cs="Times New Roman"/>
          <w:b/>
          <w:bCs/>
          <w:color w:val="000000" w:themeColor="text1"/>
          <w:vertAlign w:val="superscript"/>
        </w:rPr>
        <w:t>3</w:t>
      </w:r>
      <w:r>
        <w:rPr>
          <w:rFonts w:ascii="Times New Roman" w:hAnsi="Times New Roman" w:cs="Times New Roman"/>
          <w:b/>
          <w:bCs/>
          <w:color w:val="000000" w:themeColor="text1"/>
        </w:rPr>
        <w:t xml:space="preserve">, </w:t>
      </w:r>
      <w:r w:rsidRPr="00FE53D6">
        <w:rPr>
          <w:rFonts w:ascii="Times New Roman" w:hAnsi="Times New Roman" w:cs="Times New Roman"/>
          <w:b/>
          <w:bCs/>
          <w:color w:val="000000" w:themeColor="text1"/>
        </w:rPr>
        <w:t>Thomas L</w:t>
      </w:r>
      <w:r>
        <w:rPr>
          <w:rFonts w:ascii="Times New Roman" w:hAnsi="Times New Roman" w:cs="Times New Roman"/>
          <w:b/>
          <w:bCs/>
          <w:color w:val="000000" w:themeColor="text1"/>
        </w:rPr>
        <w:t>.</w:t>
      </w:r>
      <w:r w:rsidRPr="00FE53D6">
        <w:rPr>
          <w:rFonts w:ascii="Times New Roman" w:hAnsi="Times New Roman" w:cs="Times New Roman"/>
          <w:b/>
          <w:bCs/>
          <w:color w:val="000000" w:themeColor="text1"/>
        </w:rPr>
        <w:t xml:space="preserve"> Delworth </w:t>
      </w:r>
      <w:r w:rsidRPr="00FE53D6">
        <w:rPr>
          <w:rFonts w:ascii="Times New Roman" w:hAnsi="Times New Roman" w:cs="Times New Roman"/>
          <w:b/>
          <w:bCs/>
          <w:color w:val="000000" w:themeColor="text1"/>
          <w:vertAlign w:val="superscript"/>
        </w:rPr>
        <w:t>2</w:t>
      </w:r>
      <w:r w:rsidRPr="003B7FB0">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and </w:t>
      </w:r>
      <w:r w:rsidRPr="003B7FB0">
        <w:rPr>
          <w:rFonts w:ascii="Times New Roman" w:hAnsi="Times New Roman" w:cs="Times New Roman"/>
          <w:b/>
          <w:bCs/>
          <w:color w:val="000000" w:themeColor="text1"/>
        </w:rPr>
        <w:t>Andrew T. Wittenberg</w:t>
      </w:r>
      <w:r>
        <w:rPr>
          <w:rFonts w:ascii="Times New Roman" w:hAnsi="Times New Roman" w:cs="Times New Roman"/>
          <w:b/>
          <w:bCs/>
          <w:color w:val="000000" w:themeColor="text1"/>
        </w:rPr>
        <w:t xml:space="preserve"> </w:t>
      </w:r>
      <w:r w:rsidRPr="00FE53D6">
        <w:rPr>
          <w:rFonts w:ascii="Times New Roman" w:hAnsi="Times New Roman" w:cs="Times New Roman"/>
          <w:b/>
          <w:bCs/>
          <w:color w:val="000000" w:themeColor="text1"/>
          <w:vertAlign w:val="superscript"/>
        </w:rPr>
        <w:t>2</w:t>
      </w:r>
    </w:p>
    <w:p w14:paraId="11265145" w14:textId="77777777" w:rsidR="00A57282" w:rsidRPr="00FE53D6" w:rsidRDefault="00A57282" w:rsidP="00A57282">
      <w:pPr>
        <w:spacing w:line="276" w:lineRule="auto"/>
        <w:ind w:firstLine="720"/>
        <w:jc w:val="center"/>
        <w:rPr>
          <w:rFonts w:ascii="Times New Roman" w:hAnsi="Times New Roman" w:cs="Times New Roman"/>
          <w:color w:val="000000" w:themeColor="text1"/>
          <w:sz w:val="20"/>
          <w:szCs w:val="20"/>
        </w:rPr>
      </w:pPr>
      <w:r w:rsidRPr="00FE53D6">
        <w:rPr>
          <w:rFonts w:ascii="Times New Roman" w:hAnsi="Times New Roman" w:cs="Times New Roman"/>
          <w:color w:val="000000" w:themeColor="text1"/>
          <w:sz w:val="20"/>
          <w:szCs w:val="20"/>
          <w:vertAlign w:val="superscript"/>
        </w:rPr>
        <w:t>1</w:t>
      </w:r>
      <w:r w:rsidRPr="00FE53D6">
        <w:rPr>
          <w:rFonts w:ascii="Times New Roman" w:hAnsi="Times New Roman" w:cs="Times New Roman"/>
          <w:color w:val="000000" w:themeColor="text1"/>
          <w:sz w:val="20"/>
          <w:szCs w:val="20"/>
        </w:rPr>
        <w:t>Atmospheric and Oceanic Sciences Program, Princeton University, Princeton, NJ, USA.</w:t>
      </w:r>
    </w:p>
    <w:p w14:paraId="06089106" w14:textId="77777777" w:rsidR="00A57282" w:rsidRDefault="00A57282" w:rsidP="00A57282">
      <w:pPr>
        <w:spacing w:line="276" w:lineRule="auto"/>
        <w:ind w:firstLine="720"/>
        <w:jc w:val="center"/>
        <w:rPr>
          <w:rFonts w:ascii="Times New Roman" w:hAnsi="Times New Roman" w:cs="Times New Roman"/>
          <w:color w:val="000000" w:themeColor="text1"/>
          <w:sz w:val="20"/>
          <w:szCs w:val="20"/>
        </w:rPr>
      </w:pPr>
      <w:r w:rsidRPr="00FE53D6">
        <w:rPr>
          <w:rFonts w:ascii="Times New Roman" w:hAnsi="Times New Roman" w:cs="Times New Roman"/>
          <w:color w:val="000000" w:themeColor="text1"/>
          <w:sz w:val="20"/>
          <w:szCs w:val="20"/>
          <w:vertAlign w:val="superscript"/>
        </w:rPr>
        <w:t>2</w:t>
      </w:r>
      <w:r>
        <w:rPr>
          <w:rFonts w:ascii="Times New Roman" w:hAnsi="Times New Roman" w:cs="Times New Roman"/>
          <w:color w:val="000000" w:themeColor="text1"/>
          <w:sz w:val="20"/>
          <w:szCs w:val="20"/>
          <w:vertAlign w:val="superscript"/>
        </w:rPr>
        <w:t xml:space="preserve"> </w:t>
      </w:r>
      <w:r w:rsidRPr="00FE53D6">
        <w:rPr>
          <w:rFonts w:ascii="Times New Roman" w:hAnsi="Times New Roman" w:cs="Times New Roman"/>
          <w:color w:val="000000" w:themeColor="text1"/>
          <w:sz w:val="20"/>
          <w:szCs w:val="20"/>
        </w:rPr>
        <w:t>Geophysical Fluid Dynamics Laboratory/NOAA, 201 Forrestal Road, Princeton, NJ, USA.</w:t>
      </w:r>
    </w:p>
    <w:p w14:paraId="11B03533" w14:textId="77777777" w:rsidR="00A57282" w:rsidRPr="00FE53D6" w:rsidRDefault="00A57282" w:rsidP="00A57282">
      <w:pPr>
        <w:spacing w:line="276" w:lineRule="auto"/>
        <w:ind w:firstLine="720"/>
        <w:jc w:val="center"/>
        <w:rPr>
          <w:rFonts w:ascii="Times New Roman" w:hAnsi="Times New Roman" w:cs="Times New Roman"/>
          <w:color w:val="000000" w:themeColor="text1"/>
          <w:sz w:val="20"/>
          <w:szCs w:val="20"/>
        </w:rPr>
      </w:pPr>
      <w:r w:rsidRPr="00D07C1A">
        <w:rPr>
          <w:rFonts w:ascii="Times New Roman" w:hAnsi="Times New Roman" w:cs="Times New Roman"/>
          <w:color w:val="000000" w:themeColor="text1"/>
          <w:sz w:val="20"/>
          <w:szCs w:val="20"/>
          <w:vertAlign w:val="superscript"/>
        </w:rPr>
        <w:t>3</w:t>
      </w:r>
      <w:r>
        <w:rPr>
          <w:rFonts w:ascii="Times New Roman" w:hAnsi="Times New Roman" w:cs="Times New Roman"/>
          <w:color w:val="000000" w:themeColor="text1"/>
          <w:sz w:val="20"/>
          <w:szCs w:val="20"/>
        </w:rPr>
        <w:t xml:space="preserve"> </w:t>
      </w:r>
      <w:r w:rsidRPr="00D07C1A">
        <w:rPr>
          <w:rFonts w:ascii="Times New Roman" w:hAnsi="Times New Roman" w:cs="Times New Roman"/>
          <w:color w:val="000000" w:themeColor="text1"/>
          <w:sz w:val="20"/>
          <w:szCs w:val="20"/>
        </w:rPr>
        <w:t>Department of Environmental Studies and Department of Mathematics, The University of Tampa, Tampa, FL</w:t>
      </w:r>
      <w:r>
        <w:rPr>
          <w:rFonts w:ascii="Times New Roman" w:hAnsi="Times New Roman" w:cs="Times New Roman"/>
          <w:color w:val="000000" w:themeColor="text1"/>
          <w:sz w:val="20"/>
          <w:szCs w:val="20"/>
        </w:rPr>
        <w:t>, USA.</w:t>
      </w:r>
    </w:p>
    <w:p w14:paraId="563C24C2" w14:textId="77777777" w:rsidR="005E55C6" w:rsidRPr="00CA2442" w:rsidRDefault="005E55C6" w:rsidP="005E55C6">
      <w:pPr>
        <w:spacing w:line="360" w:lineRule="auto"/>
        <w:rPr>
          <w:rFonts w:ascii="Times New Roman" w:hAnsi="Times New Roman" w:cs="Times New Roman"/>
          <w:color w:val="000000" w:themeColor="text1"/>
        </w:rPr>
      </w:pPr>
    </w:p>
    <w:p w14:paraId="4F91DAC0" w14:textId="77777777" w:rsidR="005E55C6" w:rsidRPr="00CA2442" w:rsidRDefault="005E55C6" w:rsidP="005E55C6">
      <w:pPr>
        <w:spacing w:line="360" w:lineRule="auto"/>
        <w:rPr>
          <w:rFonts w:ascii="Times New Roman" w:hAnsi="Times New Roman" w:cs="Times New Roman"/>
          <w:color w:val="000000" w:themeColor="text1"/>
        </w:rPr>
      </w:pPr>
    </w:p>
    <w:p w14:paraId="73F383CB" w14:textId="77777777" w:rsidR="005E55C6" w:rsidRPr="00CA2442" w:rsidRDefault="005E55C6" w:rsidP="005E55C6">
      <w:pPr>
        <w:spacing w:line="360" w:lineRule="auto"/>
        <w:rPr>
          <w:rFonts w:ascii="Times New Roman" w:hAnsi="Times New Roman" w:cs="Times New Roman"/>
          <w:color w:val="000000" w:themeColor="text1"/>
        </w:rPr>
      </w:pPr>
    </w:p>
    <w:p w14:paraId="7812F4DB" w14:textId="77777777" w:rsidR="005E55C6" w:rsidRPr="00CA2442" w:rsidRDefault="005E55C6" w:rsidP="005E55C6">
      <w:pPr>
        <w:spacing w:line="360" w:lineRule="auto"/>
        <w:rPr>
          <w:rFonts w:ascii="Times New Roman" w:hAnsi="Times New Roman" w:cs="Times New Roman"/>
          <w:color w:val="000000" w:themeColor="text1"/>
        </w:rPr>
      </w:pPr>
    </w:p>
    <w:p w14:paraId="16E941E3" w14:textId="77777777" w:rsidR="005E55C6" w:rsidRPr="00CA2442" w:rsidRDefault="005E55C6" w:rsidP="005E55C6">
      <w:pPr>
        <w:spacing w:line="360" w:lineRule="auto"/>
        <w:rPr>
          <w:rFonts w:ascii="Times New Roman" w:hAnsi="Times New Roman" w:cs="Times New Roman"/>
          <w:color w:val="000000" w:themeColor="text1"/>
        </w:rPr>
      </w:pPr>
    </w:p>
    <w:p w14:paraId="1EBEAD55" w14:textId="77777777" w:rsidR="005E55C6" w:rsidRPr="00CA2442" w:rsidRDefault="005E55C6" w:rsidP="005E55C6">
      <w:pPr>
        <w:spacing w:line="360" w:lineRule="auto"/>
        <w:rPr>
          <w:rFonts w:ascii="Times New Roman" w:hAnsi="Times New Roman" w:cs="Times New Roman"/>
          <w:color w:val="000000" w:themeColor="text1"/>
        </w:rPr>
      </w:pPr>
    </w:p>
    <w:p w14:paraId="395AF7B8" w14:textId="77777777" w:rsidR="005E55C6" w:rsidRPr="00CA2442" w:rsidRDefault="005E55C6" w:rsidP="005E55C6">
      <w:pPr>
        <w:spacing w:line="360" w:lineRule="auto"/>
        <w:rPr>
          <w:rFonts w:ascii="Times New Roman" w:hAnsi="Times New Roman" w:cs="Times New Roman"/>
          <w:color w:val="000000" w:themeColor="text1"/>
        </w:rPr>
      </w:pPr>
    </w:p>
    <w:p w14:paraId="712127B4" w14:textId="77777777" w:rsidR="005E55C6" w:rsidRPr="00CA2442" w:rsidRDefault="005E55C6" w:rsidP="005E55C6">
      <w:pPr>
        <w:spacing w:line="360" w:lineRule="auto"/>
        <w:rPr>
          <w:rFonts w:ascii="Times New Roman" w:hAnsi="Times New Roman" w:cs="Times New Roman"/>
          <w:color w:val="000000" w:themeColor="text1"/>
        </w:rPr>
      </w:pPr>
    </w:p>
    <w:p w14:paraId="4A864E97" w14:textId="77777777" w:rsidR="005E55C6" w:rsidRPr="00CA2442" w:rsidRDefault="005E55C6" w:rsidP="005E55C6">
      <w:pPr>
        <w:spacing w:line="360" w:lineRule="auto"/>
        <w:rPr>
          <w:rFonts w:ascii="Times New Roman" w:hAnsi="Times New Roman" w:cs="Times New Roman"/>
          <w:color w:val="000000" w:themeColor="text1"/>
        </w:rPr>
      </w:pPr>
    </w:p>
    <w:p w14:paraId="7E6698B7" w14:textId="77777777" w:rsidR="00FE5B43" w:rsidRPr="002E4562" w:rsidRDefault="00FE5B43" w:rsidP="00FE5B43">
      <w:pPr>
        <w:spacing w:line="360" w:lineRule="auto"/>
        <w:ind w:firstLine="720"/>
        <w:rPr>
          <w:rFonts w:ascii="Times New Roman" w:hAnsi="Times New Roman" w:cs="Times New Roman"/>
          <w:color w:val="000000" w:themeColor="text1"/>
        </w:rPr>
      </w:pPr>
      <w:r w:rsidRPr="002E4562">
        <w:rPr>
          <w:rFonts w:ascii="Times New Roman" w:hAnsi="Times New Roman" w:cs="Times New Roman"/>
          <w:color w:val="000000" w:themeColor="text1"/>
        </w:rPr>
        <w:t>Corresponding author: Jiale Lou</w:t>
      </w:r>
    </w:p>
    <w:p w14:paraId="40FD9ED7" w14:textId="77777777" w:rsidR="00FE5B43" w:rsidRPr="002E4562" w:rsidRDefault="00FE5B43" w:rsidP="00FE5B43">
      <w:pPr>
        <w:spacing w:line="360" w:lineRule="auto"/>
        <w:ind w:firstLine="720"/>
        <w:rPr>
          <w:rFonts w:ascii="Times New Roman" w:hAnsi="Times New Roman" w:cs="Times New Roman"/>
          <w:color w:val="000000" w:themeColor="text1"/>
        </w:rPr>
      </w:pPr>
      <w:r w:rsidRPr="002E4562">
        <w:rPr>
          <w:rFonts w:ascii="Times New Roman" w:hAnsi="Times New Roman" w:cs="Times New Roman"/>
          <w:color w:val="000000" w:themeColor="text1"/>
        </w:rPr>
        <w:t xml:space="preserve">Email address: </w:t>
      </w:r>
      <w:hyperlink r:id="rId4" w:history="1">
        <w:r w:rsidRPr="002E4562">
          <w:rPr>
            <w:rStyle w:val="Hyperlink"/>
            <w:rFonts w:ascii="Times New Roman" w:hAnsi="Times New Roman" w:cs="Times New Roman"/>
            <w:color w:val="000000" w:themeColor="text1"/>
          </w:rPr>
          <w:t>jiale.lou@noaa.gov</w:t>
        </w:r>
      </w:hyperlink>
    </w:p>
    <w:p w14:paraId="18C2A7BE" w14:textId="77777777" w:rsidR="005E55C6" w:rsidRPr="00CA2442" w:rsidRDefault="005E55C6" w:rsidP="005E55C6">
      <w:pPr>
        <w:spacing w:line="360" w:lineRule="auto"/>
        <w:rPr>
          <w:rFonts w:ascii="Times New Roman" w:hAnsi="Times New Roman" w:cs="Times New Roman"/>
          <w:color w:val="000000" w:themeColor="text1"/>
        </w:rPr>
      </w:pPr>
    </w:p>
    <w:p w14:paraId="57AB596B" w14:textId="77777777" w:rsidR="005E55C6" w:rsidRPr="00CA2442" w:rsidRDefault="005E55C6" w:rsidP="005E55C6">
      <w:pPr>
        <w:spacing w:line="360" w:lineRule="auto"/>
        <w:rPr>
          <w:rFonts w:ascii="Times New Roman" w:hAnsi="Times New Roman" w:cs="Times New Roman"/>
          <w:color w:val="000000" w:themeColor="text1"/>
        </w:rPr>
      </w:pPr>
    </w:p>
    <w:p w14:paraId="250754A3" w14:textId="77777777" w:rsidR="005E55C6" w:rsidRPr="00CA2442" w:rsidRDefault="005E55C6" w:rsidP="005E55C6">
      <w:pPr>
        <w:spacing w:line="360" w:lineRule="auto"/>
        <w:rPr>
          <w:rFonts w:ascii="Times New Roman" w:hAnsi="Times New Roman" w:cs="Times New Roman"/>
          <w:color w:val="000000" w:themeColor="text1"/>
        </w:rPr>
      </w:pPr>
    </w:p>
    <w:p w14:paraId="5C5AFCA5" w14:textId="2FE0892D" w:rsidR="005E55C6" w:rsidRPr="00CA2442" w:rsidRDefault="005E55C6" w:rsidP="005E55C6">
      <w:pPr>
        <w:spacing w:line="276" w:lineRule="auto"/>
        <w:rPr>
          <w:rFonts w:ascii="Times New Roman" w:hAnsi="Times New Roman" w:cs="Times New Roman"/>
          <w:color w:val="000000" w:themeColor="text1"/>
          <w:sz w:val="20"/>
          <w:szCs w:val="20"/>
        </w:rPr>
      </w:pPr>
      <w:r w:rsidRPr="00CA2442">
        <w:rPr>
          <w:rFonts w:ascii="Times New Roman" w:hAnsi="Times New Roman" w:cs="Times New Roman"/>
          <w:color w:val="000000" w:themeColor="text1"/>
          <w:sz w:val="20"/>
          <w:szCs w:val="20"/>
        </w:rPr>
        <w:lastRenderedPageBreak/>
        <w:t xml:space="preserve">Supplementary Table 1: </w:t>
      </w:r>
      <w:r w:rsidR="00CA2442" w:rsidRPr="00FC057E">
        <w:rPr>
          <w:rFonts w:ascii="Times New Roman" w:hAnsi="Times New Roman" w:cs="Times New Roman"/>
          <w:b/>
          <w:bCs/>
          <w:color w:val="000000" w:themeColor="text1"/>
          <w:sz w:val="20"/>
          <w:szCs w:val="20"/>
        </w:rPr>
        <w:t xml:space="preserve">Canadian forest service fire weather index (FWI) </w:t>
      </w:r>
      <w:r w:rsidRPr="00FC057E">
        <w:rPr>
          <w:rFonts w:ascii="Times New Roman" w:hAnsi="Times New Roman" w:cs="Times New Roman"/>
          <w:b/>
          <w:bCs/>
          <w:color w:val="000000" w:themeColor="text1"/>
          <w:sz w:val="20"/>
          <w:szCs w:val="20"/>
        </w:rPr>
        <w:t>rating categories and associated fire behavior characteristics</w:t>
      </w:r>
      <w:r w:rsidRPr="00FC057E">
        <w:rPr>
          <w:rFonts w:ascii="Times New Roman" w:hAnsi="Times New Roman" w:cs="Times New Roman"/>
          <w:color w:val="000000" w:themeColor="text1"/>
          <w:sz w:val="20"/>
          <w:szCs w:val="20"/>
        </w:rPr>
        <w:t>.</w:t>
      </w:r>
      <w:r w:rsidRPr="00CA2442">
        <w:rPr>
          <w:rFonts w:ascii="Times New Roman" w:hAnsi="Times New Roman" w:cs="Times New Roman"/>
          <w:color w:val="000000" w:themeColor="text1"/>
          <w:sz w:val="20"/>
          <w:szCs w:val="20"/>
        </w:rPr>
        <w:t xml:space="preserve"> The FWI values are grouped into five operational risk categories, each describing the expected fire intensity and suppression difficulty.</w:t>
      </w:r>
    </w:p>
    <w:tbl>
      <w:tblPr>
        <w:tblStyle w:val="TableGrid"/>
        <w:tblW w:w="0" w:type="auto"/>
        <w:tblLook w:val="04A0" w:firstRow="1" w:lastRow="0" w:firstColumn="1" w:lastColumn="0" w:noHBand="0" w:noVBand="1"/>
      </w:tblPr>
      <w:tblGrid>
        <w:gridCol w:w="1795"/>
        <w:gridCol w:w="1980"/>
        <w:gridCol w:w="5575"/>
      </w:tblGrid>
      <w:tr w:rsidR="005E55C6" w:rsidRPr="00CA2442" w14:paraId="2996EEBF" w14:textId="77777777" w:rsidTr="00CA2442">
        <w:trPr>
          <w:trHeight w:val="295"/>
        </w:trPr>
        <w:tc>
          <w:tcPr>
            <w:tcW w:w="1795" w:type="dxa"/>
            <w:vAlign w:val="center"/>
          </w:tcPr>
          <w:p w14:paraId="299B1B70" w14:textId="5A770627" w:rsidR="005E55C6" w:rsidRPr="00CA2442" w:rsidRDefault="005E55C6" w:rsidP="005E55C6">
            <w:pPr>
              <w:spacing w:line="276" w:lineRule="auto"/>
              <w:jc w:val="center"/>
              <w:rPr>
                <w:rFonts w:ascii="Times New Roman" w:hAnsi="Times New Roman" w:cs="Times New Roman"/>
                <w:b/>
                <w:bCs/>
                <w:color w:val="000000" w:themeColor="text1"/>
              </w:rPr>
            </w:pPr>
            <w:r w:rsidRPr="00CA2442">
              <w:rPr>
                <w:rFonts w:ascii="Times New Roman" w:hAnsi="Times New Roman" w:cs="Times New Roman"/>
                <w:b/>
                <w:bCs/>
                <w:color w:val="000000" w:themeColor="text1"/>
              </w:rPr>
              <w:t>FWI rating</w:t>
            </w:r>
          </w:p>
        </w:tc>
        <w:tc>
          <w:tcPr>
            <w:tcW w:w="1980" w:type="dxa"/>
            <w:vAlign w:val="center"/>
          </w:tcPr>
          <w:p w14:paraId="3E7854D4" w14:textId="77777777" w:rsidR="005E55C6" w:rsidRPr="00CA2442" w:rsidRDefault="005E55C6" w:rsidP="005E55C6">
            <w:pPr>
              <w:spacing w:line="276" w:lineRule="auto"/>
              <w:jc w:val="center"/>
              <w:rPr>
                <w:rFonts w:ascii="Times New Roman" w:hAnsi="Times New Roman" w:cs="Times New Roman"/>
                <w:b/>
                <w:bCs/>
                <w:color w:val="000000" w:themeColor="text1"/>
              </w:rPr>
            </w:pPr>
            <w:r w:rsidRPr="00CA2442">
              <w:rPr>
                <w:rFonts w:ascii="Times New Roman" w:hAnsi="Times New Roman" w:cs="Times New Roman"/>
                <w:b/>
                <w:bCs/>
                <w:color w:val="000000" w:themeColor="text1"/>
              </w:rPr>
              <w:t>Category</w:t>
            </w:r>
          </w:p>
        </w:tc>
        <w:tc>
          <w:tcPr>
            <w:tcW w:w="5575" w:type="dxa"/>
            <w:vAlign w:val="center"/>
          </w:tcPr>
          <w:p w14:paraId="295B2B40" w14:textId="77777777" w:rsidR="005E55C6" w:rsidRPr="00CA2442" w:rsidRDefault="005E55C6" w:rsidP="005E55C6">
            <w:pPr>
              <w:spacing w:line="276" w:lineRule="auto"/>
              <w:jc w:val="center"/>
              <w:rPr>
                <w:rFonts w:ascii="Times New Roman" w:hAnsi="Times New Roman" w:cs="Times New Roman"/>
                <w:b/>
                <w:bCs/>
                <w:color w:val="000000" w:themeColor="text1"/>
              </w:rPr>
            </w:pPr>
            <w:r w:rsidRPr="00CA2442">
              <w:rPr>
                <w:rFonts w:ascii="Times New Roman" w:hAnsi="Times New Roman" w:cs="Times New Roman"/>
                <w:b/>
                <w:bCs/>
                <w:color w:val="000000" w:themeColor="text1"/>
              </w:rPr>
              <w:t>Description</w:t>
            </w:r>
          </w:p>
        </w:tc>
      </w:tr>
      <w:tr w:rsidR="005E55C6" w:rsidRPr="00CA2442" w14:paraId="0CEB5347" w14:textId="77777777" w:rsidTr="00CA2442">
        <w:trPr>
          <w:trHeight w:val="280"/>
        </w:trPr>
        <w:tc>
          <w:tcPr>
            <w:tcW w:w="1795" w:type="dxa"/>
            <w:vAlign w:val="center"/>
          </w:tcPr>
          <w:p w14:paraId="1E51ED94"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0-5</w:t>
            </w:r>
          </w:p>
        </w:tc>
        <w:tc>
          <w:tcPr>
            <w:tcW w:w="1980" w:type="dxa"/>
            <w:vAlign w:val="center"/>
          </w:tcPr>
          <w:p w14:paraId="48141896"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Low</w:t>
            </w:r>
          </w:p>
        </w:tc>
        <w:tc>
          <w:tcPr>
            <w:tcW w:w="5575" w:type="dxa"/>
            <w:vAlign w:val="center"/>
          </w:tcPr>
          <w:p w14:paraId="460019D1" w14:textId="77777777" w:rsidR="005E55C6" w:rsidRPr="00CA2442" w:rsidRDefault="005E55C6" w:rsidP="008B0D5F">
            <w:pPr>
              <w:spacing w:line="276" w:lineRule="auto"/>
              <w:rPr>
                <w:rFonts w:ascii="Times New Roman" w:hAnsi="Times New Roman" w:cs="Times New Roman"/>
                <w:color w:val="000000" w:themeColor="text1"/>
              </w:rPr>
            </w:pPr>
            <w:r w:rsidRPr="00CA2442">
              <w:rPr>
                <w:rFonts w:ascii="Times New Roman" w:hAnsi="Times New Roman" w:cs="Times New Roman"/>
                <w:color w:val="000000" w:themeColor="text1"/>
                <w:shd w:val="clear" w:color="auto" w:fill="FFFFFF"/>
              </w:rPr>
              <w:t>Fires likely to be self-extinguishing and new ignitions unlikely. Any existing fires limited to smoldering in deep, drier layers.</w:t>
            </w:r>
          </w:p>
        </w:tc>
      </w:tr>
      <w:tr w:rsidR="005E55C6" w:rsidRPr="00CA2442" w14:paraId="1322D6DC" w14:textId="77777777" w:rsidTr="00CA2442">
        <w:trPr>
          <w:trHeight w:val="295"/>
        </w:trPr>
        <w:tc>
          <w:tcPr>
            <w:tcW w:w="1795" w:type="dxa"/>
            <w:vAlign w:val="center"/>
          </w:tcPr>
          <w:p w14:paraId="3AE670EF"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5-10</w:t>
            </w:r>
          </w:p>
        </w:tc>
        <w:tc>
          <w:tcPr>
            <w:tcW w:w="1980" w:type="dxa"/>
            <w:vAlign w:val="center"/>
          </w:tcPr>
          <w:p w14:paraId="358745C2"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Moderate</w:t>
            </w:r>
          </w:p>
        </w:tc>
        <w:tc>
          <w:tcPr>
            <w:tcW w:w="5575" w:type="dxa"/>
            <w:vAlign w:val="center"/>
          </w:tcPr>
          <w:p w14:paraId="218C0184" w14:textId="77777777" w:rsidR="005E55C6" w:rsidRPr="00CA2442" w:rsidRDefault="005E55C6" w:rsidP="008B0D5F">
            <w:pPr>
              <w:spacing w:line="276" w:lineRule="auto"/>
              <w:rPr>
                <w:rFonts w:ascii="Times New Roman" w:hAnsi="Times New Roman" w:cs="Times New Roman"/>
                <w:color w:val="000000" w:themeColor="text1"/>
              </w:rPr>
            </w:pPr>
            <w:r w:rsidRPr="00CA2442">
              <w:rPr>
                <w:rFonts w:ascii="Times New Roman" w:hAnsi="Times New Roman" w:cs="Times New Roman"/>
                <w:color w:val="000000" w:themeColor="text1"/>
                <w:shd w:val="clear" w:color="auto" w:fill="FFFFFF"/>
              </w:rPr>
              <w:t>Creeping or gentle surface fires. Fires easily contained by ground crews with pumps and hand tools.</w:t>
            </w:r>
          </w:p>
        </w:tc>
      </w:tr>
      <w:tr w:rsidR="005E55C6" w:rsidRPr="00CA2442" w14:paraId="4E6997C1" w14:textId="77777777" w:rsidTr="00CA2442">
        <w:trPr>
          <w:trHeight w:val="323"/>
        </w:trPr>
        <w:tc>
          <w:tcPr>
            <w:tcW w:w="1795" w:type="dxa"/>
            <w:vAlign w:val="center"/>
          </w:tcPr>
          <w:p w14:paraId="3A996859"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10-20</w:t>
            </w:r>
          </w:p>
        </w:tc>
        <w:tc>
          <w:tcPr>
            <w:tcW w:w="1980" w:type="dxa"/>
            <w:vAlign w:val="center"/>
          </w:tcPr>
          <w:p w14:paraId="2A45018A"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High</w:t>
            </w:r>
          </w:p>
        </w:tc>
        <w:tc>
          <w:tcPr>
            <w:tcW w:w="5575" w:type="dxa"/>
            <w:vAlign w:val="center"/>
          </w:tcPr>
          <w:p w14:paraId="3458D17E" w14:textId="77777777" w:rsidR="005E55C6" w:rsidRPr="00CA2442" w:rsidRDefault="005E55C6" w:rsidP="008B0D5F">
            <w:pPr>
              <w:spacing w:line="276" w:lineRule="auto"/>
              <w:rPr>
                <w:rFonts w:ascii="Times New Roman" w:hAnsi="Times New Roman" w:cs="Times New Roman"/>
                <w:color w:val="000000" w:themeColor="text1"/>
              </w:rPr>
            </w:pPr>
            <w:r w:rsidRPr="00CA2442">
              <w:rPr>
                <w:rFonts w:ascii="Times New Roman" w:hAnsi="Times New Roman" w:cs="Times New Roman"/>
                <w:color w:val="000000" w:themeColor="text1"/>
                <w:shd w:val="clear" w:color="auto" w:fill="FFFFFF"/>
              </w:rPr>
              <w:t>Moderate to vigorous surface fire with intermittent crown involvement. Challenging for ground crews to handle; heavy equipment (bulldozers, tanker trucks, aircraft) often required to contain fire.</w:t>
            </w:r>
          </w:p>
        </w:tc>
      </w:tr>
      <w:tr w:rsidR="005E55C6" w:rsidRPr="00CA2442" w14:paraId="6E30D7D9" w14:textId="77777777" w:rsidTr="00CA2442">
        <w:trPr>
          <w:trHeight w:val="350"/>
        </w:trPr>
        <w:tc>
          <w:tcPr>
            <w:tcW w:w="1795" w:type="dxa"/>
            <w:vAlign w:val="center"/>
          </w:tcPr>
          <w:p w14:paraId="43EF9DCE"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20-30</w:t>
            </w:r>
          </w:p>
        </w:tc>
        <w:tc>
          <w:tcPr>
            <w:tcW w:w="1980" w:type="dxa"/>
            <w:vAlign w:val="center"/>
          </w:tcPr>
          <w:p w14:paraId="5A85C7BE"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Very high</w:t>
            </w:r>
          </w:p>
        </w:tc>
        <w:tc>
          <w:tcPr>
            <w:tcW w:w="5575" w:type="dxa"/>
            <w:vAlign w:val="center"/>
          </w:tcPr>
          <w:p w14:paraId="594CB10B" w14:textId="77777777" w:rsidR="005E55C6" w:rsidRPr="00CA2442" w:rsidRDefault="005E55C6" w:rsidP="008B0D5F">
            <w:pPr>
              <w:spacing w:line="276" w:lineRule="auto"/>
              <w:rPr>
                <w:rFonts w:ascii="Times New Roman" w:hAnsi="Times New Roman" w:cs="Times New Roman"/>
                <w:color w:val="000000" w:themeColor="text1"/>
              </w:rPr>
            </w:pPr>
            <w:r w:rsidRPr="00CA2442">
              <w:rPr>
                <w:rFonts w:ascii="Times New Roman" w:hAnsi="Times New Roman" w:cs="Times New Roman"/>
                <w:color w:val="000000" w:themeColor="text1"/>
                <w:shd w:val="clear" w:color="auto" w:fill="FFFFFF"/>
              </w:rPr>
              <w:t>High-intensity fire with partial to full crown involvement. Head fire conditions beyond the ability of ground crews; air attack with retardant required to effectively attack fire's head.</w:t>
            </w:r>
          </w:p>
        </w:tc>
      </w:tr>
      <w:tr w:rsidR="005E55C6" w:rsidRPr="00CA2442" w14:paraId="0AF7B88C" w14:textId="77777777" w:rsidTr="00CA2442">
        <w:trPr>
          <w:trHeight w:val="350"/>
        </w:trPr>
        <w:tc>
          <w:tcPr>
            <w:tcW w:w="1795" w:type="dxa"/>
            <w:vAlign w:val="center"/>
          </w:tcPr>
          <w:p w14:paraId="62D58C67"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30+</w:t>
            </w:r>
          </w:p>
        </w:tc>
        <w:tc>
          <w:tcPr>
            <w:tcW w:w="1980" w:type="dxa"/>
            <w:vAlign w:val="center"/>
          </w:tcPr>
          <w:p w14:paraId="35782CE7" w14:textId="77777777" w:rsidR="005E55C6" w:rsidRPr="00CA2442" w:rsidRDefault="005E55C6" w:rsidP="008B0D5F">
            <w:pPr>
              <w:spacing w:line="276" w:lineRule="auto"/>
              <w:jc w:val="center"/>
              <w:rPr>
                <w:rFonts w:ascii="Times New Roman" w:hAnsi="Times New Roman" w:cs="Times New Roman"/>
                <w:color w:val="000000" w:themeColor="text1"/>
              </w:rPr>
            </w:pPr>
            <w:r w:rsidRPr="00CA2442">
              <w:rPr>
                <w:rFonts w:ascii="Times New Roman" w:hAnsi="Times New Roman" w:cs="Times New Roman"/>
                <w:color w:val="000000" w:themeColor="text1"/>
              </w:rPr>
              <w:t>Extreme</w:t>
            </w:r>
          </w:p>
        </w:tc>
        <w:tc>
          <w:tcPr>
            <w:tcW w:w="5575" w:type="dxa"/>
            <w:vAlign w:val="center"/>
          </w:tcPr>
          <w:p w14:paraId="5E5F5975" w14:textId="77777777" w:rsidR="005E55C6" w:rsidRPr="00CA2442" w:rsidRDefault="005E55C6" w:rsidP="008B0D5F">
            <w:pPr>
              <w:spacing w:line="276" w:lineRule="auto"/>
              <w:rPr>
                <w:rFonts w:ascii="Times New Roman" w:hAnsi="Times New Roman" w:cs="Times New Roman"/>
                <w:color w:val="000000" w:themeColor="text1"/>
                <w:shd w:val="clear" w:color="auto" w:fill="FFFFFF"/>
              </w:rPr>
            </w:pPr>
            <w:r w:rsidRPr="00CA2442">
              <w:rPr>
                <w:rFonts w:ascii="Times New Roman" w:hAnsi="Times New Roman" w:cs="Times New Roman"/>
                <w:color w:val="000000" w:themeColor="text1"/>
                <w:shd w:val="clear" w:color="auto" w:fill="FFFFFF"/>
              </w:rPr>
              <w:t>Fast-spreading, high-intensity crown fire. Very difficult to control. Suppression actions limited to flanks, with only indirect actions possible against the fire's head.</w:t>
            </w:r>
          </w:p>
        </w:tc>
      </w:tr>
    </w:tbl>
    <w:p w14:paraId="5C6F7A92" w14:textId="77777777" w:rsidR="005E55C6" w:rsidRPr="00CA2442" w:rsidRDefault="005E55C6" w:rsidP="005E55C6">
      <w:pPr>
        <w:spacing w:line="360" w:lineRule="auto"/>
        <w:ind w:firstLine="720"/>
        <w:rPr>
          <w:rFonts w:ascii="Times New Roman" w:hAnsi="Times New Roman" w:cs="Times New Roman"/>
          <w:color w:val="000000" w:themeColor="text1"/>
        </w:rPr>
      </w:pPr>
    </w:p>
    <w:p w14:paraId="2A057C24" w14:textId="77777777" w:rsidR="005E55C6" w:rsidRPr="00CA2442" w:rsidRDefault="005E55C6">
      <w:pPr>
        <w:rPr>
          <w:rFonts w:ascii="Times New Roman" w:hAnsi="Times New Roman" w:cs="Times New Roman"/>
        </w:rPr>
      </w:pPr>
    </w:p>
    <w:p w14:paraId="21F6F960" w14:textId="77777777" w:rsidR="00CA2442" w:rsidRPr="00CA2442" w:rsidRDefault="00CA2442">
      <w:pPr>
        <w:rPr>
          <w:rFonts w:ascii="Times New Roman" w:hAnsi="Times New Roman" w:cs="Times New Roman"/>
        </w:rPr>
      </w:pPr>
    </w:p>
    <w:p w14:paraId="11128F76" w14:textId="77777777" w:rsidR="00CA2442" w:rsidRPr="00CA2442" w:rsidRDefault="00CA2442">
      <w:pPr>
        <w:rPr>
          <w:rFonts w:ascii="Times New Roman" w:hAnsi="Times New Roman" w:cs="Times New Roman"/>
        </w:rPr>
      </w:pPr>
    </w:p>
    <w:p w14:paraId="5ADC6AD7" w14:textId="77777777" w:rsidR="00CA2442" w:rsidRPr="00CA2442" w:rsidRDefault="00CA2442">
      <w:pPr>
        <w:rPr>
          <w:rFonts w:ascii="Times New Roman" w:hAnsi="Times New Roman" w:cs="Times New Roman"/>
        </w:rPr>
      </w:pPr>
    </w:p>
    <w:p w14:paraId="11B3A395" w14:textId="77777777" w:rsidR="00CA2442" w:rsidRPr="00CA2442" w:rsidRDefault="00CA2442">
      <w:pPr>
        <w:rPr>
          <w:rFonts w:ascii="Times New Roman" w:hAnsi="Times New Roman" w:cs="Times New Roman"/>
        </w:rPr>
      </w:pPr>
    </w:p>
    <w:p w14:paraId="1A465695" w14:textId="77777777" w:rsidR="00CA2442" w:rsidRPr="00CA2442" w:rsidRDefault="00CA2442">
      <w:pPr>
        <w:rPr>
          <w:rFonts w:ascii="Times New Roman" w:hAnsi="Times New Roman" w:cs="Times New Roman"/>
        </w:rPr>
      </w:pPr>
    </w:p>
    <w:p w14:paraId="260BE6F5" w14:textId="77777777" w:rsidR="00CA2442" w:rsidRPr="00CA2442" w:rsidRDefault="00CA2442">
      <w:pPr>
        <w:rPr>
          <w:rFonts w:ascii="Times New Roman" w:hAnsi="Times New Roman" w:cs="Times New Roman"/>
        </w:rPr>
      </w:pPr>
    </w:p>
    <w:p w14:paraId="7F4BF29B" w14:textId="77777777" w:rsidR="00CA2442" w:rsidRPr="00CA2442" w:rsidRDefault="00CA2442">
      <w:pPr>
        <w:rPr>
          <w:rFonts w:ascii="Times New Roman" w:hAnsi="Times New Roman" w:cs="Times New Roman"/>
        </w:rPr>
      </w:pPr>
    </w:p>
    <w:p w14:paraId="3E4C61D6" w14:textId="77777777" w:rsidR="00CA2442" w:rsidRPr="00CA2442" w:rsidRDefault="00CA2442">
      <w:pPr>
        <w:rPr>
          <w:rFonts w:ascii="Times New Roman" w:hAnsi="Times New Roman" w:cs="Times New Roman"/>
        </w:rPr>
      </w:pPr>
    </w:p>
    <w:p w14:paraId="2DC7FF73" w14:textId="77777777" w:rsidR="00CA2442" w:rsidRPr="00CA2442" w:rsidRDefault="00CA2442">
      <w:pPr>
        <w:rPr>
          <w:rFonts w:ascii="Times New Roman" w:hAnsi="Times New Roman" w:cs="Times New Roman"/>
        </w:rPr>
      </w:pPr>
    </w:p>
    <w:p w14:paraId="2960C2AC" w14:textId="77777777" w:rsidR="00CA2442" w:rsidRPr="00CA2442" w:rsidRDefault="00CA2442">
      <w:pPr>
        <w:rPr>
          <w:rFonts w:ascii="Times New Roman" w:hAnsi="Times New Roman" w:cs="Times New Roman"/>
        </w:rPr>
      </w:pPr>
    </w:p>
    <w:p w14:paraId="4037C745" w14:textId="77777777" w:rsidR="00CA2442" w:rsidRPr="00CA2442" w:rsidRDefault="00CA2442">
      <w:pPr>
        <w:rPr>
          <w:rFonts w:ascii="Times New Roman" w:hAnsi="Times New Roman" w:cs="Times New Roman"/>
        </w:rPr>
      </w:pPr>
    </w:p>
    <w:p w14:paraId="57AFF4B2" w14:textId="3D2F9EFB" w:rsidR="00CA2442" w:rsidRDefault="005F30C7">
      <w:pPr>
        <w:rPr>
          <w:rFonts w:ascii="Times New Roman" w:hAnsi="Times New Roman" w:cs="Times New Roman"/>
        </w:rPr>
      </w:pPr>
      <w:r>
        <w:rPr>
          <w:rFonts w:ascii="Times New Roman" w:hAnsi="Times New Roman" w:cs="Times New Roman"/>
          <w:noProof/>
        </w:rPr>
        <w:lastRenderedPageBreak/>
        <w:drawing>
          <wp:inline distT="0" distB="0" distL="0" distR="0" wp14:anchorId="66F2CBF0" wp14:editId="4DC989D7">
            <wp:extent cx="5943600" cy="5887085"/>
            <wp:effectExtent l="0" t="0" r="0" b="5715"/>
            <wp:docPr id="107678877" name="Picture 1" descr="A graph of different types of vapor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877" name="Picture 1" descr="A graph of different types of vapor pressur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887085"/>
                    </a:xfrm>
                    <a:prstGeom prst="rect">
                      <a:avLst/>
                    </a:prstGeom>
                  </pic:spPr>
                </pic:pic>
              </a:graphicData>
            </a:graphic>
          </wp:inline>
        </w:drawing>
      </w:r>
    </w:p>
    <w:p w14:paraId="510C2A07" w14:textId="07D40A99" w:rsidR="009655E7" w:rsidRDefault="00CA2442" w:rsidP="009655E7">
      <w:pPr>
        <w:spacing w:line="240" w:lineRule="auto"/>
        <w:rPr>
          <w:rFonts w:ascii="Times New Roman" w:hAnsi="Times New Roman" w:cs="Times New Roman"/>
          <w:color w:val="000000" w:themeColor="text1"/>
          <w:sz w:val="20"/>
          <w:szCs w:val="20"/>
        </w:rPr>
      </w:pPr>
      <w:r w:rsidRPr="00CA2442">
        <w:rPr>
          <w:rFonts w:ascii="Times New Roman" w:hAnsi="Times New Roman" w:cs="Times New Roman"/>
          <w:color w:val="000000" w:themeColor="text1"/>
          <w:sz w:val="20"/>
          <w:szCs w:val="20"/>
        </w:rPr>
        <w:t xml:space="preserve">Supplementary Figure 1: </w:t>
      </w:r>
      <w:r w:rsidR="00FC057E" w:rsidRPr="00FC057E">
        <w:rPr>
          <w:rFonts w:ascii="Times New Roman" w:hAnsi="Times New Roman" w:cs="Times New Roman"/>
          <w:b/>
          <w:bCs/>
          <w:color w:val="000000" w:themeColor="text1"/>
          <w:sz w:val="20"/>
          <w:szCs w:val="20"/>
        </w:rPr>
        <w:t>Joint probability distributions between daily saturation vapor pressure and actual vapor pressure</w:t>
      </w:r>
      <w:r w:rsidR="00FC057E">
        <w:rPr>
          <w:rFonts w:ascii="Times New Roman" w:hAnsi="Times New Roman" w:cs="Times New Roman"/>
          <w:color w:val="000000" w:themeColor="text1"/>
          <w:sz w:val="20"/>
          <w:szCs w:val="20"/>
        </w:rPr>
        <w:t xml:space="preserve">. </w:t>
      </w:r>
      <w:r w:rsidR="00307CD8" w:rsidRPr="00307CD8">
        <w:rPr>
          <w:rFonts w:ascii="Times New Roman" w:hAnsi="Times New Roman" w:cs="Times New Roman"/>
          <w:color w:val="000000" w:themeColor="text1"/>
          <w:sz w:val="20"/>
          <w:szCs w:val="20"/>
        </w:rPr>
        <w:t>Joint probability distributions of daily saturation vapor pressure and actual vapor pressure over the southwestern U.S., shown for the ERA5 dataset (top row) and SPEAR simulations (bottom row), during extended winter (left column) and extended summer (right column). Radial dashed lines originating from [0, 0] denote lines of constant relative humidity</w:t>
      </w:r>
      <w:r w:rsidR="00307CD8">
        <w:rPr>
          <w:rFonts w:ascii="Times New Roman" w:hAnsi="Times New Roman" w:cs="Times New Roman"/>
          <w:color w:val="000000" w:themeColor="text1"/>
          <w:sz w:val="20"/>
          <w:szCs w:val="20"/>
        </w:rPr>
        <w:t xml:space="preserve"> (RH), </w:t>
      </w:r>
      <w:r w:rsidR="00307CD8" w:rsidRPr="00307CD8">
        <w:rPr>
          <w:rFonts w:ascii="Times New Roman" w:hAnsi="Times New Roman" w:cs="Times New Roman"/>
          <w:color w:val="000000" w:themeColor="text1"/>
          <w:sz w:val="20"/>
          <w:szCs w:val="20"/>
        </w:rPr>
        <w:t xml:space="preserve">with RH values labeled along </w:t>
      </w:r>
      <w:r w:rsidR="00112D50">
        <w:rPr>
          <w:rFonts w:ascii="Times New Roman" w:hAnsi="Times New Roman" w:cs="Times New Roman"/>
          <w:color w:val="000000" w:themeColor="text1"/>
          <w:sz w:val="20"/>
          <w:szCs w:val="20"/>
        </w:rPr>
        <w:t>selected</w:t>
      </w:r>
      <w:r w:rsidR="00307CD8">
        <w:rPr>
          <w:rFonts w:ascii="Times New Roman" w:hAnsi="Times New Roman" w:cs="Times New Roman"/>
          <w:color w:val="000000" w:themeColor="text1"/>
          <w:sz w:val="20"/>
          <w:szCs w:val="20"/>
        </w:rPr>
        <w:t xml:space="preserve"> </w:t>
      </w:r>
      <w:r w:rsidR="00112D50">
        <w:rPr>
          <w:rFonts w:ascii="Times New Roman" w:hAnsi="Times New Roman" w:cs="Times New Roman"/>
          <w:color w:val="000000" w:themeColor="text1"/>
          <w:sz w:val="20"/>
          <w:szCs w:val="20"/>
        </w:rPr>
        <w:t xml:space="preserve">radial </w:t>
      </w:r>
      <w:r w:rsidR="00307CD8" w:rsidRPr="00307CD8">
        <w:rPr>
          <w:rFonts w:ascii="Times New Roman" w:hAnsi="Times New Roman" w:cs="Times New Roman"/>
          <w:color w:val="000000" w:themeColor="text1"/>
          <w:sz w:val="20"/>
          <w:szCs w:val="20"/>
        </w:rPr>
        <w:t>line</w:t>
      </w:r>
      <w:r w:rsidR="00112D50">
        <w:rPr>
          <w:rFonts w:ascii="Times New Roman" w:hAnsi="Times New Roman" w:cs="Times New Roman"/>
          <w:color w:val="000000" w:themeColor="text1"/>
          <w:sz w:val="20"/>
          <w:szCs w:val="20"/>
        </w:rPr>
        <w:t>s</w:t>
      </w:r>
      <w:r w:rsidR="00307CD8" w:rsidRPr="00307CD8">
        <w:rPr>
          <w:rFonts w:ascii="Times New Roman" w:hAnsi="Times New Roman" w:cs="Times New Roman"/>
          <w:color w:val="000000" w:themeColor="text1"/>
          <w:sz w:val="20"/>
          <w:szCs w:val="20"/>
        </w:rPr>
        <w:t>. Contour levels represent joint probability density values</w:t>
      </w:r>
      <w:r w:rsidR="00FF49CE">
        <w:rPr>
          <w:rFonts w:ascii="Times New Roman" w:hAnsi="Times New Roman" w:cs="Times New Roman"/>
          <w:color w:val="000000" w:themeColor="text1"/>
          <w:sz w:val="20"/>
          <w:szCs w:val="20"/>
        </w:rPr>
        <w:t>:</w:t>
      </w:r>
      <w:r w:rsidR="00307CD8" w:rsidRPr="00307CD8">
        <w:rPr>
          <w:rFonts w:ascii="Times New Roman" w:hAnsi="Times New Roman" w:cs="Times New Roman"/>
          <w:color w:val="000000" w:themeColor="text1"/>
          <w:sz w:val="20"/>
          <w:szCs w:val="20"/>
        </w:rPr>
        <w:t xml:space="preserve"> </w:t>
      </w:r>
      <w:r w:rsidR="00FF49CE" w:rsidRPr="00FF49CE">
        <w:rPr>
          <w:rFonts w:ascii="Times New Roman" w:hAnsi="Times New Roman" w:cs="Times New Roman"/>
          <w:color w:val="000000" w:themeColor="text1"/>
          <w:sz w:val="20"/>
          <w:szCs w:val="20"/>
        </w:rPr>
        <w:t xml:space="preserve">0.2–1.6 in steps of 0.2 for extended winter (panels </w:t>
      </w:r>
      <w:r w:rsidR="00FF49CE" w:rsidRPr="00FF49CE">
        <w:rPr>
          <w:rFonts w:ascii="Times New Roman" w:hAnsi="Times New Roman" w:cs="Times New Roman"/>
          <w:b/>
          <w:bCs/>
          <w:color w:val="000000" w:themeColor="text1"/>
          <w:sz w:val="20"/>
          <w:szCs w:val="20"/>
        </w:rPr>
        <w:t>a</w:t>
      </w:r>
      <w:r w:rsidR="00FF49CE" w:rsidRPr="00FF49CE">
        <w:rPr>
          <w:rFonts w:ascii="Times New Roman" w:hAnsi="Times New Roman" w:cs="Times New Roman"/>
          <w:color w:val="000000" w:themeColor="text1"/>
          <w:sz w:val="20"/>
          <w:szCs w:val="20"/>
        </w:rPr>
        <w:t xml:space="preserve"> and </w:t>
      </w:r>
      <w:r w:rsidR="00FF49CE" w:rsidRPr="00FF49CE">
        <w:rPr>
          <w:rFonts w:ascii="Times New Roman" w:hAnsi="Times New Roman" w:cs="Times New Roman"/>
          <w:b/>
          <w:bCs/>
          <w:color w:val="000000" w:themeColor="text1"/>
          <w:sz w:val="20"/>
          <w:szCs w:val="20"/>
        </w:rPr>
        <w:t>c</w:t>
      </w:r>
      <w:r w:rsidR="00FF49CE" w:rsidRPr="00FF49CE">
        <w:rPr>
          <w:rFonts w:ascii="Times New Roman" w:hAnsi="Times New Roman" w:cs="Times New Roman"/>
          <w:color w:val="000000" w:themeColor="text1"/>
          <w:sz w:val="20"/>
          <w:szCs w:val="20"/>
        </w:rPr>
        <w:t xml:space="preserve">), and 0.05–0.45 in steps of 0.05 for extended summer (panels </w:t>
      </w:r>
      <w:r w:rsidR="00FF49CE" w:rsidRPr="00FF49CE">
        <w:rPr>
          <w:rFonts w:ascii="Times New Roman" w:hAnsi="Times New Roman" w:cs="Times New Roman"/>
          <w:b/>
          <w:bCs/>
          <w:color w:val="000000" w:themeColor="text1"/>
          <w:sz w:val="20"/>
          <w:szCs w:val="20"/>
        </w:rPr>
        <w:t>b</w:t>
      </w:r>
      <w:r w:rsidR="00FF49CE" w:rsidRPr="00FF49CE">
        <w:rPr>
          <w:rFonts w:ascii="Times New Roman" w:hAnsi="Times New Roman" w:cs="Times New Roman"/>
          <w:color w:val="000000" w:themeColor="text1"/>
          <w:sz w:val="20"/>
          <w:szCs w:val="20"/>
        </w:rPr>
        <w:t xml:space="preserve"> and </w:t>
      </w:r>
      <w:r w:rsidR="00FF49CE" w:rsidRPr="00FF49CE">
        <w:rPr>
          <w:rFonts w:ascii="Times New Roman" w:hAnsi="Times New Roman" w:cs="Times New Roman"/>
          <w:b/>
          <w:bCs/>
          <w:color w:val="000000" w:themeColor="text1"/>
          <w:sz w:val="20"/>
          <w:szCs w:val="20"/>
        </w:rPr>
        <w:t>d</w:t>
      </w:r>
      <w:r w:rsidR="00FF49CE" w:rsidRPr="00FF49CE">
        <w:rPr>
          <w:rFonts w:ascii="Times New Roman" w:hAnsi="Times New Roman" w:cs="Times New Roman"/>
          <w:color w:val="000000" w:themeColor="text1"/>
          <w:sz w:val="20"/>
          <w:szCs w:val="20"/>
        </w:rPr>
        <w:t>).</w:t>
      </w:r>
      <w:r w:rsidR="00112D50" w:rsidRPr="00112D50">
        <w:t xml:space="preserve"> </w:t>
      </w:r>
      <w:r w:rsidR="00112D50" w:rsidRPr="00112D50">
        <w:rPr>
          <w:rFonts w:ascii="Times New Roman" w:hAnsi="Times New Roman" w:cs="Times New Roman"/>
          <w:color w:val="000000" w:themeColor="text1"/>
          <w:sz w:val="20"/>
          <w:szCs w:val="20"/>
        </w:rPr>
        <w:t>Density values are expressed in units of 1/kPa² and indicate the number of occurrences per unit area in the saturation vs. actual vapor pressure space. The distribution is not normalized, and values reflect the relative frequency of observed combinations across the dataset.</w:t>
      </w:r>
    </w:p>
    <w:p w14:paraId="4772A658" w14:textId="5AB52A7B" w:rsidR="00CA2442" w:rsidRDefault="009655E7">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14:paraId="0E9662CB" w14:textId="77777777" w:rsidR="00CA2442" w:rsidRDefault="00CA2442">
      <w:pPr>
        <w:rPr>
          <w:rFonts w:ascii="Times New Roman" w:hAnsi="Times New Roman" w:cs="Times New Roman"/>
          <w:color w:val="000000" w:themeColor="text1"/>
          <w:sz w:val="20"/>
          <w:szCs w:val="20"/>
        </w:rPr>
      </w:pPr>
    </w:p>
    <w:p w14:paraId="097A9AD4" w14:textId="6441C680" w:rsidR="00CA2442" w:rsidRDefault="0033417B" w:rsidP="00B30D62">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5BC7885E" wp14:editId="5647AEB1">
            <wp:extent cx="5943600" cy="5035550"/>
            <wp:effectExtent l="0" t="0" r="0" b="6350"/>
            <wp:docPr id="1660959270" name="Picture 2" descr="A diagram of different types of pres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59270" name="Picture 2" descr="A diagram of different types of pressu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035550"/>
                    </a:xfrm>
                    <a:prstGeom prst="rect">
                      <a:avLst/>
                    </a:prstGeom>
                  </pic:spPr>
                </pic:pic>
              </a:graphicData>
            </a:graphic>
          </wp:inline>
        </w:drawing>
      </w:r>
      <w:r w:rsidR="00B30D62" w:rsidRPr="00B30D62">
        <w:rPr>
          <w:rFonts w:ascii="Times New Roman" w:hAnsi="Times New Roman" w:cs="Times New Roman"/>
          <w:color w:val="000000" w:themeColor="text1"/>
          <w:sz w:val="20"/>
          <w:szCs w:val="20"/>
        </w:rPr>
        <w:t>Supplementary Figure 2</w:t>
      </w:r>
      <w:r w:rsidR="00B30D62">
        <w:rPr>
          <w:rFonts w:ascii="Times New Roman" w:hAnsi="Times New Roman" w:cs="Times New Roman"/>
          <w:color w:val="000000" w:themeColor="text1"/>
          <w:sz w:val="20"/>
          <w:szCs w:val="20"/>
        </w:rPr>
        <w:t>:</w:t>
      </w:r>
      <w:r w:rsidR="00B30D62" w:rsidRPr="00B30D62">
        <w:rPr>
          <w:rFonts w:ascii="Times New Roman" w:hAnsi="Times New Roman" w:cs="Times New Roman"/>
          <w:color w:val="000000" w:themeColor="text1"/>
          <w:sz w:val="20"/>
          <w:szCs w:val="20"/>
        </w:rPr>
        <w:t xml:space="preserve"> </w:t>
      </w:r>
      <w:r w:rsidR="00B30D62" w:rsidRPr="00B30D62">
        <w:rPr>
          <w:rFonts w:ascii="Times New Roman" w:hAnsi="Times New Roman" w:cs="Times New Roman"/>
          <w:b/>
          <w:bCs/>
          <w:color w:val="000000" w:themeColor="text1"/>
          <w:sz w:val="20"/>
          <w:szCs w:val="20"/>
        </w:rPr>
        <w:t>Temporal characteristics of daily saturation vapor pressure and actual vapor pressure from ERA5 and CESM2 AMIP-type simulations</w:t>
      </w:r>
      <w:r w:rsidR="00B30D62" w:rsidRPr="00B30D62">
        <w:rPr>
          <w:rFonts w:ascii="Times New Roman" w:hAnsi="Times New Roman" w:cs="Times New Roman"/>
          <w:color w:val="000000" w:themeColor="text1"/>
          <w:sz w:val="20"/>
          <w:szCs w:val="20"/>
        </w:rPr>
        <w:t>.</w:t>
      </w:r>
      <w:r w:rsidR="00B30D62">
        <w:rPr>
          <w:rFonts w:ascii="Times New Roman" w:hAnsi="Times New Roman" w:cs="Times New Roman"/>
          <w:color w:val="000000" w:themeColor="text1"/>
          <w:sz w:val="20"/>
          <w:szCs w:val="20"/>
        </w:rPr>
        <w:t xml:space="preserve"> </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a</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b</w:t>
      </w:r>
      <w:r w:rsidR="00B30D62" w:rsidRPr="00B30D62">
        <w:rPr>
          <w:rFonts w:ascii="Times New Roman" w:hAnsi="Times New Roman" w:cs="Times New Roman"/>
          <w:color w:val="000000" w:themeColor="text1"/>
          <w:sz w:val="20"/>
          <w:szCs w:val="20"/>
        </w:rPr>
        <w:t>) Same as Fig. 3c–d, but for CESM2 simulations, showing the relative frequency of saturation vapor pressure (</w:t>
      </w:r>
      <w:r w:rsidR="00B30D62" w:rsidRPr="00B30D62">
        <w:rPr>
          <w:rFonts w:ascii="Times New Roman" w:hAnsi="Times New Roman" w:cs="Times New Roman"/>
          <w:b/>
          <w:bCs/>
          <w:color w:val="000000" w:themeColor="text1"/>
          <w:sz w:val="20"/>
          <w:szCs w:val="20"/>
        </w:rPr>
        <w:t>a</w:t>
      </w:r>
      <w:r w:rsidR="00B30D62" w:rsidRPr="00B30D62">
        <w:rPr>
          <w:rFonts w:ascii="Times New Roman" w:hAnsi="Times New Roman" w:cs="Times New Roman"/>
          <w:color w:val="000000" w:themeColor="text1"/>
          <w:sz w:val="20"/>
          <w:szCs w:val="20"/>
        </w:rPr>
        <w:t>) and actual vapor pressure (</w:t>
      </w:r>
      <w:r w:rsidR="00B30D62" w:rsidRPr="00B30D62">
        <w:rPr>
          <w:rFonts w:ascii="Times New Roman" w:hAnsi="Times New Roman" w:cs="Times New Roman"/>
          <w:b/>
          <w:bCs/>
          <w:color w:val="000000" w:themeColor="text1"/>
          <w:sz w:val="20"/>
          <w:szCs w:val="20"/>
        </w:rPr>
        <w:t>b</w:t>
      </w:r>
      <w:r w:rsidR="00B30D62" w:rsidRPr="00B30D62">
        <w:rPr>
          <w:rFonts w:ascii="Times New Roman" w:hAnsi="Times New Roman" w:cs="Times New Roman"/>
          <w:color w:val="000000" w:themeColor="text1"/>
          <w:sz w:val="20"/>
          <w:szCs w:val="20"/>
        </w:rPr>
        <w:t>). Solid lines indicate ERA5 observations; dashed lines indicate CESM2 simulations. Annual, extended summer, and extended winter values are colored black, sky blue, and deep pink, respectively. Shaded areas represent ensemble spread. A quadratic polynomial trend is fitted to the full period in panel (</w:t>
      </w:r>
      <w:r w:rsidR="00B30D62" w:rsidRPr="00B30D62">
        <w:rPr>
          <w:rFonts w:ascii="Times New Roman" w:hAnsi="Times New Roman" w:cs="Times New Roman"/>
          <w:b/>
          <w:bCs/>
          <w:color w:val="000000" w:themeColor="text1"/>
          <w:sz w:val="20"/>
          <w:szCs w:val="20"/>
        </w:rPr>
        <w:t>a</w:t>
      </w:r>
      <w:r w:rsidR="00B30D62" w:rsidRPr="00B30D62">
        <w:rPr>
          <w:rFonts w:ascii="Times New Roman" w:hAnsi="Times New Roman" w:cs="Times New Roman"/>
          <w:color w:val="000000" w:themeColor="text1"/>
          <w:sz w:val="20"/>
          <w:szCs w:val="20"/>
        </w:rPr>
        <w:t>), while linear trends are applied to the pre-1980 and post-1980 subperiods in panel (</w:t>
      </w:r>
      <w:r w:rsidR="00B30D62" w:rsidRPr="00B30D62">
        <w:rPr>
          <w:rFonts w:ascii="Times New Roman" w:hAnsi="Times New Roman" w:cs="Times New Roman"/>
          <w:b/>
          <w:bCs/>
          <w:color w:val="000000" w:themeColor="text1"/>
          <w:sz w:val="20"/>
          <w:szCs w:val="20"/>
        </w:rPr>
        <w:t>b</w:t>
      </w:r>
      <w:r w:rsidR="00B30D62" w:rsidRPr="00B30D62">
        <w:rPr>
          <w:rFonts w:ascii="Times New Roman" w:hAnsi="Times New Roman" w:cs="Times New Roman"/>
          <w:color w:val="000000" w:themeColor="text1"/>
          <w:sz w:val="20"/>
          <w:szCs w:val="20"/>
        </w:rPr>
        <w:t>).</w:t>
      </w:r>
      <w:r w:rsidR="00B30D62">
        <w:rPr>
          <w:rFonts w:ascii="Times New Roman" w:hAnsi="Times New Roman" w:cs="Times New Roman"/>
          <w:color w:val="000000" w:themeColor="text1"/>
          <w:sz w:val="20"/>
          <w:szCs w:val="20"/>
        </w:rPr>
        <w:t xml:space="preserve"> </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c</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f</w:t>
      </w:r>
      <w:r w:rsidR="00B30D62" w:rsidRPr="00B30D62">
        <w:rPr>
          <w:rFonts w:ascii="Times New Roman" w:hAnsi="Times New Roman" w:cs="Times New Roman"/>
          <w:color w:val="000000" w:themeColor="text1"/>
          <w:sz w:val="20"/>
          <w:szCs w:val="20"/>
        </w:rPr>
        <w:t>) Same as Supplementary Fig. 1, but for CESM2 simulations. For comparison, the corresponding ERA5 distributions are shown in panels (</w:t>
      </w:r>
      <w:r w:rsidR="00B30D62" w:rsidRPr="00B30D62">
        <w:rPr>
          <w:rFonts w:ascii="Times New Roman" w:hAnsi="Times New Roman" w:cs="Times New Roman"/>
          <w:b/>
          <w:bCs/>
          <w:color w:val="000000" w:themeColor="text1"/>
          <w:sz w:val="20"/>
          <w:szCs w:val="20"/>
        </w:rPr>
        <w:t>c</w:t>
      </w:r>
      <w:r w:rsidR="00B30D62" w:rsidRPr="00B30D62">
        <w:rPr>
          <w:rFonts w:ascii="Times New Roman" w:hAnsi="Times New Roman" w:cs="Times New Roman"/>
          <w:color w:val="000000" w:themeColor="text1"/>
          <w:sz w:val="20"/>
          <w:szCs w:val="20"/>
        </w:rPr>
        <w:t>) and (</w:t>
      </w:r>
      <w:r w:rsidR="00B30D62" w:rsidRPr="00B30D62">
        <w:rPr>
          <w:rFonts w:ascii="Times New Roman" w:hAnsi="Times New Roman" w:cs="Times New Roman"/>
          <w:b/>
          <w:bCs/>
          <w:color w:val="000000" w:themeColor="text1"/>
          <w:sz w:val="20"/>
          <w:szCs w:val="20"/>
        </w:rPr>
        <w:t>e</w:t>
      </w:r>
      <w:r w:rsidR="00B30D62" w:rsidRPr="00B30D62">
        <w:rPr>
          <w:rFonts w:ascii="Times New Roman" w:hAnsi="Times New Roman" w:cs="Times New Roman"/>
          <w:color w:val="000000" w:themeColor="text1"/>
          <w:sz w:val="20"/>
          <w:szCs w:val="20"/>
        </w:rPr>
        <w:t>); these are identical to those in Supplementary Fig. 1.</w:t>
      </w:r>
      <w:r w:rsidR="00B30D62">
        <w:rPr>
          <w:rFonts w:ascii="Times New Roman" w:hAnsi="Times New Roman" w:cs="Times New Roman"/>
          <w:color w:val="000000" w:themeColor="text1"/>
          <w:sz w:val="20"/>
          <w:szCs w:val="20"/>
        </w:rPr>
        <w:t xml:space="preserve"> </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g</w:t>
      </w:r>
      <w:r w:rsidR="00B30D62" w:rsidRPr="00B30D62">
        <w:rPr>
          <w:rFonts w:ascii="Times New Roman" w:hAnsi="Times New Roman" w:cs="Times New Roman"/>
          <w:color w:val="000000" w:themeColor="text1"/>
          <w:sz w:val="20"/>
          <w:szCs w:val="20"/>
        </w:rPr>
        <w:t>–</w:t>
      </w:r>
      <w:r w:rsidR="00B30D62" w:rsidRPr="00B30D62">
        <w:rPr>
          <w:rFonts w:ascii="Times New Roman" w:hAnsi="Times New Roman" w:cs="Times New Roman"/>
          <w:b/>
          <w:bCs/>
          <w:color w:val="000000" w:themeColor="text1"/>
          <w:sz w:val="20"/>
          <w:szCs w:val="20"/>
        </w:rPr>
        <w:t>h</w:t>
      </w:r>
      <w:r w:rsidR="00B30D62" w:rsidRPr="00B30D62">
        <w:rPr>
          <w:rFonts w:ascii="Times New Roman" w:hAnsi="Times New Roman" w:cs="Times New Roman"/>
          <w:color w:val="000000" w:themeColor="text1"/>
          <w:sz w:val="20"/>
          <w:szCs w:val="20"/>
        </w:rPr>
        <w:t>) Identical to Fig. 4c–d</w:t>
      </w:r>
      <w:r>
        <w:rPr>
          <w:rFonts w:ascii="Times New Roman" w:hAnsi="Times New Roman" w:cs="Times New Roman"/>
          <w:color w:val="000000" w:themeColor="text1"/>
          <w:sz w:val="20"/>
          <w:szCs w:val="20"/>
        </w:rPr>
        <w:t xml:space="preserve"> in the text</w:t>
      </w:r>
      <w:r w:rsidR="00B30D62" w:rsidRPr="00B30D62">
        <w:rPr>
          <w:rFonts w:ascii="Times New Roman" w:hAnsi="Times New Roman" w:cs="Times New Roman"/>
          <w:color w:val="000000" w:themeColor="text1"/>
          <w:sz w:val="20"/>
          <w:szCs w:val="20"/>
        </w:rPr>
        <w:t>, repeated here for ease of comparison.</w:t>
      </w:r>
    </w:p>
    <w:p w14:paraId="2FF35B43" w14:textId="77777777" w:rsidR="005A63D1" w:rsidRDefault="005A63D1">
      <w:pPr>
        <w:rPr>
          <w:rFonts w:ascii="Times New Roman" w:hAnsi="Times New Roman" w:cs="Times New Roman"/>
          <w:color w:val="000000" w:themeColor="text1"/>
          <w:sz w:val="20"/>
          <w:szCs w:val="20"/>
        </w:rPr>
      </w:pPr>
    </w:p>
    <w:p w14:paraId="47E53198" w14:textId="77777777" w:rsidR="00CA2442" w:rsidRDefault="00CA2442">
      <w:pPr>
        <w:rPr>
          <w:rFonts w:ascii="Times New Roman" w:hAnsi="Times New Roman" w:cs="Times New Roman"/>
          <w:color w:val="000000" w:themeColor="text1"/>
          <w:sz w:val="20"/>
          <w:szCs w:val="20"/>
        </w:rPr>
      </w:pPr>
    </w:p>
    <w:p w14:paraId="19EEC8B6" w14:textId="77777777" w:rsidR="00CA2442" w:rsidRDefault="00CA2442">
      <w:pPr>
        <w:rPr>
          <w:rFonts w:ascii="Times New Roman" w:hAnsi="Times New Roman" w:cs="Times New Roman"/>
          <w:color w:val="000000" w:themeColor="text1"/>
          <w:sz w:val="20"/>
          <w:szCs w:val="20"/>
        </w:rPr>
      </w:pPr>
    </w:p>
    <w:p w14:paraId="2C736BD4" w14:textId="77777777" w:rsidR="00CA2442" w:rsidRDefault="00CA2442">
      <w:pPr>
        <w:rPr>
          <w:rFonts w:ascii="Times New Roman" w:hAnsi="Times New Roman" w:cs="Times New Roman"/>
          <w:color w:val="000000" w:themeColor="text1"/>
          <w:sz w:val="20"/>
          <w:szCs w:val="20"/>
        </w:rPr>
      </w:pPr>
    </w:p>
    <w:p w14:paraId="69A844DC" w14:textId="77777777" w:rsidR="00CA2442" w:rsidRDefault="00CA2442">
      <w:pPr>
        <w:rPr>
          <w:rFonts w:ascii="Times New Roman" w:hAnsi="Times New Roman" w:cs="Times New Roman"/>
          <w:color w:val="000000" w:themeColor="text1"/>
          <w:sz w:val="20"/>
          <w:szCs w:val="20"/>
        </w:rPr>
      </w:pPr>
    </w:p>
    <w:p w14:paraId="65A5D321" w14:textId="00F6EA35" w:rsidR="00CA2442" w:rsidRDefault="00155F95">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1B83AB61" wp14:editId="6148B0B5">
            <wp:extent cx="5943600" cy="5701665"/>
            <wp:effectExtent l="0" t="0" r="0" b="635"/>
            <wp:docPr id="664276534" name="Picture 5" descr="A diagram of different contou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76534" name="Picture 5" descr="A diagram of different contou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5701665"/>
                    </a:xfrm>
                    <a:prstGeom prst="rect">
                      <a:avLst/>
                    </a:prstGeom>
                  </pic:spPr>
                </pic:pic>
              </a:graphicData>
            </a:graphic>
          </wp:inline>
        </w:drawing>
      </w:r>
    </w:p>
    <w:p w14:paraId="246B28E0" w14:textId="712E71B6" w:rsidR="00CA2442" w:rsidRDefault="00A265BE">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Supplementary Fig</w:t>
      </w:r>
      <w:r w:rsidR="005E1B77">
        <w:rPr>
          <w:rFonts w:ascii="Times New Roman" w:hAnsi="Times New Roman" w:cs="Times New Roman"/>
          <w:color w:val="000000" w:themeColor="text1"/>
          <w:sz w:val="20"/>
          <w:szCs w:val="20"/>
        </w:rPr>
        <w:t>ure</w:t>
      </w:r>
      <w:r>
        <w:rPr>
          <w:rFonts w:ascii="Times New Roman" w:hAnsi="Times New Roman" w:cs="Times New Roman"/>
          <w:color w:val="000000" w:themeColor="text1"/>
          <w:sz w:val="20"/>
          <w:szCs w:val="20"/>
        </w:rPr>
        <w:t xml:space="preserve"> 3: Same as in Fig. 5 b-f, but for the seasonal mean RH anomalies over the western U.S. </w:t>
      </w:r>
      <w:r w:rsidRPr="00087D15">
        <w:rPr>
          <w:rFonts w:ascii="Times New Roman" w:hAnsi="Times New Roman" w:cs="Times New Roman"/>
          <w:color w:val="000000" w:themeColor="text1"/>
          <w:sz w:val="20"/>
          <w:szCs w:val="20"/>
        </w:rPr>
        <w:t>(</w:t>
      </w:r>
      <w:r>
        <w:rPr>
          <w:rFonts w:ascii="Times New Roman" w:hAnsi="Times New Roman" w:cs="Times New Roman"/>
          <w:b/>
          <w:bCs/>
          <w:color w:val="000000" w:themeColor="text1"/>
          <w:sz w:val="20"/>
          <w:szCs w:val="20"/>
        </w:rPr>
        <w:t>a</w:t>
      </w:r>
      <w:r w:rsidRPr="00087D15">
        <w:rPr>
          <w:rFonts w:ascii="Times New Roman" w:hAnsi="Times New Roman" w:cs="Times New Roman"/>
          <w:color w:val="000000" w:themeColor="text1"/>
          <w:sz w:val="20"/>
          <w:szCs w:val="20"/>
        </w:rPr>
        <w:t>–</w:t>
      </w:r>
      <w:r>
        <w:rPr>
          <w:rFonts w:ascii="Times New Roman" w:hAnsi="Times New Roman" w:cs="Times New Roman"/>
          <w:b/>
          <w:bCs/>
          <w:color w:val="000000" w:themeColor="text1"/>
          <w:sz w:val="20"/>
          <w:szCs w:val="20"/>
        </w:rPr>
        <w:t>e</w:t>
      </w:r>
      <w:r w:rsidRPr="00087D15">
        <w:rPr>
          <w:rFonts w:ascii="Times New Roman" w:hAnsi="Times New Roman" w:cs="Times New Roman"/>
          <w:color w:val="000000" w:themeColor="text1"/>
          <w:sz w:val="20"/>
          <w:szCs w:val="20"/>
        </w:rPr>
        <w:t xml:space="preserve">) Regression maps showing the relationship between </w:t>
      </w:r>
      <w:r>
        <w:rPr>
          <w:rFonts w:ascii="Times New Roman" w:hAnsi="Times New Roman" w:cs="Times New Roman"/>
          <w:color w:val="000000" w:themeColor="text1"/>
          <w:sz w:val="20"/>
          <w:szCs w:val="20"/>
        </w:rPr>
        <w:t>summer mean RH anomalies over the southwestern U.S.</w:t>
      </w:r>
      <w:r w:rsidRPr="00087D15">
        <w:rPr>
          <w:rFonts w:ascii="Times New Roman" w:hAnsi="Times New Roman" w:cs="Times New Roman"/>
          <w:color w:val="000000" w:themeColor="text1"/>
          <w:sz w:val="20"/>
          <w:szCs w:val="20"/>
        </w:rPr>
        <w:t xml:space="preserve"> and large-scale climatic conditions in preceding winter (December–February; DJF). (</w:t>
      </w:r>
      <w:r w:rsidR="00677DA1">
        <w:rPr>
          <w:rFonts w:ascii="Times New Roman" w:hAnsi="Times New Roman" w:cs="Times New Roman"/>
          <w:b/>
          <w:bCs/>
          <w:color w:val="000000" w:themeColor="text1"/>
          <w:sz w:val="20"/>
          <w:szCs w:val="20"/>
        </w:rPr>
        <w:t>a</w:t>
      </w:r>
      <w:r w:rsidRPr="00087D15">
        <w:rPr>
          <w:rFonts w:ascii="Times New Roman" w:hAnsi="Times New Roman" w:cs="Times New Roman"/>
          <w:color w:val="000000" w:themeColor="text1"/>
          <w:sz w:val="20"/>
          <w:szCs w:val="20"/>
        </w:rPr>
        <w:t>) Winter sea surface temperature (SST; shading) and sea level pressure (SLP; contours); (</w:t>
      </w:r>
      <w:r w:rsidR="00677DA1" w:rsidRPr="00677DA1">
        <w:rPr>
          <w:rFonts w:ascii="Times New Roman" w:hAnsi="Times New Roman" w:cs="Times New Roman"/>
          <w:b/>
          <w:bCs/>
          <w:color w:val="000000" w:themeColor="text1"/>
          <w:sz w:val="20"/>
          <w:szCs w:val="20"/>
        </w:rPr>
        <w:t>b</w:t>
      </w:r>
      <w:r w:rsidRPr="00087D15">
        <w:rPr>
          <w:rFonts w:ascii="Times New Roman" w:hAnsi="Times New Roman" w:cs="Times New Roman"/>
          <w:color w:val="000000" w:themeColor="text1"/>
          <w:sz w:val="20"/>
          <w:szCs w:val="20"/>
        </w:rPr>
        <w:t xml:space="preserve">) Winter 500 </w:t>
      </w:r>
      <w:proofErr w:type="spellStart"/>
      <w:r w:rsidRPr="00087D15">
        <w:rPr>
          <w:rFonts w:ascii="Times New Roman" w:hAnsi="Times New Roman" w:cs="Times New Roman"/>
          <w:color w:val="000000" w:themeColor="text1"/>
          <w:sz w:val="20"/>
          <w:szCs w:val="20"/>
        </w:rPr>
        <w:t>hPa</w:t>
      </w:r>
      <w:proofErr w:type="spellEnd"/>
      <w:r w:rsidRPr="00087D15">
        <w:rPr>
          <w:rFonts w:ascii="Times New Roman" w:hAnsi="Times New Roman" w:cs="Times New Roman"/>
          <w:color w:val="000000" w:themeColor="text1"/>
          <w:sz w:val="20"/>
          <w:szCs w:val="20"/>
        </w:rPr>
        <w:t xml:space="preserve"> geopotential height (Z500; shading) and 200 </w:t>
      </w:r>
      <w:proofErr w:type="spellStart"/>
      <w:r w:rsidRPr="00087D15">
        <w:rPr>
          <w:rFonts w:ascii="Times New Roman" w:hAnsi="Times New Roman" w:cs="Times New Roman"/>
          <w:color w:val="000000" w:themeColor="text1"/>
          <w:sz w:val="20"/>
          <w:szCs w:val="20"/>
        </w:rPr>
        <w:t>hPa</w:t>
      </w:r>
      <w:proofErr w:type="spellEnd"/>
      <w:r w:rsidRPr="00087D15">
        <w:rPr>
          <w:rFonts w:ascii="Times New Roman" w:hAnsi="Times New Roman" w:cs="Times New Roman"/>
          <w:color w:val="000000" w:themeColor="text1"/>
          <w:sz w:val="20"/>
          <w:szCs w:val="20"/>
        </w:rPr>
        <w:t xml:space="preserve"> geopotential height (Z200; contours). (</w:t>
      </w:r>
      <w:r w:rsidR="00677DA1">
        <w:rPr>
          <w:rFonts w:ascii="Times New Roman" w:hAnsi="Times New Roman" w:cs="Times New Roman"/>
          <w:b/>
          <w:bCs/>
          <w:color w:val="000000" w:themeColor="text1"/>
          <w:sz w:val="20"/>
          <w:szCs w:val="20"/>
        </w:rPr>
        <w:t>c</w:t>
      </w:r>
      <w:r w:rsidRPr="00087D15">
        <w:rPr>
          <w:rFonts w:ascii="Times New Roman" w:hAnsi="Times New Roman" w:cs="Times New Roman"/>
          <w:color w:val="000000" w:themeColor="text1"/>
          <w:sz w:val="20"/>
          <w:szCs w:val="20"/>
        </w:rPr>
        <w:t>–</w:t>
      </w:r>
      <w:r w:rsidR="00677DA1">
        <w:rPr>
          <w:rFonts w:ascii="Times New Roman" w:hAnsi="Times New Roman" w:cs="Times New Roman"/>
          <w:b/>
          <w:bCs/>
          <w:color w:val="000000" w:themeColor="text1"/>
          <w:sz w:val="20"/>
          <w:szCs w:val="20"/>
        </w:rPr>
        <w:t>e</w:t>
      </w:r>
      <w:r w:rsidRPr="00087D15">
        <w:rPr>
          <w:rFonts w:ascii="Times New Roman" w:hAnsi="Times New Roman" w:cs="Times New Roman"/>
          <w:color w:val="000000" w:themeColor="text1"/>
          <w:sz w:val="20"/>
          <w:szCs w:val="20"/>
        </w:rPr>
        <w:t>) Longitudinal mean cross-sections showing regressions onto (</w:t>
      </w:r>
      <w:r w:rsidR="00677DA1">
        <w:rPr>
          <w:rFonts w:ascii="Times New Roman" w:hAnsi="Times New Roman" w:cs="Times New Roman"/>
          <w:b/>
          <w:bCs/>
          <w:color w:val="000000" w:themeColor="text1"/>
          <w:sz w:val="20"/>
          <w:szCs w:val="20"/>
        </w:rPr>
        <w:t>c</w:t>
      </w:r>
      <w:r w:rsidRPr="00087D15">
        <w:rPr>
          <w:rFonts w:ascii="Times New Roman" w:hAnsi="Times New Roman" w:cs="Times New Roman"/>
          <w:color w:val="000000" w:themeColor="text1"/>
          <w:sz w:val="20"/>
          <w:szCs w:val="20"/>
        </w:rPr>
        <w:t>) geopotential heights, (</w:t>
      </w:r>
      <w:r w:rsidR="00677DA1">
        <w:rPr>
          <w:rFonts w:ascii="Times New Roman" w:hAnsi="Times New Roman" w:cs="Times New Roman"/>
          <w:b/>
          <w:bCs/>
          <w:color w:val="000000" w:themeColor="text1"/>
          <w:sz w:val="20"/>
          <w:szCs w:val="20"/>
        </w:rPr>
        <w:t>d</w:t>
      </w:r>
      <w:r w:rsidRPr="00087D15">
        <w:rPr>
          <w:rFonts w:ascii="Times New Roman" w:hAnsi="Times New Roman" w:cs="Times New Roman"/>
          <w:color w:val="000000" w:themeColor="text1"/>
          <w:sz w:val="20"/>
          <w:szCs w:val="20"/>
        </w:rPr>
        <w:t>) zonal wind (U), and (</w:t>
      </w:r>
      <w:r w:rsidR="00677DA1">
        <w:rPr>
          <w:rFonts w:ascii="Times New Roman" w:hAnsi="Times New Roman" w:cs="Times New Roman"/>
          <w:b/>
          <w:bCs/>
          <w:color w:val="000000" w:themeColor="text1"/>
          <w:sz w:val="20"/>
          <w:szCs w:val="20"/>
        </w:rPr>
        <w:t>e</w:t>
      </w:r>
      <w:r w:rsidRPr="00087D15">
        <w:rPr>
          <w:rFonts w:ascii="Times New Roman" w:hAnsi="Times New Roman" w:cs="Times New Roman"/>
          <w:color w:val="000000" w:themeColor="text1"/>
          <w:sz w:val="20"/>
          <w:szCs w:val="20"/>
        </w:rPr>
        <w:t>) meridional wind (V). Black boxes in (</w:t>
      </w:r>
      <w:r w:rsidR="00677DA1">
        <w:rPr>
          <w:rFonts w:ascii="Times New Roman" w:hAnsi="Times New Roman" w:cs="Times New Roman"/>
          <w:b/>
          <w:bCs/>
          <w:color w:val="000000" w:themeColor="text1"/>
          <w:sz w:val="20"/>
          <w:szCs w:val="20"/>
        </w:rPr>
        <w:t>a</w:t>
      </w:r>
      <w:r w:rsidRPr="00087D15">
        <w:rPr>
          <w:rFonts w:ascii="Times New Roman" w:hAnsi="Times New Roman" w:cs="Times New Roman"/>
          <w:color w:val="000000" w:themeColor="text1"/>
          <w:sz w:val="20"/>
          <w:szCs w:val="20"/>
        </w:rPr>
        <w:t>) and (</w:t>
      </w:r>
      <w:r w:rsidR="00677DA1">
        <w:rPr>
          <w:rFonts w:ascii="Times New Roman" w:hAnsi="Times New Roman" w:cs="Times New Roman"/>
          <w:b/>
          <w:bCs/>
          <w:color w:val="000000" w:themeColor="text1"/>
          <w:sz w:val="20"/>
          <w:szCs w:val="20"/>
        </w:rPr>
        <w:t>b</w:t>
      </w:r>
      <w:r w:rsidRPr="00087D15">
        <w:rPr>
          <w:rFonts w:ascii="Times New Roman" w:hAnsi="Times New Roman" w:cs="Times New Roman"/>
          <w:color w:val="000000" w:themeColor="text1"/>
          <w:sz w:val="20"/>
          <w:szCs w:val="20"/>
        </w:rPr>
        <w:t>) indicate the region used for cross-sections, while those in (</w:t>
      </w:r>
      <w:r w:rsidR="00677DA1">
        <w:rPr>
          <w:rFonts w:ascii="Times New Roman" w:hAnsi="Times New Roman" w:cs="Times New Roman"/>
          <w:b/>
          <w:bCs/>
          <w:color w:val="000000" w:themeColor="text1"/>
          <w:sz w:val="20"/>
          <w:szCs w:val="20"/>
        </w:rPr>
        <w:t>c</w:t>
      </w:r>
      <w:r w:rsidRPr="00087D15">
        <w:rPr>
          <w:rFonts w:ascii="Times New Roman" w:hAnsi="Times New Roman" w:cs="Times New Roman"/>
          <w:color w:val="000000" w:themeColor="text1"/>
          <w:sz w:val="20"/>
          <w:szCs w:val="20"/>
        </w:rPr>
        <w:t>–</w:t>
      </w:r>
      <w:r w:rsidR="00677DA1">
        <w:rPr>
          <w:rFonts w:ascii="Times New Roman" w:hAnsi="Times New Roman" w:cs="Times New Roman"/>
          <w:b/>
          <w:bCs/>
          <w:color w:val="000000" w:themeColor="text1"/>
          <w:sz w:val="20"/>
          <w:szCs w:val="20"/>
        </w:rPr>
        <w:t>e</w:t>
      </w:r>
      <w:r w:rsidRPr="00087D15">
        <w:rPr>
          <w:rFonts w:ascii="Times New Roman" w:hAnsi="Times New Roman" w:cs="Times New Roman"/>
          <w:color w:val="000000" w:themeColor="text1"/>
          <w:sz w:val="20"/>
          <w:szCs w:val="20"/>
        </w:rPr>
        <w:t>) show the latitudinal extent of the SWUS.</w:t>
      </w:r>
      <w:r w:rsidR="00677DA1">
        <w:rPr>
          <w:rFonts w:ascii="Times New Roman" w:hAnsi="Times New Roman" w:cs="Times New Roman"/>
          <w:color w:val="000000" w:themeColor="text1"/>
          <w:sz w:val="20"/>
          <w:szCs w:val="20"/>
        </w:rPr>
        <w:t xml:space="preserve"> </w:t>
      </w:r>
      <w:r w:rsidR="00677DA1" w:rsidRPr="00677DA1">
        <w:rPr>
          <w:rFonts w:ascii="Times New Roman" w:hAnsi="Times New Roman" w:cs="Times New Roman"/>
          <w:color w:val="000000" w:themeColor="text1"/>
          <w:sz w:val="20"/>
          <w:szCs w:val="20"/>
        </w:rPr>
        <w:t>Note</w:t>
      </w:r>
      <w:r w:rsidR="00677DA1">
        <w:rPr>
          <w:rFonts w:ascii="Times New Roman" w:hAnsi="Times New Roman" w:cs="Times New Roman"/>
          <w:color w:val="000000" w:themeColor="text1"/>
          <w:sz w:val="20"/>
          <w:szCs w:val="20"/>
        </w:rPr>
        <w:t xml:space="preserve"> that</w:t>
      </w:r>
      <w:r w:rsidR="00677DA1" w:rsidRPr="00677DA1">
        <w:rPr>
          <w:rFonts w:ascii="Times New Roman" w:hAnsi="Times New Roman" w:cs="Times New Roman"/>
          <w:color w:val="000000" w:themeColor="text1"/>
          <w:sz w:val="20"/>
          <w:szCs w:val="20"/>
        </w:rPr>
        <w:t xml:space="preserve"> RH refers to the </w:t>
      </w:r>
      <w:r w:rsidR="00677DA1">
        <w:rPr>
          <w:rFonts w:ascii="Times New Roman" w:hAnsi="Times New Roman" w:cs="Times New Roman"/>
          <w:color w:val="000000" w:themeColor="text1"/>
          <w:sz w:val="20"/>
          <w:szCs w:val="20"/>
        </w:rPr>
        <w:t xml:space="preserve">aggregated </w:t>
      </w:r>
      <w:r w:rsidR="00677DA1" w:rsidRPr="00677DA1">
        <w:rPr>
          <w:rFonts w:ascii="Times New Roman" w:hAnsi="Times New Roman" w:cs="Times New Roman"/>
          <w:color w:val="000000" w:themeColor="text1"/>
          <w:sz w:val="20"/>
          <w:szCs w:val="20"/>
        </w:rPr>
        <w:t>intensity of low-RH extremes (values below the 10</w:t>
      </w:r>
      <w:r w:rsidR="00677DA1" w:rsidRPr="00677DA1">
        <w:rPr>
          <w:rFonts w:ascii="Times New Roman" w:hAnsi="Times New Roman" w:cs="Times New Roman"/>
          <w:color w:val="000000" w:themeColor="text1"/>
          <w:sz w:val="20"/>
          <w:szCs w:val="20"/>
          <w:vertAlign w:val="superscript"/>
        </w:rPr>
        <w:t>th</w:t>
      </w:r>
      <w:r w:rsidR="00677DA1" w:rsidRPr="00677DA1">
        <w:rPr>
          <w:rFonts w:ascii="Times New Roman" w:hAnsi="Times New Roman" w:cs="Times New Roman"/>
          <w:color w:val="000000" w:themeColor="text1"/>
          <w:sz w:val="20"/>
          <w:szCs w:val="20"/>
        </w:rPr>
        <w:t xml:space="preserve"> percentile)</w:t>
      </w:r>
      <w:r w:rsidR="00677DA1">
        <w:rPr>
          <w:rFonts w:ascii="Times New Roman" w:hAnsi="Times New Roman" w:cs="Times New Roman"/>
          <w:color w:val="000000" w:themeColor="text1"/>
          <w:sz w:val="20"/>
          <w:szCs w:val="20"/>
        </w:rPr>
        <w:t xml:space="preserve"> in Fig. 5</w:t>
      </w:r>
      <w:r w:rsidR="00677DA1" w:rsidRPr="00677DA1">
        <w:rPr>
          <w:rFonts w:ascii="Times New Roman" w:hAnsi="Times New Roman" w:cs="Times New Roman"/>
          <w:color w:val="000000" w:themeColor="text1"/>
          <w:sz w:val="20"/>
          <w:szCs w:val="20"/>
        </w:rPr>
        <w:t>. In contrast, RH in this figure refers to unfiltered summer mean RH anomalies, which include both extreme and non-extreme conditions.</w:t>
      </w:r>
    </w:p>
    <w:p w14:paraId="22DC286C" w14:textId="77777777" w:rsidR="00CA2442" w:rsidRDefault="00CA2442">
      <w:pPr>
        <w:rPr>
          <w:rFonts w:ascii="Times New Roman" w:hAnsi="Times New Roman" w:cs="Times New Roman"/>
          <w:color w:val="000000" w:themeColor="text1"/>
          <w:sz w:val="20"/>
          <w:szCs w:val="20"/>
        </w:rPr>
      </w:pPr>
    </w:p>
    <w:p w14:paraId="66D07FCB" w14:textId="77777777" w:rsidR="00CA2442" w:rsidRDefault="00CA2442">
      <w:pPr>
        <w:rPr>
          <w:rFonts w:ascii="Times New Roman" w:hAnsi="Times New Roman" w:cs="Times New Roman"/>
          <w:color w:val="000000" w:themeColor="text1"/>
          <w:sz w:val="20"/>
          <w:szCs w:val="20"/>
        </w:rPr>
      </w:pPr>
    </w:p>
    <w:p w14:paraId="487FA327" w14:textId="77777777" w:rsidR="005A63D1" w:rsidRDefault="005A63D1">
      <w:pPr>
        <w:rPr>
          <w:rFonts w:ascii="Times New Roman" w:hAnsi="Times New Roman" w:cs="Times New Roman"/>
          <w:color w:val="000000" w:themeColor="text1"/>
          <w:sz w:val="20"/>
          <w:szCs w:val="20"/>
        </w:rPr>
      </w:pPr>
    </w:p>
    <w:p w14:paraId="0599420D" w14:textId="2EFD9024" w:rsidR="005A63D1" w:rsidRDefault="0033417B" w:rsidP="00677DA1">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508F8866" wp14:editId="0BEB206D">
            <wp:extent cx="5943600" cy="7341870"/>
            <wp:effectExtent l="0" t="0" r="0" b="0"/>
            <wp:docPr id="504690724" name="Picture 3" descr="A diagram of weather forecas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90724" name="Picture 3" descr="A diagram of weather forecast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341870"/>
                    </a:xfrm>
                    <a:prstGeom prst="rect">
                      <a:avLst/>
                    </a:prstGeom>
                  </pic:spPr>
                </pic:pic>
              </a:graphicData>
            </a:graphic>
          </wp:inline>
        </w:drawing>
      </w:r>
    </w:p>
    <w:p w14:paraId="128B09B4" w14:textId="374E2B19" w:rsidR="00CA2442" w:rsidRDefault="00677DA1">
      <w:pPr>
        <w:rPr>
          <w:rFonts w:ascii="Times New Roman" w:hAnsi="Times New Roman" w:cs="Times New Roman"/>
          <w:color w:val="000000" w:themeColor="text1"/>
          <w:sz w:val="20"/>
          <w:szCs w:val="20"/>
        </w:rPr>
      </w:pPr>
      <w:r w:rsidRPr="00677DA1">
        <w:rPr>
          <w:rFonts w:ascii="Times New Roman" w:hAnsi="Times New Roman" w:cs="Times New Roman"/>
          <w:color w:val="000000" w:themeColor="text1"/>
          <w:sz w:val="20"/>
          <w:szCs w:val="20"/>
        </w:rPr>
        <w:t>Supplementary Figure 4. Same as Fig. 6, but with the addition of model simulations incorporated into the top portion of the schematic for comparison.</w:t>
      </w:r>
    </w:p>
    <w:p w14:paraId="187252D7" w14:textId="77777777" w:rsidR="00CA2442" w:rsidRDefault="00CA2442">
      <w:pPr>
        <w:rPr>
          <w:rFonts w:ascii="Times New Roman" w:hAnsi="Times New Roman" w:cs="Times New Roman"/>
          <w:color w:val="000000" w:themeColor="text1"/>
          <w:sz w:val="20"/>
          <w:szCs w:val="20"/>
        </w:rPr>
      </w:pPr>
    </w:p>
    <w:p w14:paraId="64FA0D92" w14:textId="2D35C603" w:rsidR="005A63D1" w:rsidRDefault="00155F95">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14:anchorId="02FA31A4" wp14:editId="30A87203">
            <wp:extent cx="5853723" cy="4446954"/>
            <wp:effectExtent l="0" t="0" r="1270" b="0"/>
            <wp:docPr id="363712757" name="Picture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12757" name="Picture 4" descr="A graph of different colored lines&#10;&#10;AI-generated content may be incorrect."/>
                    <pic:cNvPicPr/>
                  </pic:nvPicPr>
                  <pic:blipFill rotWithShape="1">
                    <a:blip r:embed="rId9" cstate="print">
                      <a:extLst>
                        <a:ext uri="{28A0092B-C50C-407E-A947-70E740481C1C}">
                          <a14:useLocalDpi xmlns:a14="http://schemas.microsoft.com/office/drawing/2010/main" val="0"/>
                        </a:ext>
                      </a:extLst>
                    </a:blip>
                    <a:srcRect r="1512" b="6476"/>
                    <a:stretch>
                      <a:fillRect/>
                    </a:stretch>
                  </pic:blipFill>
                  <pic:spPr bwMode="auto">
                    <a:xfrm>
                      <a:off x="0" y="0"/>
                      <a:ext cx="5853723" cy="4446954"/>
                    </a:xfrm>
                    <a:prstGeom prst="rect">
                      <a:avLst/>
                    </a:prstGeom>
                    <a:ln>
                      <a:noFill/>
                    </a:ln>
                    <a:extLst>
                      <a:ext uri="{53640926-AAD7-44D8-BBD7-CCE9431645EC}">
                        <a14:shadowObscured xmlns:a14="http://schemas.microsoft.com/office/drawing/2010/main"/>
                      </a:ext>
                    </a:extLst>
                  </pic:spPr>
                </pic:pic>
              </a:graphicData>
            </a:graphic>
          </wp:inline>
        </w:drawing>
      </w:r>
    </w:p>
    <w:p w14:paraId="3A9A43B5" w14:textId="3FA64DB5" w:rsidR="009655E7" w:rsidRDefault="001501AC">
      <w:pPr>
        <w:rPr>
          <w:rFonts w:ascii="Times New Roman" w:hAnsi="Times New Roman" w:cs="Times New Roman"/>
          <w:color w:val="000000" w:themeColor="text1"/>
          <w:sz w:val="20"/>
          <w:szCs w:val="20"/>
        </w:rPr>
      </w:pPr>
      <w:r w:rsidRPr="001501AC">
        <w:rPr>
          <w:rFonts w:ascii="Times New Roman" w:hAnsi="Times New Roman" w:cs="Times New Roman"/>
          <w:color w:val="000000" w:themeColor="text1"/>
          <w:sz w:val="20"/>
          <w:szCs w:val="20"/>
        </w:rPr>
        <w:t>Supplementary Figure 5</w:t>
      </w:r>
      <w:r>
        <w:rPr>
          <w:rFonts w:ascii="Times New Roman" w:hAnsi="Times New Roman" w:cs="Times New Roman"/>
          <w:color w:val="000000" w:themeColor="text1"/>
          <w:sz w:val="20"/>
          <w:szCs w:val="20"/>
        </w:rPr>
        <w:t>:</w:t>
      </w:r>
      <w:r w:rsidRPr="001501AC">
        <w:rPr>
          <w:rFonts w:ascii="Times New Roman" w:hAnsi="Times New Roman" w:cs="Times New Roman"/>
          <w:color w:val="000000" w:themeColor="text1"/>
          <w:sz w:val="20"/>
          <w:szCs w:val="20"/>
        </w:rPr>
        <w:t xml:space="preserve"> Comparison of baseline period definitions. Time series of near-global (60°S–60°N) mean sea surface temperature (SST) anomalies (top), the traditional Pacific Decadal Oscillation (PDO) index (middle), and the relative PDO index (bottom), calculated using different climatological baselines. Colored lines represent anomalies based on fixed </w:t>
      </w:r>
      <w:proofErr w:type="spellStart"/>
      <w:r w:rsidRPr="001501AC">
        <w:rPr>
          <w:rFonts w:ascii="Times New Roman" w:hAnsi="Times New Roman" w:cs="Times New Roman"/>
          <w:color w:val="000000" w:themeColor="text1"/>
          <w:sz w:val="20"/>
          <w:szCs w:val="20"/>
        </w:rPr>
        <w:t>climatologies</w:t>
      </w:r>
      <w:proofErr w:type="spellEnd"/>
      <w:r w:rsidRPr="001501AC">
        <w:rPr>
          <w:rFonts w:ascii="Times New Roman" w:hAnsi="Times New Roman" w:cs="Times New Roman"/>
          <w:color w:val="000000" w:themeColor="text1"/>
          <w:sz w:val="20"/>
          <w:szCs w:val="20"/>
        </w:rPr>
        <w:t xml:space="preserve"> over the full period (green), the first 30 years (pink), and the last 30 years (blue). The black line represents anomalies computed using a 30-year sliding climatology. The shaded area denotes the reference period used in this study (1940–2020). The comparison highlights how the choice of baseline period affects the magnitude and sign of SST and PDO anomalies, while the proposed relative PDO index minimizes sensitivity to baseline selection.</w:t>
      </w:r>
    </w:p>
    <w:p w14:paraId="37EA2C71" w14:textId="77777777" w:rsidR="009655E7" w:rsidRDefault="009655E7">
      <w:pPr>
        <w:rPr>
          <w:rFonts w:ascii="Times New Roman" w:hAnsi="Times New Roman" w:cs="Times New Roman"/>
          <w:color w:val="000000" w:themeColor="text1"/>
          <w:sz w:val="20"/>
          <w:szCs w:val="20"/>
        </w:rPr>
      </w:pPr>
    </w:p>
    <w:p w14:paraId="260F5E6E" w14:textId="77777777" w:rsidR="009655E7" w:rsidRDefault="009655E7">
      <w:pPr>
        <w:rPr>
          <w:rFonts w:ascii="Times New Roman" w:hAnsi="Times New Roman" w:cs="Times New Roman"/>
          <w:color w:val="000000" w:themeColor="text1"/>
          <w:sz w:val="20"/>
          <w:szCs w:val="20"/>
        </w:rPr>
      </w:pPr>
    </w:p>
    <w:p w14:paraId="188F01C7" w14:textId="77777777" w:rsidR="009655E7" w:rsidRPr="00CA2442" w:rsidRDefault="009655E7">
      <w:pPr>
        <w:rPr>
          <w:rFonts w:ascii="Times New Roman" w:hAnsi="Times New Roman" w:cs="Times New Roman"/>
          <w:color w:val="000000" w:themeColor="text1"/>
          <w:sz w:val="20"/>
          <w:szCs w:val="20"/>
        </w:rPr>
      </w:pPr>
    </w:p>
    <w:sectPr w:rsidR="009655E7" w:rsidRPr="00CA2442" w:rsidSect="005E55C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5C6"/>
    <w:rsid w:val="00003E70"/>
    <w:rsid w:val="0000797D"/>
    <w:rsid w:val="0002010E"/>
    <w:rsid w:val="00043F59"/>
    <w:rsid w:val="00044EDF"/>
    <w:rsid w:val="000541C0"/>
    <w:rsid w:val="0006291B"/>
    <w:rsid w:val="00066313"/>
    <w:rsid w:val="0007027C"/>
    <w:rsid w:val="00081B3E"/>
    <w:rsid w:val="0008393B"/>
    <w:rsid w:val="00087565"/>
    <w:rsid w:val="000A283B"/>
    <w:rsid w:val="000B0CD1"/>
    <w:rsid w:val="000B1D1D"/>
    <w:rsid w:val="000C1791"/>
    <w:rsid w:val="000C31CC"/>
    <w:rsid w:val="000D5CFC"/>
    <w:rsid w:val="000E0031"/>
    <w:rsid w:val="000E17C4"/>
    <w:rsid w:val="00101AC6"/>
    <w:rsid w:val="00112D50"/>
    <w:rsid w:val="001501AC"/>
    <w:rsid w:val="00155F95"/>
    <w:rsid w:val="001747F3"/>
    <w:rsid w:val="00196355"/>
    <w:rsid w:val="001B74F3"/>
    <w:rsid w:val="001C553C"/>
    <w:rsid w:val="0020321A"/>
    <w:rsid w:val="00206E7A"/>
    <w:rsid w:val="00210658"/>
    <w:rsid w:val="0022524B"/>
    <w:rsid w:val="002417E9"/>
    <w:rsid w:val="0026147A"/>
    <w:rsid w:val="00270E28"/>
    <w:rsid w:val="00270E38"/>
    <w:rsid w:val="0027182C"/>
    <w:rsid w:val="002805F6"/>
    <w:rsid w:val="00281F6E"/>
    <w:rsid w:val="002A19B7"/>
    <w:rsid w:val="002D3662"/>
    <w:rsid w:val="00307CD8"/>
    <w:rsid w:val="00326A65"/>
    <w:rsid w:val="0033417B"/>
    <w:rsid w:val="0033728F"/>
    <w:rsid w:val="00340686"/>
    <w:rsid w:val="003451A5"/>
    <w:rsid w:val="003458BD"/>
    <w:rsid w:val="00346C4C"/>
    <w:rsid w:val="00351B1D"/>
    <w:rsid w:val="00377C49"/>
    <w:rsid w:val="00386657"/>
    <w:rsid w:val="003A0A33"/>
    <w:rsid w:val="003A18F5"/>
    <w:rsid w:val="003B113B"/>
    <w:rsid w:val="003C14BA"/>
    <w:rsid w:val="003C2917"/>
    <w:rsid w:val="003C3EB1"/>
    <w:rsid w:val="003C6E5F"/>
    <w:rsid w:val="003D713C"/>
    <w:rsid w:val="003D7E59"/>
    <w:rsid w:val="003F5811"/>
    <w:rsid w:val="004010ED"/>
    <w:rsid w:val="00403B03"/>
    <w:rsid w:val="00420953"/>
    <w:rsid w:val="00435291"/>
    <w:rsid w:val="004509EE"/>
    <w:rsid w:val="00463F9E"/>
    <w:rsid w:val="004672D6"/>
    <w:rsid w:val="00484704"/>
    <w:rsid w:val="00485E5A"/>
    <w:rsid w:val="004A6920"/>
    <w:rsid w:val="004B5B08"/>
    <w:rsid w:val="005157E6"/>
    <w:rsid w:val="005335F1"/>
    <w:rsid w:val="00541949"/>
    <w:rsid w:val="00547F3C"/>
    <w:rsid w:val="00567760"/>
    <w:rsid w:val="0057242B"/>
    <w:rsid w:val="00580FF2"/>
    <w:rsid w:val="005866C4"/>
    <w:rsid w:val="005A63D1"/>
    <w:rsid w:val="005D682D"/>
    <w:rsid w:val="005E1B77"/>
    <w:rsid w:val="005E4E5C"/>
    <w:rsid w:val="005E55C6"/>
    <w:rsid w:val="005F30C7"/>
    <w:rsid w:val="005F76E0"/>
    <w:rsid w:val="00606125"/>
    <w:rsid w:val="006223F1"/>
    <w:rsid w:val="0064205A"/>
    <w:rsid w:val="006756C9"/>
    <w:rsid w:val="00677DA1"/>
    <w:rsid w:val="006827C4"/>
    <w:rsid w:val="00690A69"/>
    <w:rsid w:val="00706DC3"/>
    <w:rsid w:val="00713B24"/>
    <w:rsid w:val="00726FE4"/>
    <w:rsid w:val="00744AFA"/>
    <w:rsid w:val="007745F6"/>
    <w:rsid w:val="00777BE0"/>
    <w:rsid w:val="00782FF3"/>
    <w:rsid w:val="007B50D4"/>
    <w:rsid w:val="007C5B62"/>
    <w:rsid w:val="007E7D10"/>
    <w:rsid w:val="007F5BDA"/>
    <w:rsid w:val="00805FBB"/>
    <w:rsid w:val="00807D1D"/>
    <w:rsid w:val="0082093B"/>
    <w:rsid w:val="00821017"/>
    <w:rsid w:val="00830013"/>
    <w:rsid w:val="008432CD"/>
    <w:rsid w:val="008557D1"/>
    <w:rsid w:val="008A2683"/>
    <w:rsid w:val="008A3D7D"/>
    <w:rsid w:val="008A7555"/>
    <w:rsid w:val="008B4F9B"/>
    <w:rsid w:val="008B5B23"/>
    <w:rsid w:val="008B7ADE"/>
    <w:rsid w:val="008C2F97"/>
    <w:rsid w:val="008C75F3"/>
    <w:rsid w:val="008D7247"/>
    <w:rsid w:val="008F1D5D"/>
    <w:rsid w:val="00925B5B"/>
    <w:rsid w:val="009353E9"/>
    <w:rsid w:val="00942C9F"/>
    <w:rsid w:val="00945332"/>
    <w:rsid w:val="00950E7F"/>
    <w:rsid w:val="009655E7"/>
    <w:rsid w:val="00987186"/>
    <w:rsid w:val="009B68C6"/>
    <w:rsid w:val="009B6AED"/>
    <w:rsid w:val="009D0911"/>
    <w:rsid w:val="009D2371"/>
    <w:rsid w:val="009E1965"/>
    <w:rsid w:val="009E219C"/>
    <w:rsid w:val="00A2113A"/>
    <w:rsid w:val="00A265BE"/>
    <w:rsid w:val="00A41A93"/>
    <w:rsid w:val="00A57282"/>
    <w:rsid w:val="00A746A8"/>
    <w:rsid w:val="00A76766"/>
    <w:rsid w:val="00A92115"/>
    <w:rsid w:val="00AA1C51"/>
    <w:rsid w:val="00AB29A3"/>
    <w:rsid w:val="00AD5024"/>
    <w:rsid w:val="00AE271D"/>
    <w:rsid w:val="00B02C1C"/>
    <w:rsid w:val="00B043E8"/>
    <w:rsid w:val="00B0679A"/>
    <w:rsid w:val="00B26DC0"/>
    <w:rsid w:val="00B30D62"/>
    <w:rsid w:val="00B47031"/>
    <w:rsid w:val="00B6684C"/>
    <w:rsid w:val="00B75843"/>
    <w:rsid w:val="00B77818"/>
    <w:rsid w:val="00B86153"/>
    <w:rsid w:val="00BB2210"/>
    <w:rsid w:val="00BB5B3E"/>
    <w:rsid w:val="00BC03AD"/>
    <w:rsid w:val="00BC28A1"/>
    <w:rsid w:val="00BC3F00"/>
    <w:rsid w:val="00BC4888"/>
    <w:rsid w:val="00C00213"/>
    <w:rsid w:val="00C1006A"/>
    <w:rsid w:val="00C17385"/>
    <w:rsid w:val="00C307DC"/>
    <w:rsid w:val="00C51731"/>
    <w:rsid w:val="00C614D0"/>
    <w:rsid w:val="00C945D3"/>
    <w:rsid w:val="00CA2442"/>
    <w:rsid w:val="00CB6D82"/>
    <w:rsid w:val="00CF0667"/>
    <w:rsid w:val="00CF4C18"/>
    <w:rsid w:val="00D11254"/>
    <w:rsid w:val="00D82D07"/>
    <w:rsid w:val="00DB302F"/>
    <w:rsid w:val="00E07154"/>
    <w:rsid w:val="00E25F26"/>
    <w:rsid w:val="00E26B0F"/>
    <w:rsid w:val="00E716BF"/>
    <w:rsid w:val="00E71E41"/>
    <w:rsid w:val="00E85B74"/>
    <w:rsid w:val="00E96A3B"/>
    <w:rsid w:val="00EC42AA"/>
    <w:rsid w:val="00ED70DE"/>
    <w:rsid w:val="00F1598B"/>
    <w:rsid w:val="00F27870"/>
    <w:rsid w:val="00F56F3A"/>
    <w:rsid w:val="00F64B09"/>
    <w:rsid w:val="00F64B43"/>
    <w:rsid w:val="00F747B0"/>
    <w:rsid w:val="00F905B7"/>
    <w:rsid w:val="00F96E2D"/>
    <w:rsid w:val="00FA546E"/>
    <w:rsid w:val="00FC057E"/>
    <w:rsid w:val="00FE5B43"/>
    <w:rsid w:val="00FF4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C4FBE"/>
  <w15:chartTrackingRefBased/>
  <w15:docId w15:val="{0B14BB9C-483C-3240-81A1-C3EFB510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5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55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5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5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5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5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5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5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5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55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55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5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5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5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5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5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5C6"/>
    <w:rPr>
      <w:rFonts w:eastAsiaTheme="majorEastAsia" w:cstheme="majorBidi"/>
      <w:color w:val="272727" w:themeColor="text1" w:themeTint="D8"/>
    </w:rPr>
  </w:style>
  <w:style w:type="paragraph" w:styleId="Title">
    <w:name w:val="Title"/>
    <w:basedOn w:val="Normal"/>
    <w:next w:val="Normal"/>
    <w:link w:val="TitleChar"/>
    <w:uiPriority w:val="10"/>
    <w:qFormat/>
    <w:rsid w:val="005E55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5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5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5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5C6"/>
    <w:pPr>
      <w:spacing w:before="160"/>
      <w:jc w:val="center"/>
    </w:pPr>
    <w:rPr>
      <w:i/>
      <w:iCs/>
      <w:color w:val="404040" w:themeColor="text1" w:themeTint="BF"/>
    </w:rPr>
  </w:style>
  <w:style w:type="character" w:customStyle="1" w:styleId="QuoteChar">
    <w:name w:val="Quote Char"/>
    <w:basedOn w:val="DefaultParagraphFont"/>
    <w:link w:val="Quote"/>
    <w:uiPriority w:val="29"/>
    <w:rsid w:val="005E55C6"/>
    <w:rPr>
      <w:i/>
      <w:iCs/>
      <w:color w:val="404040" w:themeColor="text1" w:themeTint="BF"/>
    </w:rPr>
  </w:style>
  <w:style w:type="paragraph" w:styleId="ListParagraph">
    <w:name w:val="List Paragraph"/>
    <w:basedOn w:val="Normal"/>
    <w:uiPriority w:val="34"/>
    <w:qFormat/>
    <w:rsid w:val="005E55C6"/>
    <w:pPr>
      <w:ind w:left="720"/>
      <w:contextualSpacing/>
    </w:pPr>
  </w:style>
  <w:style w:type="character" w:styleId="IntenseEmphasis">
    <w:name w:val="Intense Emphasis"/>
    <w:basedOn w:val="DefaultParagraphFont"/>
    <w:uiPriority w:val="21"/>
    <w:qFormat/>
    <w:rsid w:val="005E55C6"/>
    <w:rPr>
      <w:i/>
      <w:iCs/>
      <w:color w:val="0F4761" w:themeColor="accent1" w:themeShade="BF"/>
    </w:rPr>
  </w:style>
  <w:style w:type="paragraph" w:styleId="IntenseQuote">
    <w:name w:val="Intense Quote"/>
    <w:basedOn w:val="Normal"/>
    <w:next w:val="Normal"/>
    <w:link w:val="IntenseQuoteChar"/>
    <w:uiPriority w:val="30"/>
    <w:qFormat/>
    <w:rsid w:val="005E5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5C6"/>
    <w:rPr>
      <w:i/>
      <w:iCs/>
      <w:color w:val="0F4761" w:themeColor="accent1" w:themeShade="BF"/>
    </w:rPr>
  </w:style>
  <w:style w:type="character" w:styleId="IntenseReference">
    <w:name w:val="Intense Reference"/>
    <w:basedOn w:val="DefaultParagraphFont"/>
    <w:uiPriority w:val="32"/>
    <w:qFormat/>
    <w:rsid w:val="005E55C6"/>
    <w:rPr>
      <w:b/>
      <w:bCs/>
      <w:smallCaps/>
      <w:color w:val="0F4761" w:themeColor="accent1" w:themeShade="BF"/>
      <w:spacing w:val="5"/>
    </w:rPr>
  </w:style>
  <w:style w:type="table" w:styleId="TableGrid">
    <w:name w:val="Table Grid"/>
    <w:basedOn w:val="TableNormal"/>
    <w:uiPriority w:val="39"/>
    <w:rsid w:val="005E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E55C6"/>
  </w:style>
  <w:style w:type="character" w:styleId="Hyperlink">
    <w:name w:val="Hyperlink"/>
    <w:basedOn w:val="DefaultParagraphFont"/>
    <w:uiPriority w:val="99"/>
    <w:unhideWhenUsed/>
    <w:rsid w:val="00FE5B4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jiale.lou@noaa.gov"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867</Words>
  <Characters>4947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Princeton University and GFDL NOAA</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Jiale Lou</dc:creator>
  <cp:keywords/>
  <dc:description/>
  <cp:lastModifiedBy>Jiale Lou</cp:lastModifiedBy>
  <cp:revision>4</cp:revision>
  <dcterms:created xsi:type="dcterms:W3CDTF">2025-08-19T21:31:00Z</dcterms:created>
  <dcterms:modified xsi:type="dcterms:W3CDTF">2025-08-20T20:51:00Z</dcterms:modified>
</cp:coreProperties>
</file>