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26288" w14:textId="77777777" w:rsidR="00806A1C" w:rsidRPr="00DC2AB5" w:rsidRDefault="00806A1C" w:rsidP="00806A1C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AB5">
        <w:rPr>
          <w:rFonts w:ascii="Times New Roman" w:hAnsi="Times New Roman" w:cs="Times New Roman"/>
          <w:b/>
          <w:sz w:val="24"/>
          <w:szCs w:val="24"/>
        </w:rPr>
        <w:t xml:space="preserve">Microbial community structure and niche differentiation in healthy and infected samples of </w:t>
      </w:r>
      <w:r w:rsidRPr="00DC2AB5">
        <w:rPr>
          <w:rFonts w:ascii="Times New Roman" w:hAnsi="Times New Roman" w:cs="Times New Roman"/>
          <w:b/>
          <w:i/>
          <w:sz w:val="24"/>
          <w:szCs w:val="24"/>
        </w:rPr>
        <w:t>Kappaphycus alvarezii</w:t>
      </w:r>
      <w:r w:rsidRPr="00DC2AB5">
        <w:rPr>
          <w:rFonts w:ascii="Times New Roman" w:hAnsi="Times New Roman" w:cs="Times New Roman"/>
          <w:b/>
          <w:sz w:val="24"/>
          <w:szCs w:val="24"/>
        </w:rPr>
        <w:t xml:space="preserve"> in the commercial farming sites </w:t>
      </w:r>
      <w:r>
        <w:rPr>
          <w:rFonts w:ascii="Times New Roman" w:hAnsi="Times New Roman" w:cs="Times New Roman"/>
          <w:b/>
          <w:sz w:val="24"/>
          <w:szCs w:val="24"/>
        </w:rPr>
        <w:t xml:space="preserve">of </w:t>
      </w:r>
      <w:r w:rsidRPr="00DC2AB5">
        <w:rPr>
          <w:rFonts w:ascii="Times New Roman" w:hAnsi="Times New Roman" w:cs="Times New Roman"/>
          <w:b/>
          <w:sz w:val="24"/>
          <w:szCs w:val="24"/>
        </w:rPr>
        <w:t>Tamil Nadu coastal, India</w:t>
      </w:r>
    </w:p>
    <w:p w14:paraId="1F3AF0F9" w14:textId="77777777" w:rsidR="00806A1C" w:rsidRPr="00A80738" w:rsidRDefault="00806A1C" w:rsidP="00806A1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  <w:lang w:val="sv-SE"/>
        </w:rPr>
      </w:pPr>
      <w:r w:rsidRPr="00A80738">
        <w:rPr>
          <w:rFonts w:ascii="Times New Roman" w:hAnsi="Times New Roman" w:cs="Times New Roman"/>
          <w:b/>
          <w:sz w:val="24"/>
          <w:szCs w:val="24"/>
          <w:lang w:val="sv-SE"/>
        </w:rPr>
        <w:t>Nagarajan Dhanya</w:t>
      </w:r>
      <w:r w:rsidRPr="00A80738">
        <w:rPr>
          <w:rFonts w:ascii="Times New Roman" w:hAnsi="Times New Roman" w:cs="Times New Roman"/>
          <w:b/>
          <w:sz w:val="24"/>
          <w:szCs w:val="24"/>
          <w:vertAlign w:val="superscript"/>
          <w:lang w:val="sv-SE"/>
        </w:rPr>
        <w:t>1,2</w:t>
      </w:r>
      <w:r w:rsidRPr="00A80738">
        <w:rPr>
          <w:rFonts w:ascii="Times New Roman" w:hAnsi="Times New Roman" w:cs="Times New Roman"/>
          <w:b/>
          <w:sz w:val="24"/>
          <w:szCs w:val="24"/>
          <w:lang w:val="sv-SE"/>
        </w:rPr>
        <w:t xml:space="preserve">, </w:t>
      </w:r>
      <w:r w:rsidRPr="00081B56">
        <w:rPr>
          <w:rFonts w:ascii="Times New Roman" w:hAnsi="Times New Roman" w:cs="Times New Roman"/>
          <w:b/>
          <w:sz w:val="24"/>
          <w:szCs w:val="24"/>
          <w:lang w:val="sv-SE"/>
        </w:rPr>
        <w:t>Balakrishnan Prakriti</w:t>
      </w:r>
      <w:r w:rsidRPr="00A80738">
        <w:rPr>
          <w:rFonts w:ascii="Times New Roman" w:hAnsi="Times New Roman" w:cs="Times New Roman"/>
          <w:b/>
          <w:sz w:val="24"/>
          <w:szCs w:val="24"/>
          <w:vertAlign w:val="superscript"/>
          <w:lang w:val="sv-SE"/>
        </w:rPr>
        <w:t>1,2</w:t>
      </w:r>
      <w:r w:rsidRPr="00A80738">
        <w:rPr>
          <w:rFonts w:ascii="Times New Roman" w:hAnsi="Times New Roman" w:cs="Times New Roman"/>
          <w:b/>
          <w:sz w:val="24"/>
          <w:szCs w:val="24"/>
          <w:lang w:val="sv-SE"/>
        </w:rPr>
        <w:t>,</w:t>
      </w:r>
      <w:r>
        <w:rPr>
          <w:rFonts w:ascii="Times New Roman" w:hAnsi="Times New Roman" w:cs="Times New Roman"/>
          <w:b/>
          <w:sz w:val="24"/>
          <w:szCs w:val="24"/>
          <w:lang w:val="sv-SE"/>
        </w:rPr>
        <w:t xml:space="preserve"> </w:t>
      </w:r>
      <w:r w:rsidRPr="00A80738">
        <w:rPr>
          <w:rFonts w:ascii="Times New Roman" w:hAnsi="Times New Roman" w:cs="Times New Roman"/>
          <w:b/>
          <w:sz w:val="24"/>
          <w:szCs w:val="24"/>
          <w:lang w:val="sv-SE"/>
        </w:rPr>
        <w:t>Arup Ghosh</w:t>
      </w:r>
      <w:r w:rsidRPr="00A80738">
        <w:rPr>
          <w:rFonts w:ascii="Times New Roman" w:hAnsi="Times New Roman" w:cs="Times New Roman"/>
          <w:b/>
          <w:sz w:val="24"/>
          <w:szCs w:val="24"/>
          <w:vertAlign w:val="superscript"/>
          <w:lang w:val="sv-SE"/>
        </w:rPr>
        <w:t>2,3</w:t>
      </w:r>
      <w:r w:rsidRPr="00A80738">
        <w:rPr>
          <w:rFonts w:ascii="Times New Roman" w:hAnsi="Times New Roman" w:cs="Times New Roman"/>
          <w:b/>
          <w:sz w:val="24"/>
          <w:szCs w:val="24"/>
          <w:lang w:val="sv-SE"/>
        </w:rPr>
        <w:t>, Lakkakula Satish</w:t>
      </w:r>
      <w:r w:rsidRPr="00A80738">
        <w:rPr>
          <w:rFonts w:ascii="Times New Roman" w:hAnsi="Times New Roman" w:cs="Times New Roman"/>
          <w:b/>
          <w:sz w:val="24"/>
          <w:szCs w:val="24"/>
          <w:vertAlign w:val="superscript"/>
          <w:lang w:val="sv-SE"/>
        </w:rPr>
        <w:t>1,2</w:t>
      </w:r>
    </w:p>
    <w:p w14:paraId="333B33B6" w14:textId="77777777" w:rsidR="00806A1C" w:rsidRPr="00DC2AB5" w:rsidRDefault="00806A1C" w:rsidP="00806A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B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C2AB5">
        <w:rPr>
          <w:rFonts w:ascii="Times New Roman" w:hAnsi="Times New Roman" w:cs="Times New Roman"/>
          <w:sz w:val="24"/>
          <w:szCs w:val="24"/>
        </w:rPr>
        <w:t>Applied Phycology and Biotechnology Division, Marine Algal Research Station, Mandapam, CSIR - Central Salt and Marine Chemicals Research Institute, Tamil Nadu – 623519, India.</w:t>
      </w:r>
    </w:p>
    <w:p w14:paraId="013B89E3" w14:textId="77777777" w:rsidR="00806A1C" w:rsidRPr="00DC2AB5" w:rsidRDefault="00806A1C" w:rsidP="00806A1C">
      <w:pPr>
        <w:spacing w:before="20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2AB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C2AB5">
        <w:rPr>
          <w:rFonts w:ascii="Times New Roman" w:eastAsia="Times New Roman" w:hAnsi="Times New Roman" w:cs="Times New Roman"/>
          <w:sz w:val="24"/>
          <w:szCs w:val="24"/>
        </w:rPr>
        <w:t>Academy of Scientific and Innovative Research (AcSIR), Ghaziabad - 201002, India.</w:t>
      </w:r>
    </w:p>
    <w:p w14:paraId="642588DA" w14:textId="77777777" w:rsidR="00806A1C" w:rsidRPr="00DC2AB5" w:rsidRDefault="00806A1C" w:rsidP="00806A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BA8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C2AB5">
        <w:rPr>
          <w:rFonts w:ascii="Times New Roman" w:hAnsi="Times New Roman" w:cs="Times New Roman"/>
          <w:sz w:val="24"/>
          <w:szCs w:val="24"/>
        </w:rPr>
        <w:t>Applied Phycology and Biotechnology Division, CSIR-Central Salt &amp; Marine Chemicals Research Institute, Bhavnagar, 364002, Gujarat, India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0006AA" w14:textId="77777777" w:rsidR="00806A1C" w:rsidRDefault="00806A1C" w:rsidP="00806A1C">
      <w:pPr>
        <w:spacing w:before="200" w:line="480" w:lineRule="auto"/>
        <w:ind w:right="4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Correspondence: </w:t>
      </w:r>
      <w:hyperlink r:id="rId4" w:history="1">
        <w:r w:rsidRPr="00E05324">
          <w:rPr>
            <w:rStyle w:val="Hyperlink"/>
            <w:rFonts w:ascii="Times New Roman" w:eastAsia="Times New Roman" w:hAnsi="Times New Roman" w:cs="Times New Roman"/>
            <w:sz w:val="24"/>
            <w:szCs w:val="24"/>
            <w:highlight w:val="white"/>
          </w:rPr>
          <w:t>satishl.csmcri@csir.res.in</w:t>
        </w:r>
      </w:hyperlink>
    </w:p>
    <w:p w14:paraId="77216B30" w14:textId="464EBDAB" w:rsidR="00783C8A" w:rsidRDefault="00783C8A"/>
    <w:p w14:paraId="55CF19BE" w14:textId="051B78F3" w:rsidR="00806A1C" w:rsidRDefault="00806A1C"/>
    <w:p w14:paraId="09FBBD79" w14:textId="19A09178" w:rsidR="00806A1C" w:rsidRDefault="00806A1C"/>
    <w:p w14:paraId="3FF95926" w14:textId="5BDDD541" w:rsidR="00806A1C" w:rsidRDefault="00806A1C"/>
    <w:p w14:paraId="684AFF45" w14:textId="202FE00C" w:rsidR="00806A1C" w:rsidRDefault="00806A1C"/>
    <w:p w14:paraId="67B2E800" w14:textId="557B3851" w:rsidR="00806A1C" w:rsidRDefault="00806A1C"/>
    <w:p w14:paraId="732C5FFA" w14:textId="086AF0E3" w:rsidR="00806A1C" w:rsidRDefault="00806A1C"/>
    <w:p w14:paraId="09A7D9B5" w14:textId="0757B2CC" w:rsidR="00806A1C" w:rsidRDefault="00806A1C"/>
    <w:p w14:paraId="4A72FEDF" w14:textId="38A884C8" w:rsidR="00806A1C" w:rsidRDefault="00806A1C"/>
    <w:p w14:paraId="33FAC958" w14:textId="370B02E5" w:rsidR="00806A1C" w:rsidRDefault="00806A1C"/>
    <w:p w14:paraId="3C7AE16F" w14:textId="51273BC9" w:rsidR="00806A1C" w:rsidRDefault="00806A1C"/>
    <w:p w14:paraId="692D6D67" w14:textId="0ECAEB07" w:rsidR="00806A1C" w:rsidRDefault="00806A1C"/>
    <w:p w14:paraId="19A72085" w14:textId="3B9751E7" w:rsidR="00806A1C" w:rsidRDefault="00806A1C"/>
    <w:p w14:paraId="372DDE9D" w14:textId="75C202C0" w:rsidR="00806A1C" w:rsidRDefault="00806A1C"/>
    <w:p w14:paraId="2EF07829" w14:textId="5A3E92D6" w:rsidR="00806A1C" w:rsidRDefault="00806A1C"/>
    <w:p w14:paraId="609CC2BA" w14:textId="7D5AD96B" w:rsidR="00806A1C" w:rsidRDefault="00806A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figures</w:t>
      </w:r>
    </w:p>
    <w:p w14:paraId="2153DBE7" w14:textId="7DDB4DBF" w:rsidR="00806A1C" w:rsidRDefault="00806A1C" w:rsidP="00806A1C">
      <w:pPr>
        <w:jc w:val="center"/>
      </w:pPr>
      <w:r>
        <w:rPr>
          <w:noProof/>
        </w:rPr>
        <w:drawing>
          <wp:inline distT="0" distB="0" distL="0" distR="0" wp14:anchorId="6CE027DF" wp14:editId="1D288F17">
            <wp:extent cx="4426870" cy="6267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8584" cy="6269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4291B2" w14:textId="5E29BDA6" w:rsidR="00806A1C" w:rsidRPr="00806A1C" w:rsidRDefault="00806A1C" w:rsidP="00806A1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A1C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806A1C">
        <w:rPr>
          <w:rFonts w:ascii="Times New Roman" w:hAnsi="Times New Roman" w:cs="Times New Roman"/>
          <w:b/>
          <w:bCs/>
          <w:sz w:val="24"/>
          <w:szCs w:val="24"/>
        </w:rPr>
        <w:t xml:space="preserve"> 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6A1C">
        <w:rPr>
          <w:rFonts w:ascii="Times New Roman" w:hAnsi="Times New Roman" w:cs="Times New Roman"/>
          <w:sz w:val="24"/>
          <w:szCs w:val="24"/>
        </w:rPr>
        <w:t xml:space="preserve">Krona Chart.    Shows the percentage of the domain, phylum, class, order and genus lever diversity in each of the diseased and healthy </w:t>
      </w:r>
      <w:r w:rsidRPr="00806A1C">
        <w:rPr>
          <w:rFonts w:ascii="Times New Roman" w:hAnsi="Times New Roman" w:cs="Times New Roman"/>
          <w:i/>
          <w:iCs/>
          <w:sz w:val="24"/>
          <w:szCs w:val="24"/>
        </w:rPr>
        <w:t>K. alvarezii</w:t>
      </w:r>
      <w:r w:rsidRPr="00806A1C">
        <w:rPr>
          <w:rFonts w:ascii="Times New Roman" w:hAnsi="Times New Roman" w:cs="Times New Roman"/>
          <w:sz w:val="24"/>
          <w:szCs w:val="24"/>
        </w:rPr>
        <w:t xml:space="preserve"> samples from 5 different sites. a. Mangadu, b. soliyakudi, c. Nambuthalai, d. Jegathapattinam and e. Odavimadam. </w:t>
      </w:r>
      <w:r>
        <w:rPr>
          <w:rFonts w:ascii="Times New Roman" w:hAnsi="Times New Roman" w:cs="Times New Roman"/>
          <w:sz w:val="24"/>
          <w:szCs w:val="24"/>
        </w:rPr>
        <w:t>The</w:t>
      </w:r>
      <w:r w:rsidRPr="00806A1C">
        <w:rPr>
          <w:rFonts w:ascii="Times New Roman" w:hAnsi="Times New Roman" w:cs="Times New Roman"/>
          <w:sz w:val="24"/>
          <w:szCs w:val="24"/>
        </w:rPr>
        <w:t xml:space="preserve"> phylum Proteobacteria has the highest abundance in healthy (70-95%) and diseased (&lt;70%) </w:t>
      </w:r>
      <w:r w:rsidRPr="00806A1C">
        <w:rPr>
          <w:rFonts w:ascii="Times New Roman" w:hAnsi="Times New Roman" w:cs="Times New Roman"/>
          <w:sz w:val="24"/>
          <w:szCs w:val="24"/>
        </w:rPr>
        <w:lastRenderedPageBreak/>
        <w:t>samples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6A1C">
        <w:rPr>
          <w:rFonts w:ascii="Times New Roman" w:hAnsi="Times New Roman" w:cs="Times New Roman"/>
          <w:sz w:val="24"/>
          <w:szCs w:val="24"/>
        </w:rPr>
        <w:t xml:space="preserve"> followed by Firmicutes and Actinobacteria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06A1C">
        <w:rPr>
          <w:rFonts w:ascii="Times New Roman" w:hAnsi="Times New Roman" w:cs="Times New Roman"/>
          <w:sz w:val="24"/>
          <w:szCs w:val="24"/>
        </w:rPr>
        <w:t xml:space="preserve"> and the genus </w:t>
      </w:r>
      <w:r w:rsidRPr="00806A1C">
        <w:rPr>
          <w:rFonts w:ascii="Times New Roman" w:hAnsi="Times New Roman" w:cs="Times New Roman"/>
          <w:i/>
          <w:iCs/>
          <w:sz w:val="24"/>
          <w:szCs w:val="24"/>
        </w:rPr>
        <w:t>Cobetia</w:t>
      </w:r>
      <w:r w:rsidRPr="00806A1C">
        <w:rPr>
          <w:rFonts w:ascii="Times New Roman" w:hAnsi="Times New Roman" w:cs="Times New Roman"/>
          <w:sz w:val="24"/>
          <w:szCs w:val="24"/>
        </w:rPr>
        <w:t xml:space="preserve"> followed by </w:t>
      </w:r>
      <w:r w:rsidRPr="00806A1C">
        <w:rPr>
          <w:rFonts w:ascii="Times New Roman" w:hAnsi="Times New Roman" w:cs="Times New Roman"/>
          <w:i/>
          <w:iCs/>
          <w:sz w:val="24"/>
          <w:szCs w:val="24"/>
        </w:rPr>
        <w:t xml:space="preserve">Pseudoalteriomonas </w:t>
      </w:r>
      <w:r w:rsidRPr="00806A1C">
        <w:rPr>
          <w:rFonts w:ascii="Times New Roman" w:hAnsi="Times New Roman" w:cs="Times New Roman"/>
          <w:sz w:val="24"/>
          <w:szCs w:val="24"/>
        </w:rPr>
        <w:t>shows the highest abundance.</w:t>
      </w:r>
    </w:p>
    <w:sectPr w:rsidR="00806A1C" w:rsidRPr="00806A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8E2"/>
    <w:rsid w:val="001978E2"/>
    <w:rsid w:val="00783C8A"/>
    <w:rsid w:val="0080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C5E0D2"/>
  <w15:chartTrackingRefBased/>
  <w15:docId w15:val="{94CEAD26-47EA-4A60-8211-8226D7807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A1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6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satishl.csmcri@csir.res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159</Words>
  <Characters>1139</Characters>
  <Application>Microsoft Office Word</Application>
  <DocSecurity>0</DocSecurity>
  <Lines>34</Lines>
  <Paragraphs>9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2025-09-12T09:25:00Z</dcterms:created>
  <dcterms:modified xsi:type="dcterms:W3CDTF">2025-09-12T09:29:00Z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45d15295-d9c8-447d-8b31-569effef72f7</vt:lpwstr>
  </property>
</Properties>
</file>