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6316CF" w14:textId="50B8C960" w:rsidR="00E6054D" w:rsidRDefault="00E6054D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2A2B2E"/>
          <w:sz w:val="24"/>
          <w:szCs w:val="24"/>
          <w:shd w:val="clear" w:color="auto" w:fill="FFFFFF"/>
        </w:rPr>
        <w:drawing>
          <wp:inline distT="0" distB="0" distL="0" distR="0" wp14:anchorId="5C124D7A" wp14:editId="6A464DD3">
            <wp:extent cx="5274310" cy="4034155"/>
            <wp:effectExtent l="0" t="0" r="0" b="4445"/>
            <wp:docPr id="7180373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37399" name="图片 71803739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ED58C" w14:textId="77777777" w:rsidR="00E6054D" w:rsidRPr="00BA0CFC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0" w:name="OLE_LINK83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1.</w:t>
      </w:r>
      <w:bookmarkEnd w:id="0"/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 w:rsidRPr="00524272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Predict and validate the NLRP14 binding partners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a-h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bookmarkStart w:id="1" w:name="OLE_LINK107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AlphaFold3 p</w:t>
      </w:r>
      <w:r w:rsidRPr="004B7B34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redicted structural models</w:t>
      </w:r>
      <w:bookmarkEnd w:id="1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r w:rsidRPr="007A10D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PAE (predicted aligned error)</w:t>
      </w:r>
      <w:r w:rsidRPr="004B7B34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and </w:t>
      </w:r>
      <w:proofErr w:type="spellStart"/>
      <w:r w:rsidRPr="007A10D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pTM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/</w:t>
      </w:r>
      <w:proofErr w:type="spellStart"/>
      <w:r w:rsidRPr="007A10D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ipTM</w:t>
      </w:r>
      <w:proofErr w:type="spellEnd"/>
      <w:r w:rsidRPr="007A10D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scores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4B7B34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of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NLRP14 and </w:t>
      </w:r>
      <w:bookmarkStart w:id="2" w:name="OLE_LINK78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MTDN (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)/CUX1 (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)/KDM2A (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f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)/UHRF1</w:t>
      </w:r>
      <w:bookmarkEnd w:id="2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(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g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h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). PAE </w:t>
      </w:r>
      <w:r w:rsidRPr="000F1BF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estimate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s</w:t>
      </w:r>
      <w:r w:rsidRPr="000F1BF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of the error in the relative position and orientation between two tokens in the predicted structure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and h</w:t>
      </w:r>
      <w:r w:rsidRPr="000F1BF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igher values indicate higher predicted error and therefore lower confidence.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In the 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structral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models, NLRP14 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is </w:t>
      </w:r>
      <w:r w:rsidRPr="00D93BD5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shown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in purple, and MTDN /CUX1/KDM2A/UHRF1 are shown in yellow/blue/pink/green. </w:t>
      </w:r>
      <w:proofErr w:type="spellStart"/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i</w:t>
      </w:r>
      <w:proofErr w:type="spellEnd"/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The input of the pull-down assay between mouse NLRP14 and MTDN/CUX1/KDM2A/UHRF1. Mouse NLRP14 was cotransfected with mouse MTDN/CUX1/KDM2A/UHRF1 into HEK293F cells, and the input (cell lysate) was immunoblotted </w:t>
      </w:r>
      <w:bookmarkStart w:id="3" w:name="OLE_LINK90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with antibodies against the Flag tag and the Strep tag.</w:t>
      </w:r>
      <w:bookmarkEnd w:id="3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DC007E"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The stars (</w:t>
      </w:r>
      <w:r w:rsidRPr="00DC007E"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★</w:t>
      </w:r>
      <w:r w:rsidRPr="00DC007E"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) indicate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the position of the 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target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protein.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j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</w:t>
      </w:r>
      <w:bookmarkStart w:id="4" w:name="OLE_LINK81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Interaction between NLRP14 and KDM2A was confirmed by Flag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-ta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g pull-down assay. Flag-tagged NLRP14 was cotransfected with Strep-tagged KDM2A into HEK293F cells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504DE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The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samples</w:t>
      </w:r>
      <w:r w:rsidRPr="00504DE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in cell lysates (input) or after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pull-down </w:t>
      </w:r>
      <w:r w:rsidRPr="00504DE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were subjected to immunoblotting with the antibodies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504DE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to the indicated protein tags.</w:t>
      </w:r>
      <w:bookmarkEnd w:id="4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k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Interaction between NLRP14 and UHRF1 was confirmed by Strep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-ta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g pull-down assay. Strep-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lastRenderedPageBreak/>
        <w:t>tagged NLRP14 was cotransfected with Flag-tagged KDM2A into HEK293F cells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504DE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The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samples</w:t>
      </w:r>
      <w:r w:rsidRPr="00504DE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in cell lysates (input) or after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pull-down </w:t>
      </w:r>
      <w:r w:rsidRPr="00504DE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were subjected to immunoblotting with the antibodies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504DE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to the indicated protein tags.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(</w:t>
      </w:r>
      <w:proofErr w:type="spellStart"/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i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k</w:t>
      </w:r>
      <w:r w:rsidRPr="00BA0CF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)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B25E20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Three biological replicates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</w:t>
      </w:r>
    </w:p>
    <w:p w14:paraId="7703273C" w14:textId="6D1FF6D4" w:rsidR="00E6054D" w:rsidRDefault="00E6054D">
      <w:pPr>
        <w:widowControl/>
        <w:jc w:val="left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br w:type="page"/>
      </w:r>
    </w:p>
    <w:p w14:paraId="7E4D216B" w14:textId="3939BFB3" w:rsidR="00E6054D" w:rsidRPr="00B25E20" w:rsidRDefault="008E13C5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777BF9D6" wp14:editId="0AA55C10">
            <wp:extent cx="5187950" cy="8863330"/>
            <wp:effectExtent l="0" t="0" r="6350" b="1270"/>
            <wp:docPr id="3822340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234088" name="图片 38223408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51EA9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5" w:name="OLE_LINK88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lastRenderedPageBreak/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2. </w:t>
      </w:r>
      <w:r w:rsidRPr="002B030D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The conversed interaction between KDM2A/2B and NLRP14 in mouse and human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.</w:t>
      </w:r>
    </w:p>
    <w:p w14:paraId="12760899" w14:textId="77777777" w:rsidR="00E6054D" w:rsidRPr="00756812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6" w:name="OLE_LINK89"/>
      <w:bookmarkEnd w:id="5"/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Sequence alignment of mouse KDM2A and mouse KDM2B. </w:t>
      </w:r>
      <w:bookmarkStart w:id="7" w:name="OLE_LINK85"/>
      <w:r w:rsidRPr="002B030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 domains were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2B030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denoted with boxes</w:t>
      </w:r>
      <w:bookmarkEnd w:id="6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</w:t>
      </w:r>
      <w:bookmarkEnd w:id="7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and a</w:t>
      </w:r>
      <w:r w:rsidRPr="0050746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mino acids mediating the interaction between 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NLRP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1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4</w:t>
      </w:r>
      <w:r w:rsidRPr="0050746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and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KDM2A</w:t>
      </w:r>
      <w:r w:rsidRPr="0050746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were</w:t>
      </w:r>
      <w:r w:rsidRPr="0050746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highlighted </w:t>
      </w:r>
      <w:r w:rsidRPr="0050746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in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yellow.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Sequence alignment of human NLRP14 and mouse NLRP14. </w:t>
      </w:r>
      <w:r w:rsidRPr="002B030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 domains were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2B030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denoted with boxes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 (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) Sequence alignment was performed using 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MultAlign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and visualized by 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ESPript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Interaction between mouse NLRP14 and mouse N-terminal KDM2A (815-1,161 aa)/KDM2B (942-1,312 aa) was confirmed by immunoprecipitation. Mouse KDM2A or KDM2B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was cotransfected with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mouse NLRP14 into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HEK293F cells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 proteins in cell lysates (input) or after IP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with anti-Flag affinity gel were subjected to immunoblotting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Interaction between human NLRP14 and human N-terminal KDM2A (815-1,162 aa)/KDM2B (966-1,336 aa) was confirmed by immunoprecipitation. human KDM2A or KDM2B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was cotransfected with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human NLRP14 into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HEK293F cells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 proteins in cell lysates (input) or after IP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with anti-Flag affinity gel were subjected to immunoblotting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 (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)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Three biological replicates.</w:t>
      </w:r>
    </w:p>
    <w:p w14:paraId="553488D5" w14:textId="5642C9DF" w:rsidR="00E6054D" w:rsidRDefault="00E6054D">
      <w:pPr>
        <w:widowControl/>
        <w:jc w:val="left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br w:type="page"/>
      </w:r>
    </w:p>
    <w:p w14:paraId="5B47613A" w14:textId="3A6D4F16" w:rsidR="00E6054D" w:rsidRDefault="008E13C5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0E7FD52A" wp14:editId="678C40F8">
            <wp:extent cx="5274310" cy="4585335"/>
            <wp:effectExtent l="0" t="0" r="0" b="0"/>
            <wp:docPr id="11563153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315393" name="图片 115631539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23682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8" w:name="OLE_LINK96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3. </w:t>
      </w:r>
      <w:r w:rsidRPr="00A354E2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The Conservative interaction between UHRF1 and NLRP14 in mouse and human</w:t>
      </w:r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.</w:t>
      </w:r>
      <w:bookmarkEnd w:id="8"/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</w:t>
      </w:r>
    </w:p>
    <w:p w14:paraId="47A1FEFB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Sequence alignment of 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human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UHRF1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and mouse UHRF1. The domains were denoted with boxes.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Pull-down assay to determine the interaction between human NLRP14 and human UHRF1 in HEK293F cells. Human Strep-tagged NLRP14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was cotransfected with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human Flag-tagged UHRF1 into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HEK293F cells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The proteins in cell lysates (input) or after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pull-down 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with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Strep beads</w:t>
      </w:r>
      <w:r w:rsidRPr="0075681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were subjected to immunoblotting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with antibodies against target tags.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Mouse and h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uman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UHRF1 domain schematic illustration.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Domain mapping of the interaction of mouse UHRF1 with mouse NLRP14. The GST-tagged truncated versions of mouse UHRF1 and Flag-tagged NLRP14 were 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coexpressed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in HEK293F cells, and the cell lysates (input) were pulled down with Strep-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Tactin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resin. The input and pull-down samples were subjected to immunoblotting.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Domain mapping of the interaction of human UHRF1 with human NLRP14. The pull-down samples and inputs were analyzed by immunoblotting.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lastRenderedPageBreak/>
        <w:t>(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) </w:t>
      </w:r>
      <w:r w:rsidRPr="00D923C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Three biologically independent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D923C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experiments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</w:t>
      </w:r>
    </w:p>
    <w:p w14:paraId="2CBFB049" w14:textId="107A8010" w:rsidR="008E13C5" w:rsidRDefault="008E13C5">
      <w:pPr>
        <w:widowControl/>
        <w:jc w:val="left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br w:type="page"/>
      </w:r>
    </w:p>
    <w:p w14:paraId="468FB131" w14:textId="472A2FA7" w:rsidR="00E6054D" w:rsidRDefault="008E13C5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3872E75F" wp14:editId="39E6BEF7">
            <wp:extent cx="5274310" cy="2730500"/>
            <wp:effectExtent l="0" t="0" r="0" b="0"/>
            <wp:docPr id="7473314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331453" name="图片 74733145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B6D6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9" w:name="OLE_LINK116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</w:t>
      </w:r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4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. </w:t>
      </w:r>
      <w:bookmarkStart w:id="10" w:name="OLE_LINK97"/>
      <w:r w:rsidRPr="00810C13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NLRP14 deficiency results in reduced levels of H3K36me2 in GV oocytes.</w:t>
      </w:r>
    </w:p>
    <w:bookmarkEnd w:id="9"/>
    <w:bookmarkEnd w:id="10"/>
    <w:p w14:paraId="71A5132B" w14:textId="77777777" w:rsidR="00E6054D" w:rsidRPr="008801EE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IF staining of KDM2A in the normal control and </w:t>
      </w:r>
      <w:r>
        <w:rPr>
          <w:rFonts w:ascii="Times New Roman" w:hAnsi="Times New Roman"/>
          <w:i/>
          <w:iCs/>
          <w:color w:val="2A2B2E"/>
          <w:sz w:val="24"/>
          <w:szCs w:val="24"/>
          <w:shd w:val="clear" w:color="auto" w:fill="FFFFFF"/>
        </w:rPr>
        <w:t>Nlrp14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perscript"/>
        </w:rPr>
        <w:t>null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bookmarkStart w:id="11" w:name="OLE_LINK99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GV oocytes,</w:t>
      </w:r>
      <w:r w:rsidRPr="00133815">
        <w:t xml:space="preserve"> </w:t>
      </w:r>
      <w:r w:rsidRPr="00133815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depicting the SN and NSN configurations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.</w:t>
      </w:r>
      <w:bookmarkEnd w:id="11"/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bookmarkStart w:id="12" w:name="OLE_LINK102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Scale bar, 10 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μm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</w:t>
      </w:r>
      <w:bookmarkEnd w:id="12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bookmarkStart w:id="13" w:name="OLE_LINK103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Quantification of</w:t>
      </w:r>
      <w:bookmarkEnd w:id="13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the </w:t>
      </w:r>
      <w:bookmarkStart w:id="14" w:name="OLE_LINK104"/>
      <w:r w:rsidRPr="008801E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Nuclear-to-Cytoplasmic (N/C)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relative f</w:t>
      </w:r>
      <w:r w:rsidRPr="008801E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luorescence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i</w:t>
      </w:r>
      <w:r w:rsidRPr="008801E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ntensity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r</w:t>
      </w:r>
      <w:r w:rsidRPr="008801E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atio</w:t>
      </w:r>
      <w:bookmarkEnd w:id="14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of KDM2A 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i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n the control and </w:t>
      </w:r>
      <w:r>
        <w:rPr>
          <w:rFonts w:ascii="Times New Roman" w:hAnsi="Times New Roman"/>
          <w:i/>
          <w:iCs/>
          <w:color w:val="2A2B2E"/>
          <w:sz w:val="24"/>
          <w:szCs w:val="24"/>
          <w:shd w:val="clear" w:color="auto" w:fill="FFFFFF"/>
        </w:rPr>
        <w:t>Nlrp14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perscript"/>
        </w:rPr>
        <w:t>null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GV oocytes,</w:t>
      </w:r>
      <w:r w:rsidRPr="00133815">
        <w:t xml:space="preserve"> </w:t>
      </w:r>
      <w:r w:rsidRPr="00133815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depicting the SN and NSN configurations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The data were normalized to the mean value of the control group.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bookmarkStart w:id="15" w:name="OLE_LINK100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IF staining of H3K36me2 in the normal control and </w:t>
      </w:r>
      <w:r>
        <w:rPr>
          <w:rFonts w:ascii="Times New Roman" w:hAnsi="Times New Roman"/>
          <w:i/>
          <w:iCs/>
          <w:color w:val="2A2B2E"/>
          <w:sz w:val="24"/>
          <w:szCs w:val="24"/>
          <w:shd w:val="clear" w:color="auto" w:fill="FFFFFF"/>
        </w:rPr>
        <w:t>Nlrp14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perscript"/>
        </w:rPr>
        <w:t>null</w:t>
      </w:r>
      <w:r w:rsidRPr="00BA0CF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mouse GV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oocytes</w:t>
      </w:r>
      <w:bookmarkEnd w:id="15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7B1E18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of the NSN type.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DNA was stained with DAPI.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Scale bar, 10 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μm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bookmarkStart w:id="16" w:name="OLE_LINK105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Quantification of the relative f</w:t>
      </w:r>
      <w:r w:rsidRPr="008801E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luorescence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i</w:t>
      </w:r>
      <w:r w:rsidRPr="008801E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ntensity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of H3K36me2 in the normal control and </w:t>
      </w:r>
      <w:r>
        <w:rPr>
          <w:rFonts w:ascii="Times New Roman" w:hAnsi="Times New Roman"/>
          <w:i/>
          <w:iCs/>
          <w:color w:val="2A2B2E"/>
          <w:sz w:val="24"/>
          <w:szCs w:val="24"/>
          <w:shd w:val="clear" w:color="auto" w:fill="FFFFFF"/>
        </w:rPr>
        <w:t>Nlrp14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perscript"/>
        </w:rPr>
        <w:t>null</w:t>
      </w:r>
      <w:r w:rsidRPr="00BA0CF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mouse GV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oocytes </w:t>
      </w:r>
      <w:r w:rsidRPr="007B1E18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of the NSN type.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 data were normalized to the mean value of the control group.</w:t>
      </w:r>
      <w:bookmarkEnd w:id="16"/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IF staining of H3K36me2 in the normal control and </w:t>
      </w:r>
      <w:r>
        <w:rPr>
          <w:rFonts w:ascii="Times New Roman" w:hAnsi="Times New Roman"/>
          <w:i/>
          <w:iCs/>
          <w:color w:val="2A2B2E"/>
          <w:sz w:val="24"/>
          <w:szCs w:val="24"/>
          <w:shd w:val="clear" w:color="auto" w:fill="FFFFFF"/>
        </w:rPr>
        <w:t>Nlrp14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perscript"/>
        </w:rPr>
        <w:t>null</w:t>
      </w:r>
      <w:r w:rsidRPr="00BA0CF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mouse GV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oocytes </w:t>
      </w:r>
      <w:r w:rsidRPr="007B1E18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of the SN type.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DNA was stained with DAPI.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Scale bar, 10 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μm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f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Quantification of the relative f</w:t>
      </w:r>
      <w:r w:rsidRPr="008801E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luorescence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i</w:t>
      </w:r>
      <w:r w:rsidRPr="008801EE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ntensity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of H3K36me2 in the normal control and </w:t>
      </w:r>
      <w:r>
        <w:rPr>
          <w:rFonts w:ascii="Times New Roman" w:hAnsi="Times New Roman"/>
          <w:i/>
          <w:iCs/>
          <w:color w:val="2A2B2E"/>
          <w:sz w:val="24"/>
          <w:szCs w:val="24"/>
          <w:shd w:val="clear" w:color="auto" w:fill="FFFFFF"/>
        </w:rPr>
        <w:t>Nlrp14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perscript"/>
        </w:rPr>
        <w:t>null</w:t>
      </w:r>
      <w:r w:rsidRPr="00BA0CF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mouse GV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oocytes </w:t>
      </w:r>
      <w:r w:rsidRPr="007B1E18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of the SN type.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 data were normalized to the mean value of the control group.</w:t>
      </w:r>
    </w:p>
    <w:p w14:paraId="64DD5A3F" w14:textId="7EDA7826" w:rsidR="008E13C5" w:rsidRDefault="008E13C5">
      <w:pPr>
        <w:widowControl/>
        <w:jc w:val="left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br w:type="page"/>
      </w:r>
    </w:p>
    <w:p w14:paraId="1E404524" w14:textId="3E408597" w:rsidR="00E6054D" w:rsidRDefault="008E13C5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4C51B6CA" wp14:editId="6DAA50B2">
            <wp:extent cx="5274310" cy="6892290"/>
            <wp:effectExtent l="0" t="0" r="0" b="3810"/>
            <wp:docPr id="8725915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591505" name="图片 8725915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05DF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17" w:name="OLE_LINK117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5. Flowchart of cryo-EM data processing for the mouse NLRP14-KDM2A-SKP1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  <w:vertAlign w:val="subscript"/>
        </w:rPr>
        <w:t xml:space="preserve">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complex.</w:t>
      </w:r>
    </w:p>
    <w:bookmarkEnd w:id="17"/>
    <w:p w14:paraId="05D9ED78" w14:textId="77777777" w:rsidR="00E6054D" w:rsidRPr="001A7B53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AlphaFold3 p</w:t>
      </w:r>
      <w:r w:rsidRPr="004B7B34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redicted structural models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of </w:t>
      </w:r>
      <w:bookmarkStart w:id="18" w:name="OLE_LINK114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mouse NLRP14-KDM2A complex</w:t>
      </w:r>
      <w:bookmarkEnd w:id="18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The interface and </w:t>
      </w:r>
      <w:r w:rsidRPr="00B93E1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re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gion</w:t>
      </w:r>
      <w:r w:rsidRPr="00B93E1B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involved in interactions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of NLRP14 and KDM2A are shown in pink and highlighted.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Reconstitution of the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mouse NLRP14-KDM2A-SKP1 complex. NLRP14, KDM2A and SKP1 were </w:t>
      </w:r>
      <w:proofErr w:type="spellStart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coexpressed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in HEK293F cells and purified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with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lastRenderedPageBreak/>
        <w:t>anti-Flag affinity gel. Purified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proteins were subjected to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SEC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(Superose 6 increase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10/300 GL)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and analyz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ed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by SDS-PAGE.</w:t>
      </w:r>
      <w:r w:rsidRPr="00C55952">
        <w:t xml:space="preserve"> </w:t>
      </w:r>
      <w:r w:rsidRPr="00C55952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n &gt; 3 biologically independent experiments were performed.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bookmarkStart w:id="19" w:name="OLE_LINK115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Workflow of the cryo-EM data processing of the monomer of mouse NLRP14-KDM2A complex. Details are described in the Methods section.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Gold-standard Fourier shell correlation (FSC) curve for the refined map of the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monomer of mouse NLRP14-KDM2A. e, </w:t>
      </w:r>
      <w:r w:rsidRPr="001A7B5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Particle angular distribution for the map of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monomer of mouse NLRP14-KDM2A</w:t>
      </w:r>
      <w:r w:rsidRPr="001A7B5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</w:t>
      </w:r>
      <w:bookmarkEnd w:id="19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f, Workflow of the cryo-EM data processing of the dimer of mouse NLRP14-KDM2A complex. Details are described in the Methods section.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g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Gold-standard Fourier shell correlation (FSC) curve for the refined map of the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monomer A of mouse NLRP14-KDM2A. </w:t>
      </w:r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h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r w:rsidRPr="001A7B5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Particle angular distribution for the map of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</w:t>
      </w:r>
      <w:r w:rsidRPr="001A7B5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monomer A of mouse NLRP14-KDM2A</w:t>
      </w:r>
      <w:r w:rsidRPr="001A7B5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proofErr w:type="spellStart"/>
      <w:r w:rsidRPr="00BA0CFC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i</w:t>
      </w:r>
      <w:proofErr w:type="spellEnd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Gold-standard Fourier shell correlation (FSC) curve for the refined map of the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monomer B of mouse NLRP14-KDM2A.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j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</w:t>
      </w:r>
      <w:r w:rsidRPr="001A7B5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Particle angular distribution for the map of </w:t>
      </w:r>
      <w:r w:rsidRPr="00931C2C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</w:t>
      </w:r>
      <w:r w:rsidRPr="001A7B5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monomer B of mouse NLRP14-KDM2A</w:t>
      </w:r>
      <w:r w:rsidRPr="001A7B53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.</w:t>
      </w:r>
    </w:p>
    <w:p w14:paraId="1477C394" w14:textId="7014D570" w:rsidR="008E13C5" w:rsidRDefault="008E13C5">
      <w:pPr>
        <w:widowControl/>
        <w:jc w:val="left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br w:type="page"/>
      </w:r>
    </w:p>
    <w:p w14:paraId="6A4D27B7" w14:textId="1D2D218A" w:rsidR="00E6054D" w:rsidRDefault="008E13C5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676C5B76" wp14:editId="79F2AB80">
            <wp:extent cx="5274310" cy="4011295"/>
            <wp:effectExtent l="0" t="0" r="0" b="1905"/>
            <wp:docPr id="14367036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0369" name="图片 1436703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B3F8" w14:textId="77777777" w:rsidR="00E6054D" w:rsidRDefault="00E6054D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bookmarkStart w:id="20" w:name="OLE_LINK122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6. Segmented map density of the mouse NLRP14-KDM2A-SKP1 complex.</w:t>
      </w:r>
    </w:p>
    <w:p w14:paraId="1D831B92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21" w:name="OLE_LINK157"/>
      <w:bookmarkEnd w:id="20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The atomic structures of the 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mouse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NLRP14-KDM2A-SKP1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bscript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complex were fitted into the cryo-EM map.</w:t>
      </w:r>
      <w:bookmarkEnd w:id="21"/>
    </w:p>
    <w:p w14:paraId="49C567C9" w14:textId="5AB7B28A" w:rsidR="008E13C5" w:rsidRDefault="008E13C5">
      <w:pPr>
        <w:widowControl/>
        <w:jc w:val="left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br w:type="page"/>
      </w:r>
    </w:p>
    <w:p w14:paraId="54494C0C" w14:textId="17EB7EFF" w:rsidR="00E6054D" w:rsidRDefault="008E13C5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4073B56F" wp14:editId="13C4A4CB">
            <wp:extent cx="4991100" cy="2971800"/>
            <wp:effectExtent l="0" t="0" r="0" b="0"/>
            <wp:docPr id="153909887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98873" name="图片 153909887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6941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22" w:name="OLE_LINK119"/>
      <w:bookmarkStart w:id="23" w:name="OLE_LINK118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7.</w:t>
      </w:r>
      <w:bookmarkEnd w:id="22"/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The dimerization of mouse </w:t>
      </w:r>
      <w:r w:rsidRPr="00810C13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NLRP14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-KDM2A-SKP1 complex</w:t>
      </w:r>
      <w:r w:rsidRPr="00810C13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.</w:t>
      </w:r>
    </w:p>
    <w:bookmarkEnd w:id="23"/>
    <w:p w14:paraId="5D71B748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 w:rsidRPr="00EC78DD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Superposition of monomer and dimer </w:t>
      </w:r>
      <w:bookmarkStart w:id="24" w:name="OLE_LINK158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NLRP14-KDM2A-SKP1</w:t>
      </w:r>
      <w:bookmarkEnd w:id="24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through NLRP14. Monomer complex is shown in light grey, and dimer NLRP14-KDM2A-SKP1 is colored as in Fig. 2h. </w:t>
      </w:r>
      <w:r w:rsidRPr="00EC78DD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Another view of </w:t>
      </w:r>
      <w:bookmarkStart w:id="25" w:name="OLE_LINK161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dimeric mouse </w:t>
      </w:r>
      <w:bookmarkStart w:id="26" w:name="OLE_LINK160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NLRP14-KDM2A-SKP1</w:t>
      </w:r>
      <w:bookmarkEnd w:id="25"/>
      <w:bookmarkEnd w:id="26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complex model.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c-d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Magnified view of the interface between two NLRP14-KDM2A-SKP1 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ternar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ies in the model. </w:t>
      </w:r>
      <w:r w:rsidRPr="00BF76E6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 residues involved in interactions are shown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Immunoblotting analysis of the pull-down assay for the mutations of the interface in dimeric NLRP14-KDM2A-SKP1. The denoted constructs were cotransfected into HEK293F cells, and the expressed proteins were purified by Flag gel and analyzed by immunoblotting. Three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biological replicates</w:t>
      </w:r>
      <w:r>
        <w:rPr>
          <w:rFonts w:ascii="Times New Roman" w:hAnsi="Times New Roman" w:hint="eastAsia"/>
          <w:color w:val="2A2B2E"/>
          <w:sz w:val="24"/>
          <w:szCs w:val="24"/>
          <w:shd w:val="clear" w:color="auto" w:fill="FFFFFF"/>
        </w:rPr>
        <w:t>.</w:t>
      </w:r>
    </w:p>
    <w:p w14:paraId="6E9128BC" w14:textId="449BC77F" w:rsidR="008E13C5" w:rsidRDefault="008E13C5">
      <w:pPr>
        <w:widowControl/>
        <w:jc w:val="left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br w:type="page"/>
      </w:r>
    </w:p>
    <w:p w14:paraId="27413E36" w14:textId="6B5E7C92" w:rsidR="00E6054D" w:rsidRPr="00BF76E6" w:rsidRDefault="008E13C5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22DDDA36" wp14:editId="2DA7A729">
            <wp:extent cx="5274119" cy="5957223"/>
            <wp:effectExtent l="0" t="0" r="0" b="0"/>
            <wp:docPr id="4228355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35512" name="图片 422835512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4" b="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57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49D7F" w14:textId="77777777" w:rsidR="00E6054D" w:rsidRDefault="00E6054D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bookmarkStart w:id="27" w:name="OLE_LINK120"/>
      <w:bookmarkStart w:id="28" w:name="OLE_LINK106"/>
      <w:bookmarkStart w:id="29" w:name="OLE_LINK123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8.</w:t>
      </w:r>
      <w:bookmarkEnd w:id="27"/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Flowchart of cryo-EM data processing for the hNLRP14-UBL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  <w:vertAlign w:val="subscript"/>
        </w:rPr>
        <w:t xml:space="preserve">hUHRF1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complex.</w:t>
      </w:r>
      <w:bookmarkEnd w:id="28"/>
    </w:p>
    <w:bookmarkEnd w:id="29"/>
    <w:p w14:paraId="64AAEBDF" w14:textId="77777777" w:rsidR="00E6054D" w:rsidRPr="00CF74BA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a,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Representative micrograph of the cryo-EM data collection. </w:t>
      </w:r>
      <w:r w:rsidRPr="00C55952">
        <w:rPr>
          <w:rFonts w:ascii="Times New Roman" w:hAnsi="Times New Roman"/>
          <w:b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Workflow of the cryo-EM data processing. Details are described in the Methods section. </w:t>
      </w:r>
      <w:r w:rsidRPr="00D7289E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, Representative micrograph of the 2D classification. </w:t>
      </w:r>
      <w:r w:rsidRPr="00D7289E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d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Particle angular distribution for the map of the hNLRP14-UBL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bscript"/>
        </w:rPr>
        <w:t>hUHRF1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complex. </w:t>
      </w:r>
      <w:r w:rsidRPr="00D7289E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e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FSC curve for the refined map of the hNLRP14-UBL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bscript"/>
        </w:rPr>
        <w:t>hUHRF1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complex.</w:t>
      </w:r>
    </w:p>
    <w:p w14:paraId="0C27C8F2" w14:textId="263F603B" w:rsidR="008E13C5" w:rsidRDefault="008E13C5">
      <w:pPr>
        <w:widowControl/>
        <w:jc w:val="left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br w:type="page"/>
      </w:r>
    </w:p>
    <w:p w14:paraId="685B7326" w14:textId="62E91F6B" w:rsidR="00E6054D" w:rsidRDefault="008E13C5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24672FD4" wp14:editId="6483C19E">
            <wp:extent cx="5274310" cy="3441065"/>
            <wp:effectExtent l="0" t="0" r="0" b="635"/>
            <wp:docPr id="8296366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636662" name="图片 8296366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493D9" w14:textId="77777777" w:rsidR="00E6054D" w:rsidRDefault="00E6054D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bookmarkStart w:id="30" w:name="OLE_LINK121"/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9. Segmented map density of the hNLRP14-UBL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  <w:vertAlign w:val="subscript"/>
        </w:rPr>
        <w:t xml:space="preserve">hUHRF1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complex.</w:t>
      </w:r>
    </w:p>
    <w:p w14:paraId="60B8E4EA" w14:textId="77777777" w:rsidR="00E6054D" w:rsidRPr="00CF74BA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bookmarkStart w:id="31" w:name="OLE_LINK156"/>
      <w:bookmarkEnd w:id="30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The atomic structures of the hNLRP14-UBL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bscript"/>
        </w:rPr>
        <w:t xml:space="preserve">hUHRF1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complex were fitted into the cryo-EM map.</w:t>
      </w:r>
      <w:bookmarkEnd w:id="31"/>
    </w:p>
    <w:p w14:paraId="3032D33B" w14:textId="25AA2710" w:rsidR="008E13C5" w:rsidRDefault="008E13C5">
      <w:pPr>
        <w:widowControl/>
        <w:jc w:val="left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br w:type="page"/>
      </w:r>
    </w:p>
    <w:p w14:paraId="0BA956B9" w14:textId="1008EBF3" w:rsidR="00E6054D" w:rsidRDefault="008E13C5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41507FD3" wp14:editId="0408E69D">
            <wp:extent cx="2882900" cy="1879600"/>
            <wp:effectExtent l="0" t="0" r="0" b="0"/>
            <wp:docPr id="176750357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503571" name="图片 17675035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3954" w14:textId="77777777" w:rsidR="00E6054D" w:rsidRDefault="00E6054D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10. Structure comparisons of UBL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  <w:vertAlign w:val="subscript"/>
        </w:rPr>
        <w:t>hUHRF1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and hNLRP14.</w:t>
      </w:r>
    </w:p>
    <w:p w14:paraId="704A1C83" w14:textId="77777777" w:rsidR="00E6054D" w:rsidRDefault="00E6054D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 w:rsidRPr="00184EE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Superposition of UBL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bscript"/>
        </w:rPr>
        <w:t xml:space="preserve">hUHRF1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apo (green, PDB:2FAZ) and UBL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bscript"/>
        </w:rPr>
        <w:t xml:space="preserve">hUHRF1 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in the NLRP14-UHRF1 complex (salmon</w:t>
      </w:r>
      <w:bookmarkStart w:id="32" w:name="OLE_LINK163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this study</w:t>
      </w:r>
      <w:bookmarkEnd w:id="32"/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), RMSD = 0.484 Å. </w:t>
      </w:r>
      <w:r w:rsidRPr="00CF74BA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Superposition of hNLRP14 in the NLRP14-UHRF1 complex (purple, this study) and mNLRP14 in the NLRP14-KDM2A-SKP1 complex (salmon, this study).</w:t>
      </w:r>
    </w:p>
    <w:p w14:paraId="6634B4FD" w14:textId="31969FEE" w:rsidR="008E13C5" w:rsidRDefault="008E13C5">
      <w:pPr>
        <w:widowControl/>
        <w:jc w:val="left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br w:type="page"/>
      </w:r>
    </w:p>
    <w:p w14:paraId="7A823C22" w14:textId="177DE84E" w:rsidR="00E6054D" w:rsidRDefault="00C74983" w:rsidP="00E6054D">
      <w:pPr>
        <w:spacing w:line="360" w:lineRule="auto"/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noProof/>
          <w:color w:val="2A2B2E"/>
          <w:sz w:val="24"/>
          <w:szCs w:val="24"/>
          <w:shd w:val="clear" w:color="auto" w:fill="FFFFFF"/>
        </w:rPr>
        <w:lastRenderedPageBreak/>
        <w:drawing>
          <wp:inline distT="0" distB="0" distL="0" distR="0" wp14:anchorId="28EF7257" wp14:editId="11588B2B">
            <wp:extent cx="4559300" cy="2171700"/>
            <wp:effectExtent l="0" t="0" r="0" b="0"/>
            <wp:docPr id="1195663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663874" name="图片 119566387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0413A" w14:textId="77777777" w:rsidR="00E6054D" w:rsidRDefault="00E6054D" w:rsidP="00E6054D">
      <w:pP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 w:hint="eastAsia"/>
          <w:b/>
          <w:bCs/>
          <w:color w:val="2A2B2E"/>
          <w:sz w:val="24"/>
          <w:szCs w:val="24"/>
          <w:shd w:val="clear" w:color="auto" w:fill="FFFFFF"/>
        </w:rPr>
        <w:t>Extended data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 xml:space="preserve"> Figure 11. Structure prediction of the human UBE2D2-UBL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  <w:vertAlign w:val="subscript"/>
        </w:rPr>
        <w:t xml:space="preserve">hUHRF1 </w:t>
      </w: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complex using AlphaFold 3.</w:t>
      </w:r>
    </w:p>
    <w:p w14:paraId="7DA31673" w14:textId="77777777" w:rsidR="00E6054D" w:rsidRDefault="00E6054D" w:rsidP="00E6054D">
      <w:pPr>
        <w:spacing w:line="360" w:lineRule="auto"/>
        <w:rPr>
          <w:rFonts w:ascii="Times New Roman" w:hAnsi="Times New Roman"/>
          <w:color w:val="2A2B2E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a</w:t>
      </w:r>
      <w:r w:rsidRPr="00184EED"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 Prediction model of the UBL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bscript"/>
        </w:rPr>
        <w:t>hUHRF1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 xml:space="preserve">- UBE2D2 complex. </w:t>
      </w:r>
      <w:r w:rsidRPr="00184EED">
        <w:rPr>
          <w:rFonts w:ascii="Times New Roman" w:hAnsi="Times New Roman"/>
          <w:b/>
          <w:bCs/>
          <w:color w:val="2A2B2E"/>
          <w:sz w:val="24"/>
          <w:szCs w:val="24"/>
          <w:shd w:val="clear" w:color="auto" w:fill="FFFFFF"/>
        </w:rPr>
        <w:t>b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, Predicted aligned error (PAE) matrix of the UBL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  <w:vertAlign w:val="subscript"/>
        </w:rPr>
        <w:t>hUHRF1</w:t>
      </w:r>
      <w:r>
        <w:rPr>
          <w:rFonts w:ascii="Times New Roman" w:hAnsi="Times New Roman"/>
          <w:color w:val="2A2B2E"/>
          <w:sz w:val="24"/>
          <w:szCs w:val="24"/>
          <w:shd w:val="clear" w:color="auto" w:fill="FFFFFF"/>
        </w:rPr>
        <w:t>-UBE2D2 complex prediction.</w:t>
      </w:r>
    </w:p>
    <w:p w14:paraId="2D46A1D8" w14:textId="5AFAED85" w:rsidR="00C361A2" w:rsidRDefault="00C361A2">
      <w:pPr>
        <w:widowControl/>
        <w:jc w:val="left"/>
      </w:pPr>
      <w:r>
        <w:br w:type="page"/>
      </w:r>
    </w:p>
    <w:p w14:paraId="35837F88" w14:textId="60055630" w:rsidR="00C361A2" w:rsidRDefault="00C361A2" w:rsidP="00C361A2">
      <w:pPr>
        <w:rPr>
          <w:rFonts w:ascii="Times New Roman" w:hAnsi="Times New Roman"/>
          <w:b/>
          <w:bCs/>
          <w:color w:val="000000" w:themeColor="text1"/>
          <w:shd w:val="clear" w:color="auto" w:fill="FFFFFF"/>
        </w:rPr>
      </w:pPr>
      <w:r>
        <w:rPr>
          <w:rFonts w:ascii="Times New Roman" w:hAnsi="Times New Roman"/>
          <w:b/>
          <w:bCs/>
          <w:color w:val="000000" w:themeColor="text1"/>
        </w:rPr>
        <w:lastRenderedPageBreak/>
        <w:t xml:space="preserve">Extended Data </w:t>
      </w:r>
      <w:r>
        <w:rPr>
          <w:rFonts w:ascii="Times New Roman" w:hAnsi="Times New Roman"/>
          <w:b/>
          <w:bCs/>
          <w:color w:val="000000" w:themeColor="text1"/>
          <w:shd w:val="clear" w:color="auto" w:fill="FFFFFF"/>
        </w:rPr>
        <w:t xml:space="preserve">Table </w:t>
      </w:r>
      <w:r w:rsidR="00182333">
        <w:rPr>
          <w:rFonts w:ascii="Times New Roman" w:hAnsi="Times New Roman" w:hint="eastAsia"/>
          <w:b/>
          <w:bCs/>
          <w:color w:val="000000" w:themeColor="text1"/>
          <w:shd w:val="clear" w:color="auto" w:fill="FFFFFF"/>
        </w:rPr>
        <w:t>1</w:t>
      </w:r>
      <w:r>
        <w:rPr>
          <w:rFonts w:ascii="Times New Roman" w:hAnsi="Times New Roman"/>
          <w:b/>
          <w:bCs/>
          <w:color w:val="000000" w:themeColor="text1"/>
          <w:shd w:val="clear" w:color="auto" w:fill="FFFFFF"/>
        </w:rPr>
        <w:t xml:space="preserve">. </w:t>
      </w:r>
      <w:r>
        <w:rPr>
          <w:rFonts w:ascii="Times New Roman" w:hAnsi="Times New Roman"/>
          <w:b/>
          <w:bCs/>
          <w:color w:val="000000" w:themeColor="text1"/>
          <w:lang w:eastAsia="ja-JP"/>
        </w:rPr>
        <w:t>Cryo-EM data collection, refinement, and validation statistics</w:t>
      </w:r>
    </w:p>
    <w:tbl>
      <w:tblPr>
        <w:tblW w:w="9687" w:type="dxa"/>
        <w:tblInd w:w="-680" w:type="dxa"/>
        <w:tblBorders>
          <w:top w:val="single" w:sz="4" w:space="0" w:color="00B050"/>
          <w:bottom w:val="single" w:sz="4" w:space="0" w:color="00B050"/>
        </w:tblBorders>
        <w:tblLook w:val="04A0" w:firstRow="1" w:lastRow="0" w:firstColumn="1" w:lastColumn="0" w:noHBand="0" w:noVBand="1"/>
      </w:tblPr>
      <w:tblGrid>
        <w:gridCol w:w="2835"/>
        <w:gridCol w:w="2268"/>
        <w:gridCol w:w="2625"/>
        <w:gridCol w:w="69"/>
        <w:gridCol w:w="1699"/>
        <w:gridCol w:w="191"/>
      </w:tblGrid>
      <w:tr w:rsidR="005F3916" w:rsidRPr="00A378CE" w14:paraId="46C0CB68" w14:textId="77777777" w:rsidTr="005F3916">
        <w:trPr>
          <w:gridAfter w:val="1"/>
          <w:wAfter w:w="191" w:type="dxa"/>
          <w:trHeight w:val="848"/>
        </w:trPr>
        <w:tc>
          <w:tcPr>
            <w:tcW w:w="2835" w:type="dxa"/>
            <w:tcBorders>
              <w:top w:val="single" w:sz="4" w:space="0" w:color="000000"/>
              <w:bottom w:val="single" w:sz="4" w:space="0" w:color="000000"/>
            </w:tcBorders>
          </w:tcPr>
          <w:p w14:paraId="16DD3F59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 w14:paraId="40D40143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NLRP14-KDM2A-SKP1 </w:t>
            </w:r>
          </w:p>
          <w:p w14:paraId="20414F91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(EMD-</w:t>
            </w:r>
            <w:r w:rsidRPr="003513F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66204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04963A8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(PDB: </w:t>
            </w:r>
            <w:r w:rsidRPr="003513F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9WSR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12511B0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Dimer of NLRP14-KDM2A-SKP1 </w:t>
            </w:r>
          </w:p>
          <w:p w14:paraId="4C85986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(EMD-</w:t>
            </w:r>
            <w:r w:rsidRPr="003513F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66203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3C358E1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(PDB: </w:t>
            </w:r>
            <w:r w:rsidRPr="003513F2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9WSQ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699" w:type="dxa"/>
            <w:tcBorders>
              <w:top w:val="single" w:sz="4" w:space="0" w:color="000000"/>
              <w:bottom w:val="single" w:sz="4" w:space="0" w:color="000000"/>
            </w:tcBorders>
          </w:tcPr>
          <w:p w14:paraId="6D9942A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NLRP14-UHRF1</w:t>
            </w:r>
          </w:p>
          <w:p w14:paraId="2B9DE36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(EMD-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63227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)</w:t>
            </w:r>
          </w:p>
          <w:p w14:paraId="6329697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(PDB: 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</w:rPr>
              <w:t>9LN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6)</w:t>
            </w:r>
          </w:p>
        </w:tc>
      </w:tr>
      <w:tr w:rsidR="005F3916" w14:paraId="01893BD5" w14:textId="77777777" w:rsidTr="005F3916">
        <w:trPr>
          <w:trHeight w:val="233"/>
        </w:trPr>
        <w:tc>
          <w:tcPr>
            <w:tcW w:w="2835" w:type="dxa"/>
            <w:tcBorders>
              <w:top w:val="single" w:sz="4" w:space="0" w:color="000000"/>
            </w:tcBorders>
          </w:tcPr>
          <w:p w14:paraId="6D483D4E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Data collection and processing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 w14:paraId="0764C217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25" w:type="dxa"/>
            <w:tcBorders>
              <w:top w:val="single" w:sz="4" w:space="0" w:color="000000"/>
            </w:tcBorders>
          </w:tcPr>
          <w:p w14:paraId="3F769D49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59" w:type="dxa"/>
            <w:gridSpan w:val="3"/>
            <w:tcBorders>
              <w:top w:val="single" w:sz="4" w:space="0" w:color="000000"/>
            </w:tcBorders>
          </w:tcPr>
          <w:p w14:paraId="447CC473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5F3916" w14:paraId="58A18BBF" w14:textId="77777777" w:rsidTr="005F3916">
        <w:trPr>
          <w:trHeight w:val="233"/>
        </w:trPr>
        <w:tc>
          <w:tcPr>
            <w:tcW w:w="2835" w:type="dxa"/>
          </w:tcPr>
          <w:p w14:paraId="08C91BDF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Magnification   </w:t>
            </w:r>
          </w:p>
        </w:tc>
        <w:tc>
          <w:tcPr>
            <w:tcW w:w="2268" w:type="dxa"/>
          </w:tcPr>
          <w:p w14:paraId="263EE40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105,000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×</w:t>
            </w:r>
          </w:p>
        </w:tc>
        <w:tc>
          <w:tcPr>
            <w:tcW w:w="2625" w:type="dxa"/>
          </w:tcPr>
          <w:p w14:paraId="55BF81E1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105,000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×</w:t>
            </w:r>
          </w:p>
        </w:tc>
        <w:tc>
          <w:tcPr>
            <w:tcW w:w="1959" w:type="dxa"/>
            <w:gridSpan w:val="3"/>
          </w:tcPr>
          <w:p w14:paraId="2EE66AF2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130,000×</w:t>
            </w:r>
          </w:p>
        </w:tc>
      </w:tr>
      <w:tr w:rsidR="005F3916" w14:paraId="2FD4CEA9" w14:textId="77777777" w:rsidTr="005F3916">
        <w:trPr>
          <w:trHeight w:val="22"/>
        </w:trPr>
        <w:tc>
          <w:tcPr>
            <w:tcW w:w="2835" w:type="dxa"/>
          </w:tcPr>
          <w:p w14:paraId="487B0351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Voltage (kV)</w:t>
            </w:r>
          </w:p>
        </w:tc>
        <w:tc>
          <w:tcPr>
            <w:tcW w:w="2268" w:type="dxa"/>
          </w:tcPr>
          <w:p w14:paraId="323B079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300</w:t>
            </w:r>
          </w:p>
        </w:tc>
        <w:tc>
          <w:tcPr>
            <w:tcW w:w="2625" w:type="dxa"/>
          </w:tcPr>
          <w:p w14:paraId="1D9F7C3C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300</w:t>
            </w:r>
          </w:p>
        </w:tc>
        <w:tc>
          <w:tcPr>
            <w:tcW w:w="1959" w:type="dxa"/>
            <w:gridSpan w:val="3"/>
          </w:tcPr>
          <w:p w14:paraId="0A6DC2B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300</w:t>
            </w:r>
          </w:p>
        </w:tc>
      </w:tr>
      <w:tr w:rsidR="005F3916" w14:paraId="109C2F5C" w14:textId="77777777" w:rsidTr="005F3916">
        <w:trPr>
          <w:trHeight w:val="22"/>
        </w:trPr>
        <w:tc>
          <w:tcPr>
            <w:tcW w:w="2835" w:type="dxa"/>
          </w:tcPr>
          <w:p w14:paraId="120908DB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Electron exposure (e–/Å2)</w:t>
            </w:r>
          </w:p>
        </w:tc>
        <w:tc>
          <w:tcPr>
            <w:tcW w:w="2268" w:type="dxa"/>
          </w:tcPr>
          <w:p w14:paraId="7FA57CC4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55.225</w:t>
            </w:r>
          </w:p>
        </w:tc>
        <w:tc>
          <w:tcPr>
            <w:tcW w:w="2625" w:type="dxa"/>
          </w:tcPr>
          <w:p w14:paraId="0AB068C9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53.633</w:t>
            </w:r>
          </w:p>
        </w:tc>
        <w:tc>
          <w:tcPr>
            <w:tcW w:w="1959" w:type="dxa"/>
            <w:gridSpan w:val="3"/>
          </w:tcPr>
          <w:p w14:paraId="2CB0AAF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51.336</w:t>
            </w:r>
          </w:p>
        </w:tc>
      </w:tr>
      <w:tr w:rsidR="005F3916" w14:paraId="446970A1" w14:textId="77777777" w:rsidTr="005F3916">
        <w:trPr>
          <w:trHeight w:val="22"/>
        </w:trPr>
        <w:tc>
          <w:tcPr>
            <w:tcW w:w="2835" w:type="dxa"/>
          </w:tcPr>
          <w:p w14:paraId="52D19D89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Defocus range (</w:t>
            </w:r>
            <w:proofErr w:type="spellStart"/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μm</w:t>
            </w:r>
            <w:proofErr w:type="spellEnd"/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2268" w:type="dxa"/>
          </w:tcPr>
          <w:p w14:paraId="4E9564B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-1.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~-1.8</w:t>
            </w:r>
          </w:p>
        </w:tc>
        <w:tc>
          <w:tcPr>
            <w:tcW w:w="2625" w:type="dxa"/>
          </w:tcPr>
          <w:p w14:paraId="54449E8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-1.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2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~-1.8</w:t>
            </w:r>
          </w:p>
        </w:tc>
        <w:tc>
          <w:tcPr>
            <w:tcW w:w="1959" w:type="dxa"/>
            <w:gridSpan w:val="3"/>
          </w:tcPr>
          <w:p w14:paraId="6783BFF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-1.1~-1.8</w:t>
            </w:r>
          </w:p>
        </w:tc>
      </w:tr>
      <w:tr w:rsidR="005F3916" w14:paraId="5B878694" w14:textId="77777777" w:rsidTr="005F3916">
        <w:trPr>
          <w:trHeight w:val="22"/>
        </w:trPr>
        <w:tc>
          <w:tcPr>
            <w:tcW w:w="2835" w:type="dxa"/>
          </w:tcPr>
          <w:p w14:paraId="1C12A5E9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Pixel size (Å)</w:t>
            </w:r>
          </w:p>
        </w:tc>
        <w:tc>
          <w:tcPr>
            <w:tcW w:w="2268" w:type="dxa"/>
          </w:tcPr>
          <w:p w14:paraId="127391D2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0.85</w:t>
            </w:r>
          </w:p>
        </w:tc>
        <w:tc>
          <w:tcPr>
            <w:tcW w:w="2625" w:type="dxa"/>
          </w:tcPr>
          <w:p w14:paraId="76ADE546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0.85</w:t>
            </w:r>
          </w:p>
        </w:tc>
        <w:tc>
          <w:tcPr>
            <w:tcW w:w="1959" w:type="dxa"/>
            <w:gridSpan w:val="3"/>
          </w:tcPr>
          <w:p w14:paraId="0841B348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1.1</w:t>
            </w:r>
          </w:p>
        </w:tc>
      </w:tr>
      <w:tr w:rsidR="005F3916" w14:paraId="2FFDEC71" w14:textId="77777777" w:rsidTr="005F3916">
        <w:trPr>
          <w:trHeight w:val="22"/>
        </w:trPr>
        <w:tc>
          <w:tcPr>
            <w:tcW w:w="2835" w:type="dxa"/>
          </w:tcPr>
          <w:p w14:paraId="7942C928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Symmetry imposed</w:t>
            </w:r>
          </w:p>
        </w:tc>
        <w:tc>
          <w:tcPr>
            <w:tcW w:w="2268" w:type="dxa"/>
          </w:tcPr>
          <w:p w14:paraId="122C0B3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C1</w:t>
            </w:r>
          </w:p>
        </w:tc>
        <w:tc>
          <w:tcPr>
            <w:tcW w:w="2625" w:type="dxa"/>
          </w:tcPr>
          <w:p w14:paraId="3EB7881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C1</w:t>
            </w:r>
          </w:p>
        </w:tc>
        <w:tc>
          <w:tcPr>
            <w:tcW w:w="1959" w:type="dxa"/>
            <w:gridSpan w:val="3"/>
          </w:tcPr>
          <w:p w14:paraId="21ED846C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C1</w:t>
            </w:r>
          </w:p>
        </w:tc>
      </w:tr>
      <w:tr w:rsidR="005F3916" w14:paraId="5E952E5D" w14:textId="77777777" w:rsidTr="005F3916">
        <w:trPr>
          <w:trHeight w:val="22"/>
        </w:trPr>
        <w:tc>
          <w:tcPr>
            <w:tcW w:w="2835" w:type="dxa"/>
          </w:tcPr>
          <w:p w14:paraId="3B647049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Initial particle images (no.)</w:t>
            </w:r>
          </w:p>
        </w:tc>
        <w:tc>
          <w:tcPr>
            <w:tcW w:w="2268" w:type="dxa"/>
          </w:tcPr>
          <w:p w14:paraId="17347411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6,312,912</w:t>
            </w:r>
          </w:p>
        </w:tc>
        <w:tc>
          <w:tcPr>
            <w:tcW w:w="2625" w:type="dxa"/>
          </w:tcPr>
          <w:p w14:paraId="525577F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4,577,153</w:t>
            </w:r>
          </w:p>
        </w:tc>
        <w:tc>
          <w:tcPr>
            <w:tcW w:w="1959" w:type="dxa"/>
            <w:gridSpan w:val="3"/>
          </w:tcPr>
          <w:p w14:paraId="33E7CC4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, 111, 107</w:t>
            </w:r>
          </w:p>
        </w:tc>
      </w:tr>
      <w:tr w:rsidR="005F3916" w14:paraId="7CC9F143" w14:textId="77777777" w:rsidTr="005F3916">
        <w:trPr>
          <w:trHeight w:val="22"/>
        </w:trPr>
        <w:tc>
          <w:tcPr>
            <w:tcW w:w="2835" w:type="dxa"/>
          </w:tcPr>
          <w:p w14:paraId="1C208CD0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Final particle images (no.)</w:t>
            </w:r>
          </w:p>
        </w:tc>
        <w:tc>
          <w:tcPr>
            <w:tcW w:w="2268" w:type="dxa"/>
          </w:tcPr>
          <w:p w14:paraId="27C6D80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293,321</w:t>
            </w:r>
          </w:p>
        </w:tc>
        <w:tc>
          <w:tcPr>
            <w:tcW w:w="2625" w:type="dxa"/>
          </w:tcPr>
          <w:p w14:paraId="125AAE42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bookmarkStart w:id="33" w:name="OLE_LINK151"/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49,652</w:t>
            </w:r>
            <w:bookmarkEnd w:id="33"/>
          </w:p>
        </w:tc>
        <w:tc>
          <w:tcPr>
            <w:tcW w:w="1959" w:type="dxa"/>
            <w:gridSpan w:val="3"/>
          </w:tcPr>
          <w:p w14:paraId="3BDBDD6A" w14:textId="77777777" w:rsidR="005F3916" w:rsidRDefault="005F3916" w:rsidP="00EA4932">
            <w:pP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73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,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160</w:t>
            </w:r>
          </w:p>
        </w:tc>
      </w:tr>
      <w:tr w:rsidR="005F3916" w14:paraId="30C03979" w14:textId="77777777" w:rsidTr="005F3916">
        <w:trPr>
          <w:trHeight w:val="22"/>
        </w:trPr>
        <w:tc>
          <w:tcPr>
            <w:tcW w:w="2835" w:type="dxa"/>
          </w:tcPr>
          <w:p w14:paraId="6A399BA9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Map resolution (Å)</w:t>
            </w:r>
          </w:p>
        </w:tc>
        <w:tc>
          <w:tcPr>
            <w:tcW w:w="2268" w:type="dxa"/>
          </w:tcPr>
          <w:p w14:paraId="3F159A0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bookmarkStart w:id="34" w:name="OLE_LINK136"/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2.79</w:t>
            </w:r>
            <w:bookmarkEnd w:id="34"/>
          </w:p>
        </w:tc>
        <w:tc>
          <w:tcPr>
            <w:tcW w:w="2625" w:type="dxa"/>
          </w:tcPr>
          <w:p w14:paraId="3AC3E7F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3.3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5/3.22</w:t>
            </w:r>
          </w:p>
        </w:tc>
        <w:tc>
          <w:tcPr>
            <w:tcW w:w="1959" w:type="dxa"/>
            <w:gridSpan w:val="3"/>
          </w:tcPr>
          <w:p w14:paraId="08A80479" w14:textId="77777777" w:rsidR="005F3916" w:rsidRPr="00182400" w:rsidRDefault="005F3916" w:rsidP="00EA4932">
            <w:pPr>
              <w:rPr>
                <w:rFonts w:ascii="Times New Roman" w:hAnsi="Times New Roman"/>
                <w:color w:val="EE0000"/>
                <w:sz w:val="20"/>
                <w:szCs w:val="20"/>
                <w:shd w:val="clear" w:color="auto" w:fill="FFFFFF"/>
              </w:rPr>
            </w:pPr>
            <w:r w:rsidRPr="00D268A6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3.</w:t>
            </w:r>
            <w:r w:rsidRPr="00D268A6"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49</w:t>
            </w:r>
          </w:p>
        </w:tc>
      </w:tr>
      <w:tr w:rsidR="005F3916" w14:paraId="10A9C9B3" w14:textId="77777777" w:rsidTr="005F3916">
        <w:trPr>
          <w:trHeight w:val="22"/>
        </w:trPr>
        <w:tc>
          <w:tcPr>
            <w:tcW w:w="2835" w:type="dxa"/>
          </w:tcPr>
          <w:p w14:paraId="5969B48B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FSC threshold</w:t>
            </w:r>
          </w:p>
        </w:tc>
        <w:tc>
          <w:tcPr>
            <w:tcW w:w="2268" w:type="dxa"/>
          </w:tcPr>
          <w:p w14:paraId="47400D51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0.143</w:t>
            </w:r>
          </w:p>
        </w:tc>
        <w:tc>
          <w:tcPr>
            <w:tcW w:w="2625" w:type="dxa"/>
          </w:tcPr>
          <w:p w14:paraId="7F4BA793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0.143</w:t>
            </w:r>
          </w:p>
        </w:tc>
        <w:tc>
          <w:tcPr>
            <w:tcW w:w="1959" w:type="dxa"/>
            <w:gridSpan w:val="3"/>
          </w:tcPr>
          <w:p w14:paraId="1468B9B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0.143</w:t>
            </w:r>
          </w:p>
        </w:tc>
      </w:tr>
      <w:tr w:rsidR="005F3916" w14:paraId="3664B80E" w14:textId="77777777" w:rsidTr="005F3916">
        <w:trPr>
          <w:trHeight w:val="22"/>
        </w:trPr>
        <w:tc>
          <w:tcPr>
            <w:tcW w:w="2835" w:type="dxa"/>
          </w:tcPr>
          <w:p w14:paraId="5CAB832F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268" w:type="dxa"/>
          </w:tcPr>
          <w:p w14:paraId="3AD493E4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25" w:type="dxa"/>
          </w:tcPr>
          <w:p w14:paraId="083A684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59" w:type="dxa"/>
            <w:gridSpan w:val="3"/>
          </w:tcPr>
          <w:p w14:paraId="43BFF69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5F3916" w14:paraId="14B378E6" w14:textId="77777777" w:rsidTr="005F3916">
        <w:trPr>
          <w:trHeight w:val="233"/>
        </w:trPr>
        <w:tc>
          <w:tcPr>
            <w:tcW w:w="2835" w:type="dxa"/>
          </w:tcPr>
          <w:p w14:paraId="50F5D4D1" w14:textId="77777777" w:rsidR="005F3916" w:rsidRPr="00FC097D" w:rsidRDefault="005F3916" w:rsidP="00EA4932">
            <w:pPr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Refinement</w:t>
            </w:r>
          </w:p>
        </w:tc>
        <w:tc>
          <w:tcPr>
            <w:tcW w:w="2268" w:type="dxa"/>
          </w:tcPr>
          <w:p w14:paraId="01F226B4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25" w:type="dxa"/>
          </w:tcPr>
          <w:p w14:paraId="41C37386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959" w:type="dxa"/>
            <w:gridSpan w:val="3"/>
          </w:tcPr>
          <w:p w14:paraId="0233B50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5F3916" w14:paraId="1A09FBC2" w14:textId="77777777" w:rsidTr="005F3916">
        <w:trPr>
          <w:trHeight w:val="700"/>
        </w:trPr>
        <w:tc>
          <w:tcPr>
            <w:tcW w:w="2835" w:type="dxa"/>
          </w:tcPr>
          <w:p w14:paraId="4431D65D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Initial model used (PDB code)</w:t>
            </w:r>
          </w:p>
        </w:tc>
        <w:tc>
          <w:tcPr>
            <w:tcW w:w="2268" w:type="dxa"/>
          </w:tcPr>
          <w:p w14:paraId="46F99137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AlphaFoldDB: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44081A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Q6B966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</w:t>
            </w:r>
            <w:r w:rsidRPr="0044081A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P59997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and </w:t>
            </w:r>
            <w:r w:rsidRPr="0044081A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Q9WTX5</w:t>
            </w:r>
          </w:p>
        </w:tc>
        <w:tc>
          <w:tcPr>
            <w:tcW w:w="2625" w:type="dxa"/>
          </w:tcPr>
          <w:p w14:paraId="6F44C63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AlphaFoldDB:</w:t>
            </w: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44081A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Q6B966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</w:t>
            </w:r>
            <w:r w:rsidRPr="0044081A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P59997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, and </w:t>
            </w:r>
            <w:r w:rsidRPr="0044081A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Q9WTX5</w:t>
            </w:r>
          </w:p>
        </w:tc>
        <w:tc>
          <w:tcPr>
            <w:tcW w:w="1959" w:type="dxa"/>
            <w:gridSpan w:val="3"/>
          </w:tcPr>
          <w:p w14:paraId="3C761B81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bookmarkStart w:id="35" w:name="OLE_LINK3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AlphaFoldDB:</w:t>
            </w:r>
            <w:bookmarkEnd w:id="35"/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 xml:space="preserve"> Q86W24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and Q96T88</w:t>
            </w:r>
          </w:p>
        </w:tc>
      </w:tr>
      <w:tr w:rsidR="005F3916" w14:paraId="18E13915" w14:textId="77777777" w:rsidTr="005F3916">
        <w:trPr>
          <w:trHeight w:val="233"/>
        </w:trPr>
        <w:tc>
          <w:tcPr>
            <w:tcW w:w="2835" w:type="dxa"/>
          </w:tcPr>
          <w:p w14:paraId="0C0BF76E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Model resolution (Å)</w:t>
            </w:r>
          </w:p>
        </w:tc>
        <w:tc>
          <w:tcPr>
            <w:tcW w:w="2268" w:type="dxa"/>
          </w:tcPr>
          <w:p w14:paraId="421FE20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2.8/3.1</w:t>
            </w:r>
          </w:p>
        </w:tc>
        <w:tc>
          <w:tcPr>
            <w:tcW w:w="2625" w:type="dxa"/>
          </w:tcPr>
          <w:p w14:paraId="5C2FAAD8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3.1/3.6</w:t>
            </w:r>
          </w:p>
        </w:tc>
        <w:tc>
          <w:tcPr>
            <w:tcW w:w="1959" w:type="dxa"/>
            <w:gridSpan w:val="3"/>
          </w:tcPr>
          <w:p w14:paraId="2BB9FB0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3.2</w:t>
            </w:r>
          </w:p>
        </w:tc>
      </w:tr>
      <w:tr w:rsidR="005F3916" w14:paraId="5A372B81" w14:textId="77777777" w:rsidTr="005F3916">
        <w:trPr>
          <w:trHeight w:val="233"/>
        </w:trPr>
        <w:tc>
          <w:tcPr>
            <w:tcW w:w="2835" w:type="dxa"/>
          </w:tcPr>
          <w:p w14:paraId="13578AD0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FSC threshold</w:t>
            </w:r>
          </w:p>
        </w:tc>
        <w:tc>
          <w:tcPr>
            <w:tcW w:w="2268" w:type="dxa"/>
          </w:tcPr>
          <w:p w14:paraId="2074F92C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0.143/0.5</w:t>
            </w:r>
          </w:p>
        </w:tc>
        <w:tc>
          <w:tcPr>
            <w:tcW w:w="2625" w:type="dxa"/>
          </w:tcPr>
          <w:p w14:paraId="4287DBE2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0.143/0.5</w:t>
            </w:r>
          </w:p>
        </w:tc>
        <w:tc>
          <w:tcPr>
            <w:tcW w:w="1959" w:type="dxa"/>
            <w:gridSpan w:val="3"/>
          </w:tcPr>
          <w:p w14:paraId="710B5134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0.143</w:t>
            </w:r>
          </w:p>
        </w:tc>
      </w:tr>
      <w:tr w:rsidR="005F3916" w14:paraId="2B817250" w14:textId="77777777" w:rsidTr="005F3916">
        <w:trPr>
          <w:trHeight w:val="233"/>
        </w:trPr>
        <w:tc>
          <w:tcPr>
            <w:tcW w:w="2835" w:type="dxa"/>
          </w:tcPr>
          <w:p w14:paraId="118CD832" w14:textId="77777777" w:rsidR="005F3916" w:rsidRPr="00FC097D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FC097D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Map sharpening B factor (Å2)</w:t>
            </w:r>
          </w:p>
        </w:tc>
        <w:tc>
          <w:tcPr>
            <w:tcW w:w="2268" w:type="dxa"/>
          </w:tcPr>
          <w:p w14:paraId="634EB1F4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116.1</w:t>
            </w:r>
          </w:p>
        </w:tc>
        <w:tc>
          <w:tcPr>
            <w:tcW w:w="2625" w:type="dxa"/>
          </w:tcPr>
          <w:p w14:paraId="5D0DDBE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3513F2">
              <w:rPr>
                <w:rFonts w:ascii="Times New Roman" w:hAnsi="Times New Roman" w:hint="eastAsia"/>
                <w:color w:val="000000" w:themeColor="text1"/>
                <w:sz w:val="20"/>
                <w:szCs w:val="20"/>
                <w:shd w:val="clear" w:color="auto" w:fill="FFFFFF"/>
              </w:rPr>
              <w:t>81.24</w:t>
            </w:r>
          </w:p>
        </w:tc>
        <w:tc>
          <w:tcPr>
            <w:tcW w:w="1959" w:type="dxa"/>
            <w:gridSpan w:val="3"/>
          </w:tcPr>
          <w:p w14:paraId="77B9BC8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79.9</w:t>
            </w:r>
          </w:p>
        </w:tc>
      </w:tr>
      <w:tr w:rsidR="005F3916" w14:paraId="3BE76120" w14:textId="77777777" w:rsidTr="005F3916">
        <w:trPr>
          <w:trHeight w:val="917"/>
        </w:trPr>
        <w:tc>
          <w:tcPr>
            <w:tcW w:w="2835" w:type="dxa"/>
          </w:tcPr>
          <w:p w14:paraId="200B2BA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>Model composition</w:t>
            </w:r>
          </w:p>
          <w:p w14:paraId="67955451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 xml:space="preserve">    Non-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>hydrogen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>atoms</w:t>
            </w:r>
            <w:proofErr w:type="spellEnd"/>
          </w:p>
          <w:p w14:paraId="66D0944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>Protein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>residues</w:t>
            </w:r>
            <w:proofErr w:type="spellEnd"/>
          </w:p>
          <w:p w14:paraId="6AD5FE86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val="fr-FR"/>
              </w:rPr>
              <w:t xml:space="preserve">   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Ligands</w:t>
            </w:r>
          </w:p>
        </w:tc>
        <w:tc>
          <w:tcPr>
            <w:tcW w:w="2268" w:type="dxa"/>
          </w:tcPr>
          <w:p w14:paraId="2E924F7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3E007582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9, 419</w:t>
            </w:r>
          </w:p>
          <w:p w14:paraId="32A8C2C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1, 194</w:t>
            </w:r>
          </w:p>
          <w:p w14:paraId="0F465D16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2625" w:type="dxa"/>
          </w:tcPr>
          <w:p w14:paraId="196DDF53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271D2DD3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18, 827</w:t>
            </w:r>
          </w:p>
          <w:p w14:paraId="2573B3B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2. 388</w:t>
            </w:r>
          </w:p>
          <w:p w14:paraId="62C373C9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959" w:type="dxa"/>
            <w:gridSpan w:val="3"/>
          </w:tcPr>
          <w:p w14:paraId="7F3DD83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029C6291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8, 134</w:t>
            </w:r>
          </w:p>
          <w:p w14:paraId="447E0B26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1, 012</w:t>
            </w:r>
          </w:p>
          <w:p w14:paraId="327E8CAC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5F3916" w14:paraId="6C8CD586" w14:textId="77777777" w:rsidTr="005F3916">
        <w:trPr>
          <w:trHeight w:val="700"/>
        </w:trPr>
        <w:tc>
          <w:tcPr>
            <w:tcW w:w="2835" w:type="dxa"/>
          </w:tcPr>
          <w:p w14:paraId="3685DCC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B factors (Å2)</w:t>
            </w:r>
          </w:p>
          <w:p w14:paraId="48734AB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Protein</w:t>
            </w:r>
          </w:p>
          <w:p w14:paraId="0A06C79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Ligand</w:t>
            </w:r>
          </w:p>
        </w:tc>
        <w:tc>
          <w:tcPr>
            <w:tcW w:w="2268" w:type="dxa"/>
          </w:tcPr>
          <w:p w14:paraId="4124D084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3C6022C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94.92</w:t>
            </w:r>
          </w:p>
          <w:p w14:paraId="4F242448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2625" w:type="dxa"/>
          </w:tcPr>
          <w:p w14:paraId="3890CA21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25A72403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52.39</w:t>
            </w:r>
          </w:p>
          <w:p w14:paraId="181D60A2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</w:p>
        </w:tc>
        <w:tc>
          <w:tcPr>
            <w:tcW w:w="1959" w:type="dxa"/>
            <w:gridSpan w:val="3"/>
          </w:tcPr>
          <w:p w14:paraId="3A10DCA7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33EDB62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84.42</w:t>
            </w:r>
          </w:p>
          <w:p w14:paraId="4172CF7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-</w:t>
            </w:r>
          </w:p>
        </w:tc>
      </w:tr>
      <w:tr w:rsidR="005F3916" w14:paraId="58DA37AB" w14:textId="77777777" w:rsidTr="005F3916">
        <w:trPr>
          <w:trHeight w:val="700"/>
        </w:trPr>
        <w:tc>
          <w:tcPr>
            <w:tcW w:w="2835" w:type="dxa"/>
          </w:tcPr>
          <w:p w14:paraId="71E86DB6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R.m.s.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deviations</w:t>
            </w:r>
          </w:p>
          <w:p w14:paraId="7CC5DED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Bond lengths (Å)</w:t>
            </w:r>
          </w:p>
          <w:p w14:paraId="4E03DF5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Bond angles (°)</w:t>
            </w:r>
          </w:p>
        </w:tc>
        <w:tc>
          <w:tcPr>
            <w:tcW w:w="2268" w:type="dxa"/>
          </w:tcPr>
          <w:p w14:paraId="059AD2D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1F9810C0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0.003</w:t>
            </w:r>
          </w:p>
          <w:p w14:paraId="27C74C86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0.523</w:t>
            </w:r>
          </w:p>
        </w:tc>
        <w:tc>
          <w:tcPr>
            <w:tcW w:w="2625" w:type="dxa"/>
          </w:tcPr>
          <w:p w14:paraId="23CF820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6ABD109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0.002</w:t>
            </w:r>
          </w:p>
          <w:p w14:paraId="7232C2A7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0.414 </w:t>
            </w:r>
          </w:p>
        </w:tc>
        <w:tc>
          <w:tcPr>
            <w:tcW w:w="1959" w:type="dxa"/>
            <w:gridSpan w:val="3"/>
          </w:tcPr>
          <w:p w14:paraId="2062714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7BA0D7A8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0.006</w:t>
            </w:r>
          </w:p>
          <w:p w14:paraId="647E3593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0.647</w:t>
            </w:r>
          </w:p>
        </w:tc>
      </w:tr>
      <w:tr w:rsidR="005F3916" w14:paraId="216E9443" w14:textId="77777777" w:rsidTr="005F3916">
        <w:trPr>
          <w:trHeight w:val="934"/>
        </w:trPr>
        <w:tc>
          <w:tcPr>
            <w:tcW w:w="2835" w:type="dxa"/>
            <w:tcBorders>
              <w:bottom w:val="nil"/>
            </w:tcBorders>
          </w:tcPr>
          <w:p w14:paraId="4696913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Validation</w:t>
            </w:r>
          </w:p>
          <w:p w14:paraId="194D8249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MolProbity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score</w:t>
            </w:r>
          </w:p>
          <w:p w14:paraId="4D8BF0C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Clashscore</w:t>
            </w:r>
            <w:proofErr w:type="spellEnd"/>
          </w:p>
          <w:p w14:paraId="0CA1D0D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Poor rotamers (%)</w:t>
            </w:r>
          </w:p>
        </w:tc>
        <w:tc>
          <w:tcPr>
            <w:tcW w:w="2268" w:type="dxa"/>
            <w:tcBorders>
              <w:bottom w:val="nil"/>
            </w:tcBorders>
          </w:tcPr>
          <w:p w14:paraId="36D5EFA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48576C7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0.87</w:t>
            </w:r>
          </w:p>
          <w:p w14:paraId="5CE94E7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0.85</w:t>
            </w:r>
          </w:p>
          <w:p w14:paraId="7D755798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0.09</w:t>
            </w:r>
          </w:p>
        </w:tc>
        <w:tc>
          <w:tcPr>
            <w:tcW w:w="2625" w:type="dxa"/>
            <w:tcBorders>
              <w:bottom w:val="nil"/>
            </w:tcBorders>
          </w:tcPr>
          <w:p w14:paraId="19AE4CE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4EC9A006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1.03</w:t>
            </w:r>
          </w:p>
          <w:p w14:paraId="280CD90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2.44</w:t>
            </w:r>
          </w:p>
          <w:p w14:paraId="0FEF9D8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0.38</w:t>
            </w:r>
          </w:p>
        </w:tc>
        <w:tc>
          <w:tcPr>
            <w:tcW w:w="1959" w:type="dxa"/>
            <w:gridSpan w:val="3"/>
            <w:tcBorders>
              <w:bottom w:val="nil"/>
            </w:tcBorders>
          </w:tcPr>
          <w:p w14:paraId="767AA9F7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5AD760D7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1.42</w:t>
            </w:r>
          </w:p>
          <w:p w14:paraId="13AAF88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3.93</w:t>
            </w:r>
          </w:p>
          <w:p w14:paraId="210D9735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0.54</w:t>
            </w:r>
          </w:p>
        </w:tc>
      </w:tr>
      <w:tr w:rsidR="005F3916" w14:paraId="325BF5FA" w14:textId="77777777" w:rsidTr="005F3916">
        <w:trPr>
          <w:trHeight w:val="917"/>
        </w:trPr>
        <w:tc>
          <w:tcPr>
            <w:tcW w:w="2835" w:type="dxa"/>
            <w:tcBorders>
              <w:top w:val="nil"/>
              <w:bottom w:val="single" w:sz="4" w:space="0" w:color="000000"/>
            </w:tcBorders>
          </w:tcPr>
          <w:p w14:paraId="2A3A972C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Ramachandran plot</w:t>
            </w:r>
          </w:p>
          <w:p w14:paraId="24C63BB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Favored (%)</w:t>
            </w:r>
          </w:p>
          <w:p w14:paraId="63EEA9C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Allowed (%)</w:t>
            </w:r>
          </w:p>
          <w:p w14:paraId="55F55678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   Disallowed (%)</w:t>
            </w:r>
          </w:p>
        </w:tc>
        <w:tc>
          <w:tcPr>
            <w:tcW w:w="2268" w:type="dxa"/>
            <w:tcBorders>
              <w:top w:val="nil"/>
              <w:bottom w:val="single" w:sz="4" w:space="0" w:color="000000"/>
            </w:tcBorders>
          </w:tcPr>
          <w:p w14:paraId="4003257E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53C21BD4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97.47</w:t>
            </w:r>
          </w:p>
          <w:p w14:paraId="58B271AD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2.53</w:t>
            </w:r>
          </w:p>
          <w:p w14:paraId="50BFD5A2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0.00</w:t>
            </w:r>
          </w:p>
        </w:tc>
        <w:tc>
          <w:tcPr>
            <w:tcW w:w="2625" w:type="dxa"/>
            <w:tcBorders>
              <w:top w:val="nil"/>
              <w:bottom w:val="single" w:sz="4" w:space="0" w:color="000000"/>
            </w:tcBorders>
          </w:tcPr>
          <w:p w14:paraId="6A73953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6F317337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98.57</w:t>
            </w:r>
          </w:p>
          <w:p w14:paraId="571E034F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1.43</w:t>
            </w:r>
          </w:p>
          <w:p w14:paraId="3571D0FB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0.00</w:t>
            </w:r>
          </w:p>
        </w:tc>
        <w:tc>
          <w:tcPr>
            <w:tcW w:w="1959" w:type="dxa"/>
            <w:gridSpan w:val="3"/>
            <w:tcBorders>
              <w:top w:val="nil"/>
              <w:bottom w:val="single" w:sz="4" w:space="0" w:color="000000"/>
            </w:tcBorders>
          </w:tcPr>
          <w:p w14:paraId="6A6AFA82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14:paraId="25193873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96.41</w:t>
            </w:r>
          </w:p>
          <w:p w14:paraId="53976AD8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3.59</w:t>
            </w:r>
          </w:p>
          <w:p w14:paraId="72EABCDA" w14:textId="77777777" w:rsidR="005F3916" w:rsidRDefault="005F3916" w:rsidP="00EA4932">
            <w:pP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0.00</w:t>
            </w:r>
          </w:p>
        </w:tc>
      </w:tr>
    </w:tbl>
    <w:p w14:paraId="10C043F3" w14:textId="77777777" w:rsidR="00C361A2" w:rsidRDefault="00C361A2" w:rsidP="00C361A2">
      <w:pPr>
        <w:rPr>
          <w:rFonts w:ascii="Times New Roman" w:hAnsi="Times New Roman"/>
          <w:b/>
          <w:bCs/>
          <w:color w:val="000000" w:themeColor="text1"/>
        </w:rPr>
      </w:pPr>
    </w:p>
    <w:p w14:paraId="4F2CC957" w14:textId="77777777" w:rsidR="00C361A2" w:rsidRPr="005F3916" w:rsidRDefault="00C361A2" w:rsidP="00C361A2">
      <w:pPr>
        <w:rPr>
          <w:rFonts w:ascii="Times New Roman" w:hAnsi="Times New Roman"/>
          <w:color w:val="000000" w:themeColor="text1"/>
        </w:rPr>
      </w:pPr>
    </w:p>
    <w:p w14:paraId="6776EDF7" w14:textId="77777777" w:rsidR="00885FA9" w:rsidRDefault="00885FA9"/>
    <w:sectPr w:rsidR="00885F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54D"/>
    <w:rsid w:val="000F513B"/>
    <w:rsid w:val="00182333"/>
    <w:rsid w:val="001F70A6"/>
    <w:rsid w:val="002220CA"/>
    <w:rsid w:val="00246096"/>
    <w:rsid w:val="003006DA"/>
    <w:rsid w:val="00316B93"/>
    <w:rsid w:val="00350CDA"/>
    <w:rsid w:val="005F3916"/>
    <w:rsid w:val="00622AA0"/>
    <w:rsid w:val="00636CDE"/>
    <w:rsid w:val="00872CB0"/>
    <w:rsid w:val="00885FA9"/>
    <w:rsid w:val="008A0F3F"/>
    <w:rsid w:val="008E13C5"/>
    <w:rsid w:val="009110C5"/>
    <w:rsid w:val="00AA26D8"/>
    <w:rsid w:val="00B419FF"/>
    <w:rsid w:val="00B4430C"/>
    <w:rsid w:val="00B62347"/>
    <w:rsid w:val="00C361A2"/>
    <w:rsid w:val="00C74983"/>
    <w:rsid w:val="00CE4AF1"/>
    <w:rsid w:val="00D84F6C"/>
    <w:rsid w:val="00DF03B5"/>
    <w:rsid w:val="00E24B2E"/>
    <w:rsid w:val="00E2689C"/>
    <w:rsid w:val="00E6054D"/>
    <w:rsid w:val="00EC7374"/>
    <w:rsid w:val="00F846F4"/>
    <w:rsid w:val="00F9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0E5337"/>
  <w15:chartTrackingRefBased/>
  <w15:docId w15:val="{0D19E90F-CEC5-5848-94F6-B3F59E768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054D"/>
    <w:pPr>
      <w:widowControl w:val="0"/>
      <w:jc w:val="both"/>
    </w:pPr>
    <w:rPr>
      <w:rFonts w:ascii="Calibri" w:eastAsia="宋体" w:hAnsi="Calibri" w:cs="Times New Roman"/>
      <w:szCs w:val="21"/>
    </w:rPr>
  </w:style>
  <w:style w:type="paragraph" w:styleId="1">
    <w:name w:val="heading 1"/>
    <w:basedOn w:val="a"/>
    <w:next w:val="a"/>
    <w:link w:val="10"/>
    <w:uiPriority w:val="9"/>
    <w:qFormat/>
    <w:rsid w:val="00E6054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05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054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054D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054D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054D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6054D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054D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054D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6054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605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605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6054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6054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E6054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6054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6054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6054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6054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605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054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605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6054D"/>
    <w:pPr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szCs w:val="24"/>
    </w:rPr>
  </w:style>
  <w:style w:type="character" w:customStyle="1" w:styleId="a8">
    <w:name w:val="引用 字符"/>
    <w:basedOn w:val="a0"/>
    <w:link w:val="a7"/>
    <w:uiPriority w:val="29"/>
    <w:rsid w:val="00E605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6054D"/>
    <w:pPr>
      <w:ind w:left="720"/>
      <w:contextualSpacing/>
    </w:pPr>
    <w:rPr>
      <w:rFonts w:asciiTheme="minorHAnsi" w:eastAsiaTheme="minorEastAsia" w:hAnsiTheme="minorHAnsi" w:cstheme="minorBidi"/>
      <w:szCs w:val="24"/>
    </w:rPr>
  </w:style>
  <w:style w:type="character" w:styleId="aa">
    <w:name w:val="Intense Emphasis"/>
    <w:basedOn w:val="a0"/>
    <w:uiPriority w:val="21"/>
    <w:qFormat/>
    <w:rsid w:val="00E6054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605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0F4761" w:themeColor="accent1" w:themeShade="BF"/>
      <w:szCs w:val="24"/>
    </w:rPr>
  </w:style>
  <w:style w:type="character" w:customStyle="1" w:styleId="ac">
    <w:name w:val="明显引用 字符"/>
    <w:basedOn w:val="a0"/>
    <w:link w:val="ab"/>
    <w:uiPriority w:val="30"/>
    <w:rsid w:val="00E6054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605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17</Pages>
  <Words>1500</Words>
  <Characters>8553</Characters>
  <Application>Microsoft Office Word</Application>
  <DocSecurity>0</DocSecurity>
  <Lines>71</Lines>
  <Paragraphs>20</Paragraphs>
  <ScaleCrop>false</ScaleCrop>
  <Company/>
  <LinksUpToDate>false</LinksUpToDate>
  <CharactersWithSpaces>10033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liusb</dc:creator>
  <cp:keywords/>
  <dc:description/>
  <cp:lastModifiedBy>liusb</cp:lastModifiedBy>
  <cp:revision>4</cp:revision>
  <dcterms:created xsi:type="dcterms:W3CDTF">2025-10-11T12:08:00Z</dcterms:created>
  <dcterms:modified xsi:type="dcterms:W3CDTF">2025-10-13T03:54:00Z</dcterms:modified>
</cp:coreProperties>
</file>