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C92A4">
      <w:pPr>
        <w:jc w:val="center"/>
        <w:rPr>
          <w:rFonts w:hint="default" w:ascii="Times New Roman" w:hAnsi="Times New Roman" w:eastAsia="宋体" w:cs="Times New Roman"/>
          <w:b/>
          <w:kern w:val="44"/>
          <w:sz w:val="24"/>
          <w14:ligatures w14:val="none"/>
        </w:rPr>
      </w:pPr>
      <w:bookmarkStart w:id="12" w:name="_GoBack"/>
      <w:bookmarkEnd w:id="12"/>
      <w:bookmarkStart w:id="0" w:name="OLE_LINK17"/>
      <w:r>
        <w:rPr>
          <w:rFonts w:hint="default" w:ascii="Times New Roman" w:hAnsi="Times New Roman" w:eastAsia="宋体" w:cs="Times New Roman"/>
          <w:b/>
          <w:kern w:val="44"/>
          <w:sz w:val="24"/>
          <w14:ligatures w14:val="none"/>
        </w:rPr>
        <w:t>Supplementary information</w:t>
      </w:r>
    </w:p>
    <w:p w14:paraId="27D531A3">
      <w:pPr>
        <w:pBdr>
          <w:top w:val="none" w:color="auto" w:sz="0" w:space="1"/>
          <w:bottom w:val="none" w:color="auto" w:sz="0" w:space="1"/>
          <w:right w:val="none" w:color="auto" w:sz="0" w:space="4"/>
        </w:pBdr>
        <w:spacing w:before="156" w:beforeLines="50" w:after="156" w:afterLines="50" w:line="480" w:lineRule="auto"/>
        <w:jc w:val="both"/>
        <w:rPr>
          <w:rFonts w:ascii="Times New Roman" w:hAnsi="Times New Roman" w:eastAsia="宋体" w:cs="Times New Roman"/>
          <w:b/>
          <w:kern w:val="44"/>
          <w:sz w:val="24"/>
          <w14:ligatures w14:val="none"/>
        </w:rPr>
      </w:pPr>
      <w:r>
        <w:rPr>
          <w:rFonts w:ascii="Times New Roman" w:hAnsi="Times New Roman" w:eastAsia="宋体" w:cs="Times New Roman"/>
          <w:b/>
          <w:kern w:val="44"/>
          <w:sz w:val="24"/>
          <w14:ligatures w14:val="none"/>
        </w:rPr>
        <w:t>Differential patterns of dissolved organic matter-microbe interactions under consecutive nitrogen addition revealed by Energy-Diversity-Trait integrative Analysis in a Moso bamboo forest</w:t>
      </w:r>
    </w:p>
    <w:p w14:paraId="64CBA6B5">
      <w:pPr>
        <w:keepNext w:val="0"/>
        <w:keepLines w:val="0"/>
        <w:pageBreakBefore w:val="0"/>
        <w:widowControl w:val="0"/>
        <w:kinsoku/>
        <w:wordWrap/>
        <w:overflowPunct/>
        <w:topLinePunct w:val="0"/>
        <w:autoSpaceDE/>
        <w:autoSpaceDN/>
        <w:bidi w:val="0"/>
        <w:adjustRightInd/>
        <w:snapToGrid/>
        <w:spacing w:after="0" w:line="480" w:lineRule="auto"/>
        <w:ind w:firstLine="0" w:firstLineChars="0"/>
        <w:jc w:val="both"/>
        <w:textAlignment w:val="auto"/>
        <w:rPr>
          <w:rFonts w:hint="default" w:ascii="Times New Roman" w:hAnsi="Times New Roman" w:cs="Times New Roman"/>
          <w:bCs/>
          <w:color w:val="auto"/>
          <w:sz w:val="24"/>
          <w:shd w:val="clear" w:color="auto" w:fill="FFFFFF"/>
          <w:vertAlign w:val="superscript"/>
          <w14:ligatures w14:val="none"/>
        </w:rPr>
      </w:pPr>
      <w:r>
        <w:rPr>
          <w:rFonts w:hint="default" w:ascii="Times New Roman" w:hAnsi="Times New Roman" w:cs="Times New Roman"/>
          <w:bCs/>
          <w:color w:val="auto"/>
          <w:sz w:val="24"/>
          <w:shd w:val="clear" w:color="auto" w:fill="FFFFFF"/>
          <w14:ligatures w14:val="none"/>
        </w:rPr>
        <w:t>Xiaoting Fu</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 Xiaochun Yuan</w:t>
      </w:r>
      <w:r>
        <w:rPr>
          <w:rFonts w:hint="default" w:ascii="Times New Roman" w:hAnsi="Times New Roman" w:cs="Times New Roman"/>
          <w:bCs/>
          <w:color w:val="auto"/>
          <w:sz w:val="24"/>
          <w:shd w:val="clear" w:color="auto" w:fill="FFFFFF"/>
          <w:vertAlign w:val="superscript"/>
          <w14:ligatures w14:val="none"/>
        </w:rPr>
        <w:t>2*</w:t>
      </w:r>
      <w:r>
        <w:rPr>
          <w:rFonts w:hint="default" w:ascii="Times New Roman" w:hAnsi="Times New Roman" w:cs="Times New Roman"/>
          <w:bCs/>
          <w:color w:val="auto"/>
          <w:sz w:val="24"/>
          <w:shd w:val="clear" w:color="auto" w:fill="FFFFFF"/>
          <w14:ligatures w14:val="none"/>
        </w:rPr>
        <w:t>, Yue Wu</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 Quanxin Zeng</w:t>
      </w:r>
      <w:bookmarkStart w:id="1" w:name="OLE_LINK15"/>
      <w:r>
        <w:rPr>
          <w:rFonts w:hint="default" w:ascii="Times New Roman" w:hAnsi="Times New Roman" w:cs="Times New Roman"/>
          <w:bCs/>
          <w:color w:val="auto"/>
          <w:sz w:val="24"/>
          <w:shd w:val="clear" w:color="auto" w:fill="FFFFFF"/>
          <w:vertAlign w:val="superscript"/>
          <w14:ligatures w14:val="none"/>
        </w:rPr>
        <w:t>1,3</w:t>
      </w:r>
      <w:bookmarkEnd w:id="1"/>
      <w:r>
        <w:rPr>
          <w:rFonts w:hint="default" w:ascii="Times New Roman" w:hAnsi="Times New Roman" w:cs="Times New Roman"/>
          <w:bCs/>
          <w:color w:val="auto"/>
          <w:sz w:val="24"/>
          <w:shd w:val="clear" w:color="auto" w:fill="FFFFFF"/>
          <w14:ligatures w14:val="none"/>
        </w:rPr>
        <w:t>, Qiufang Zhang</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 Xinyu Bai</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w:t>
      </w:r>
      <w:r>
        <w:rPr>
          <w:rFonts w:hint="default" w:ascii="Times New Roman" w:hAnsi="Times New Roman" w:cs="Times New Roman"/>
          <w:bCs/>
          <w:color w:val="auto"/>
          <w:sz w:val="24"/>
          <w:shd w:val="clear" w:color="auto" w:fill="FFFFFF"/>
          <w:lang w:val="en-US" w:eastAsia="zh-CN"/>
          <w14:ligatures w14:val="none"/>
        </w:rPr>
        <w:t xml:space="preserve"> </w:t>
      </w:r>
      <w:r>
        <w:rPr>
          <w:rFonts w:hint="default" w:ascii="Times New Roman" w:hAnsi="Times New Roman" w:cs="Times New Roman"/>
          <w:bCs/>
          <w:color w:val="auto"/>
          <w:sz w:val="24"/>
          <w:shd w:val="clear" w:color="auto" w:fill="FFFFFF"/>
          <w14:ligatures w14:val="none"/>
        </w:rPr>
        <w:t>Xiaoqing Zhang</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 Mengxiao Ren</w:t>
      </w:r>
      <w:r>
        <w:rPr>
          <w:rFonts w:hint="default" w:ascii="Times New Roman" w:hAnsi="Times New Roman" w:cs="Times New Roman"/>
          <w:bCs/>
          <w:color w:val="auto"/>
          <w:sz w:val="24"/>
          <w:shd w:val="clear" w:color="auto" w:fill="FFFFFF"/>
          <w:vertAlign w:val="superscript"/>
          <w14:ligatures w14:val="none"/>
        </w:rPr>
        <w:t>1,3</w:t>
      </w:r>
      <w:r>
        <w:rPr>
          <w:rFonts w:hint="default" w:ascii="Times New Roman" w:hAnsi="Times New Roman" w:cs="Times New Roman"/>
          <w:bCs/>
          <w:color w:val="auto"/>
          <w:sz w:val="24"/>
          <w:shd w:val="clear" w:color="auto" w:fill="FFFFFF"/>
          <w14:ligatures w14:val="none"/>
        </w:rPr>
        <w:t xml:space="preserve">, </w:t>
      </w:r>
      <w:r>
        <w:rPr>
          <w:rFonts w:hint="default" w:ascii="Times New Roman" w:hAnsi="Times New Roman" w:cs="Times New Roman"/>
          <w:bCs/>
          <w:color w:val="auto"/>
          <w:sz w:val="24"/>
          <w:shd w:val="clear" w:color="auto" w:fill="FFFFFF"/>
          <w:lang w:val="en-US" w:eastAsia="zh-CN"/>
          <w14:ligatures w14:val="none"/>
        </w:rPr>
        <w:t>Hao Sun</w:t>
      </w:r>
      <w:r>
        <w:rPr>
          <w:rFonts w:hint="default" w:ascii="Times New Roman" w:hAnsi="Times New Roman" w:cs="Times New Roman"/>
          <w:bCs/>
          <w:color w:val="auto"/>
          <w:sz w:val="24"/>
          <w:shd w:val="clear" w:color="auto" w:fill="FFFFFF"/>
          <w:vertAlign w:val="superscript"/>
          <w14:ligatures w14:val="none"/>
        </w:rPr>
        <w:t>1,3</w:t>
      </w:r>
      <w:r>
        <w:rPr>
          <w:rFonts w:ascii="Times New Roman" w:hAnsi="Times New Roman" w:cs="Times New Roman"/>
          <w:bCs/>
          <w:sz w:val="24"/>
          <w:shd w:val="clear" w:color="auto" w:fill="FFFFFF"/>
          <w14:ligatures w14:val="none"/>
        </w:rPr>
        <w:t>, Wenzhou Li</w:t>
      </w:r>
      <w:r>
        <w:rPr>
          <w:rFonts w:hint="eastAsia" w:ascii="Times New Roman" w:hAnsi="Times New Roman" w:cs="Times New Roman"/>
          <w:bCs/>
          <w:sz w:val="24"/>
          <w:shd w:val="clear" w:color="auto" w:fill="FFFFFF"/>
          <w:vertAlign w:val="superscript"/>
          <w:lang w:val="en-US" w:eastAsia="zh-CN"/>
          <w14:ligatures w14:val="none"/>
        </w:rPr>
        <w:t>4</w:t>
      </w:r>
      <w:r>
        <w:rPr>
          <w:rFonts w:ascii="Times New Roman" w:hAnsi="Times New Roman" w:cs="Times New Roman"/>
          <w:bCs/>
          <w:sz w:val="24"/>
          <w:shd w:val="clear" w:color="auto" w:fill="FFFFFF"/>
          <w14:ligatures w14:val="none"/>
        </w:rPr>
        <w:t xml:space="preserve">, </w:t>
      </w:r>
      <w:r>
        <w:rPr>
          <w:rFonts w:hint="default" w:ascii="Times New Roman" w:hAnsi="Times New Roman" w:cs="Times New Roman"/>
          <w:bCs/>
          <w:color w:val="auto"/>
          <w:sz w:val="24"/>
          <w:shd w:val="clear" w:color="auto" w:fill="FFFFFF"/>
          <w14:ligatures w14:val="none"/>
        </w:rPr>
        <w:t>Yuehmin Chen</w:t>
      </w:r>
      <w:r>
        <w:rPr>
          <w:rFonts w:hint="default" w:ascii="Times New Roman" w:hAnsi="Times New Roman" w:cs="Times New Roman"/>
          <w:bCs/>
          <w:color w:val="auto"/>
          <w:sz w:val="24"/>
          <w:shd w:val="clear" w:color="auto" w:fill="FFFFFF"/>
          <w:vertAlign w:val="superscript"/>
          <w14:ligatures w14:val="none"/>
        </w:rPr>
        <w:t>1,3*</w:t>
      </w:r>
    </w:p>
    <w:p w14:paraId="536EA0D6">
      <w:pPr>
        <w:keepNext w:val="0"/>
        <w:keepLines w:val="0"/>
        <w:pageBreakBefore w:val="0"/>
        <w:kinsoku/>
        <w:wordWrap/>
        <w:overflowPunct/>
        <w:autoSpaceDE/>
        <w:autoSpaceDN/>
        <w:bidi w:val="0"/>
        <w:adjustRightInd/>
        <w:snapToGrid/>
        <w:spacing w:after="0" w:line="480" w:lineRule="auto"/>
        <w:ind w:firstLine="0" w:firstLineChars="0"/>
        <w:jc w:val="both"/>
        <w:textAlignment w:val="auto"/>
        <w:rPr>
          <w:rFonts w:hint="default" w:ascii="Times New Roman" w:hAnsi="Times New Roman" w:cs="Times New Roman"/>
          <w:bCs/>
          <w:color w:val="auto"/>
          <w:sz w:val="24"/>
          <w:shd w:val="clear" w:color="auto" w:fill="FFFFFF"/>
          <w:vertAlign w:val="superscript"/>
          <w14:ligatures w14:val="none"/>
        </w:rPr>
      </w:pPr>
    </w:p>
    <w:p w14:paraId="36811F20">
      <w:pPr>
        <w:keepNext/>
        <w:keepLines/>
        <w:pBdr>
          <w:top w:val="none" w:color="auto" w:sz="0" w:space="1"/>
          <w:left w:val="none" w:color="auto" w:sz="0" w:space="4"/>
          <w:bottom w:val="none" w:color="auto" w:sz="0" w:space="1"/>
          <w:right w:val="none" w:color="auto" w:sz="0" w:space="4"/>
        </w:pBdr>
        <w:spacing w:before="200" w:after="0" w:line="480" w:lineRule="auto"/>
        <w:jc w:val="both"/>
        <w:outlineLvl w:val="0"/>
        <w:rPr>
          <w:rFonts w:ascii="Times New Roman" w:hAnsi="Times New Roman" w:eastAsia="宋体" w:cs="Times New Roman"/>
          <w:b/>
          <w:kern w:val="44"/>
          <w:sz w:val="24"/>
          <w14:ligatures w14:val="none"/>
        </w:rPr>
      </w:pPr>
      <w:r>
        <w:rPr>
          <w:rFonts w:ascii="Times New Roman" w:hAnsi="Times New Roman" w:eastAsia="宋体" w:cs="Times New Roman"/>
          <w:b/>
          <w:kern w:val="44"/>
          <w:sz w:val="24"/>
          <w14:ligatures w14:val="none"/>
        </w:rPr>
        <w:t>Affiliation:</w:t>
      </w:r>
    </w:p>
    <w:p w14:paraId="1293EEC3">
      <w:pPr>
        <w:snapToGrid w:val="0"/>
        <w:spacing w:after="0" w:line="480" w:lineRule="auto"/>
        <w:jc w:val="both"/>
        <w:rPr>
          <w:rFonts w:ascii="Times New Roman" w:hAnsi="Times New Roman" w:cs="Times New Roman"/>
          <w:bCs/>
          <w:sz w:val="24"/>
          <w:shd w:val="clear" w:color="auto" w:fill="FFFFFF"/>
          <w14:ligatures w14:val="none"/>
        </w:rPr>
      </w:pPr>
      <w:r>
        <w:rPr>
          <w:rFonts w:hint="eastAsia" w:ascii="Times New Roman" w:hAnsi="Times New Roman" w:cs="Times New Roman"/>
          <w:bCs/>
          <w:sz w:val="24"/>
          <w:shd w:val="clear" w:color="auto" w:fill="FFFFFF"/>
          <w:vertAlign w:val="superscript"/>
          <w:lang w:val="en-US" w:eastAsia="zh-CN"/>
          <w14:ligatures w14:val="none"/>
        </w:rPr>
        <w:t>1</w:t>
      </w:r>
      <w:r>
        <w:rPr>
          <w:rFonts w:ascii="Times New Roman" w:hAnsi="Times New Roman" w:cs="Times New Roman"/>
          <w:bCs/>
          <w:sz w:val="24"/>
          <w:shd w:val="clear" w:color="auto" w:fill="FFFFFF"/>
          <w:vertAlign w:val="superscript"/>
          <w14:ligatures w14:val="none"/>
        </w:rPr>
        <w:t xml:space="preserve"> </w:t>
      </w:r>
      <w:r>
        <w:rPr>
          <w:rFonts w:ascii="Times New Roman" w:hAnsi="Times New Roman" w:cs="Times New Roman"/>
          <w:bCs/>
          <w:sz w:val="24"/>
          <w:shd w:val="clear" w:color="auto" w:fill="FFFFFF"/>
          <w14:ligatures w14:val="none"/>
        </w:rPr>
        <w:t xml:space="preserve">School of Geographical Sciences, </w:t>
      </w:r>
      <w:bookmarkStart w:id="2" w:name="OLE_LINK36"/>
      <w:r>
        <w:rPr>
          <w:rFonts w:ascii="Times New Roman" w:hAnsi="Times New Roman" w:cs="Times New Roman"/>
          <w:bCs/>
          <w:sz w:val="24"/>
          <w:shd w:val="clear" w:color="auto" w:fill="FFFFFF"/>
          <w14:ligatures w14:val="none"/>
        </w:rPr>
        <w:t>Fujian Normal University</w:t>
      </w:r>
      <w:bookmarkEnd w:id="2"/>
      <w:r>
        <w:rPr>
          <w:rFonts w:ascii="Times New Roman" w:hAnsi="Times New Roman" w:cs="Times New Roman"/>
          <w:bCs/>
          <w:sz w:val="24"/>
          <w:shd w:val="clear" w:color="auto" w:fill="FFFFFF"/>
          <w14:ligatures w14:val="none"/>
        </w:rPr>
        <w:t>, Fuzhou 350117, China</w:t>
      </w:r>
    </w:p>
    <w:p w14:paraId="503B640A">
      <w:pPr>
        <w:snapToGrid w:val="0"/>
        <w:spacing w:after="0" w:line="480" w:lineRule="auto"/>
        <w:jc w:val="both"/>
        <w:rPr>
          <w:rFonts w:ascii="Times New Roman" w:hAnsi="Times New Roman" w:cs="Times New Roman"/>
          <w:bCs/>
          <w:sz w:val="24"/>
          <w:shd w:val="clear" w:color="auto" w:fill="FFFFFF"/>
          <w:vertAlign w:val="superscript"/>
          <w14:ligatures w14:val="none"/>
        </w:rPr>
      </w:pPr>
      <w:r>
        <w:rPr>
          <w:rFonts w:hint="eastAsia" w:ascii="Times New Roman" w:hAnsi="Times New Roman" w:cs="Times New Roman"/>
          <w:bCs/>
          <w:sz w:val="24"/>
          <w:shd w:val="clear" w:color="auto" w:fill="FFFFFF"/>
          <w:vertAlign w:val="superscript"/>
          <w:lang w:val="en-US" w:eastAsia="zh-CN"/>
          <w14:ligatures w14:val="none"/>
        </w:rPr>
        <w:t>2</w:t>
      </w:r>
      <w:r>
        <w:rPr>
          <w:rFonts w:ascii="Times New Roman" w:hAnsi="Times New Roman" w:cs="Times New Roman"/>
          <w:bCs/>
          <w:sz w:val="24"/>
          <w:shd w:val="clear" w:color="auto" w:fill="FFFFFF"/>
          <w:vertAlign w:val="superscript"/>
          <w14:ligatures w14:val="none"/>
        </w:rPr>
        <w:t xml:space="preserve"> </w:t>
      </w:r>
      <w:r>
        <w:rPr>
          <w:rFonts w:ascii="Times New Roman" w:hAnsi="Times New Roman" w:cs="Times New Roman"/>
          <w:bCs/>
          <w:sz w:val="24"/>
          <w:shd w:val="clear" w:color="auto" w:fill="FFFFFF"/>
          <w14:ligatures w14:val="none"/>
        </w:rPr>
        <w:t>College of Tourism, Wuyi University, Wuyishan 354300, China</w:t>
      </w:r>
      <w:r>
        <w:rPr>
          <w:rFonts w:ascii="Times New Roman" w:hAnsi="Times New Roman" w:cs="Times New Roman"/>
          <w:bCs/>
          <w:sz w:val="24"/>
          <w:shd w:val="clear" w:color="auto" w:fill="FFFFFF"/>
          <w:vertAlign w:val="superscript"/>
          <w14:ligatures w14:val="none"/>
        </w:rPr>
        <w:t xml:space="preserve"> </w:t>
      </w:r>
    </w:p>
    <w:p w14:paraId="1179AC20">
      <w:pPr>
        <w:snapToGrid w:val="0"/>
        <w:spacing w:after="0" w:line="480" w:lineRule="auto"/>
        <w:jc w:val="both"/>
        <w:rPr>
          <w:rFonts w:ascii="Times New Roman" w:hAnsi="Times New Roman" w:cs="Times New Roman"/>
          <w:bCs/>
          <w:sz w:val="24"/>
          <w:shd w:val="clear" w:color="auto" w:fill="FFFFFF"/>
          <w14:ligatures w14:val="none"/>
        </w:rPr>
      </w:pPr>
      <w:r>
        <w:rPr>
          <w:rFonts w:hint="eastAsia" w:ascii="Times New Roman" w:hAnsi="Times New Roman" w:cs="Times New Roman"/>
          <w:bCs/>
          <w:sz w:val="24"/>
          <w:shd w:val="clear" w:color="auto" w:fill="FFFFFF"/>
          <w:vertAlign w:val="superscript"/>
          <w:lang w:val="en-US" w:eastAsia="zh-CN"/>
          <w14:ligatures w14:val="none"/>
        </w:rPr>
        <w:t>3</w:t>
      </w:r>
      <w:r>
        <w:rPr>
          <w:rFonts w:ascii="Times New Roman" w:hAnsi="Times New Roman" w:cs="Times New Roman"/>
          <w:bCs/>
          <w:sz w:val="24"/>
          <w:shd w:val="clear" w:color="auto" w:fill="FFFFFF"/>
          <w:vertAlign w:val="superscript"/>
          <w14:ligatures w14:val="none"/>
        </w:rPr>
        <w:t xml:space="preserve"> </w:t>
      </w:r>
      <w:r>
        <w:rPr>
          <w:rFonts w:ascii="Times New Roman" w:hAnsi="Times New Roman" w:cs="Times New Roman"/>
          <w:bCs/>
          <w:sz w:val="24"/>
          <w:shd w:val="clear" w:color="auto" w:fill="FFFFFF"/>
          <w14:ligatures w14:val="none"/>
        </w:rPr>
        <w:t>Fujian Provincial Key Laboratory for Subtropical Resources and Environment, Fujian Normal University, Fuzhou 350117, China</w:t>
      </w:r>
    </w:p>
    <w:p w14:paraId="03CD0EF6">
      <w:pPr>
        <w:snapToGrid w:val="0"/>
        <w:spacing w:after="0" w:line="480" w:lineRule="auto"/>
        <w:jc w:val="both"/>
        <w:rPr>
          <w:rFonts w:ascii="Times New Roman" w:hAnsi="Times New Roman" w:cs="Times New Roman"/>
          <w:bCs/>
          <w:sz w:val="24"/>
          <w:shd w:val="clear" w:color="auto" w:fill="FFFFFF"/>
          <w14:ligatures w14:val="none"/>
        </w:rPr>
      </w:pPr>
      <w:r>
        <w:rPr>
          <w:rFonts w:hint="eastAsia" w:ascii="Times New Roman" w:hAnsi="Times New Roman" w:cs="Times New Roman"/>
          <w:bCs/>
          <w:sz w:val="24"/>
          <w:shd w:val="clear" w:color="auto" w:fill="FFFFFF"/>
          <w:vertAlign w:val="superscript"/>
          <w:lang w:val="en-US" w:eastAsia="zh-CN"/>
          <w14:ligatures w14:val="none"/>
        </w:rPr>
        <w:t>4</w:t>
      </w:r>
      <w:r>
        <w:rPr>
          <w:rFonts w:ascii="Times New Roman" w:hAnsi="Times New Roman" w:cs="Times New Roman"/>
          <w:bCs/>
          <w:sz w:val="24"/>
          <w:shd w:val="clear" w:color="auto" w:fill="FFFFFF"/>
          <w:vertAlign w:val="superscript"/>
          <w14:ligatures w14:val="none"/>
        </w:rPr>
        <w:t xml:space="preserve"> </w:t>
      </w:r>
      <w:r>
        <w:rPr>
          <w:rFonts w:ascii="Times New Roman" w:hAnsi="Times New Roman" w:cs="Times New Roman"/>
          <w:bCs/>
          <w:sz w:val="24"/>
          <w:shd w:val="clear" w:color="auto" w:fill="FFFFFF"/>
          <w14:ligatures w14:val="none"/>
        </w:rPr>
        <w:t>Daiyun Mountain National Nature Reserve Administration Bureau, Dehua 362500, China</w:t>
      </w:r>
    </w:p>
    <w:p w14:paraId="6CC3A3D8">
      <w:pPr>
        <w:keepNext/>
        <w:keepLines/>
        <w:pBdr>
          <w:top w:val="none" w:color="auto" w:sz="0" w:space="1"/>
          <w:left w:val="none" w:color="auto" w:sz="0" w:space="4"/>
          <w:bottom w:val="none" w:color="auto" w:sz="0" w:space="1"/>
          <w:right w:val="none" w:color="auto" w:sz="0" w:space="4"/>
        </w:pBdr>
        <w:spacing w:before="200" w:line="480" w:lineRule="auto"/>
        <w:jc w:val="both"/>
        <w:outlineLvl w:val="0"/>
        <w:rPr>
          <w:rFonts w:ascii="Times New Roman" w:hAnsi="Times New Roman" w:eastAsia="宋体" w:cs="Times New Roman"/>
          <w:b/>
          <w:kern w:val="44"/>
          <w:sz w:val="24"/>
        </w:rPr>
      </w:pPr>
      <w:bookmarkStart w:id="3" w:name="_Hlk164241035"/>
      <w:bookmarkEnd w:id="3"/>
      <w:r>
        <w:rPr>
          <w:rFonts w:ascii="Times New Roman" w:hAnsi="Times New Roman" w:eastAsia="宋体" w:cs="Times New Roman"/>
          <w:b/>
          <w:kern w:val="44"/>
          <w:sz w:val="24"/>
        </w:rPr>
        <w:t>*Corresponding authors:</w:t>
      </w:r>
    </w:p>
    <w:p w14:paraId="28718351">
      <w:pPr>
        <w:snapToGrid w:val="0"/>
        <w:spacing w:after="0" w:line="480" w:lineRule="auto"/>
        <w:jc w:val="both"/>
        <w:rPr>
          <w:rFonts w:ascii="Times New Roman" w:hAnsi="Times New Roman" w:cs="Times New Roman"/>
          <w:bCs/>
          <w:sz w:val="24"/>
          <w:shd w:val="clear" w:color="auto" w:fill="FFFFFF"/>
          <w14:ligatures w14:val="none"/>
        </w:rPr>
      </w:pPr>
      <w:r>
        <w:rPr>
          <w:rFonts w:ascii="Times New Roman" w:hAnsi="Times New Roman" w:cs="Times New Roman"/>
          <w:bCs/>
          <w:sz w:val="24"/>
          <w:shd w:val="clear" w:color="auto" w:fill="FFFFFF"/>
          <w14:ligatures w14:val="none"/>
        </w:rPr>
        <w:t>Xiaochun Yuan and Yuehmin Chen</w:t>
      </w:r>
    </w:p>
    <w:p w14:paraId="115A4114">
      <w:pPr>
        <w:keepNext/>
        <w:keepLines/>
        <w:spacing w:after="0" w:line="480" w:lineRule="auto"/>
        <w:jc w:val="left"/>
        <w:rPr>
          <w:rFonts w:ascii="Times New Roman" w:hAnsi="Times New Roman" w:cs="Times New Roman"/>
          <w:bCs/>
          <w:sz w:val="24"/>
        </w:rPr>
      </w:pPr>
      <w:r>
        <w:rPr>
          <w:rFonts w:ascii="Times New Roman" w:hAnsi="Times New Roman" w:cs="Times New Roman"/>
          <w:bCs/>
          <w:color w:val="000000" w:themeColor="text1"/>
          <w:sz w:val="24"/>
          <w:u w:val="none"/>
          <w:shd w:val="clear" w:color="auto" w:fill="FFFFFF"/>
          <w14:textFill>
            <w14:solidFill>
              <w14:schemeClr w14:val="tx1"/>
            </w14:solidFill>
          </w14:textFill>
          <w14:ligatures w14:val="none"/>
        </w:rPr>
        <w:t>E</w:t>
      </w:r>
      <w:r>
        <w:rPr>
          <w:rFonts w:ascii="Times New Roman" w:hAnsi="Times New Roman" w:cs="Times New Roman"/>
          <w:color w:val="000000" w:themeColor="text1"/>
          <w:sz w:val="24"/>
          <w:u w:val="none"/>
          <w14:textFill>
            <w14:solidFill>
              <w14:schemeClr w14:val="tx1"/>
            </w14:solidFill>
          </w14:textFill>
        </w:rPr>
        <w:t>-</w:t>
      </w:r>
      <w:r>
        <w:rPr>
          <w:rFonts w:ascii="Times New Roman" w:hAnsi="Times New Roman" w:cs="Times New Roman"/>
          <w:bCs/>
          <w:color w:val="000000" w:themeColor="text1"/>
          <w:sz w:val="24"/>
          <w:u w:val="none"/>
          <w:shd w:val="clear" w:color="auto" w:fill="FFFFFF"/>
          <w14:textFill>
            <w14:solidFill>
              <w14:schemeClr w14:val="tx1"/>
            </w14:solidFill>
          </w14:textFill>
          <w14:ligatures w14:val="none"/>
        </w:rPr>
        <w:t>mail:</w:t>
      </w:r>
      <w:r>
        <w:rPr>
          <w:rFonts w:ascii="Times New Roman" w:hAnsi="Times New Roman" w:cs="Times New Roman"/>
          <w:bCs/>
          <w:color w:val="000000" w:themeColor="text1"/>
          <w:sz w:val="24"/>
          <w:u w:val="none"/>
          <w14:textFill>
            <w14:solidFill>
              <w14:schemeClr w14:val="tx1"/>
            </w14:solidFill>
          </w14:textFill>
        </w:rPr>
        <w:t xml:space="preserve"> Yuanxc@wuyiu.edu.cn; </w:t>
      </w:r>
      <w:r>
        <w:rPr>
          <w:rFonts w:ascii="Times New Roman" w:hAnsi="Times New Roman" w:cs="Times New Roman"/>
          <w:bCs/>
          <w:color w:val="000000" w:themeColor="text1"/>
          <w:sz w:val="24"/>
          <w:u w:val="none"/>
          <w14:textFill>
            <w14:solidFill>
              <w14:schemeClr w14:val="tx1"/>
            </w14:solidFill>
          </w14:textFill>
        </w:rPr>
        <w:fldChar w:fldCharType="begin"/>
      </w:r>
      <w:r>
        <w:rPr>
          <w:rFonts w:ascii="Times New Roman" w:hAnsi="Times New Roman" w:cs="Times New Roman"/>
          <w:bCs/>
          <w:color w:val="000000" w:themeColor="text1"/>
          <w:sz w:val="24"/>
          <w:u w:val="none"/>
          <w14:textFill>
            <w14:solidFill>
              <w14:schemeClr w14:val="tx1"/>
            </w14:solidFill>
          </w14:textFill>
        </w:rPr>
        <w:instrText xml:space="preserve"> HYPERLINK "mailto:ymchen@fjnu.edu.cn" </w:instrText>
      </w:r>
      <w:r>
        <w:rPr>
          <w:rFonts w:ascii="Times New Roman" w:hAnsi="Times New Roman" w:cs="Times New Roman"/>
          <w:bCs/>
          <w:color w:val="000000" w:themeColor="text1"/>
          <w:sz w:val="24"/>
          <w:u w:val="none"/>
          <w14:textFill>
            <w14:solidFill>
              <w14:schemeClr w14:val="tx1"/>
            </w14:solidFill>
          </w14:textFill>
        </w:rPr>
        <w:fldChar w:fldCharType="separate"/>
      </w:r>
      <w:r>
        <w:rPr>
          <w:rStyle w:val="9"/>
          <w:rFonts w:ascii="Times New Roman" w:hAnsi="Times New Roman" w:cs="Times New Roman"/>
          <w:bCs/>
          <w:color w:val="000000" w:themeColor="text1"/>
          <w:sz w:val="24"/>
          <w:u w:val="none"/>
          <w14:textFill>
            <w14:solidFill>
              <w14:schemeClr w14:val="tx1"/>
            </w14:solidFill>
          </w14:textFill>
        </w:rPr>
        <w:t>ymchen@fjnu.edu.cn</w:t>
      </w:r>
      <w:r>
        <w:rPr>
          <w:rStyle w:val="9"/>
          <w:rFonts w:ascii="Times New Roman" w:hAnsi="Times New Roman" w:cs="Times New Roman"/>
          <w:bCs/>
          <w:color w:val="000000" w:themeColor="text1"/>
          <w:sz w:val="24"/>
          <w:u w:val="none"/>
          <w14:textFill>
            <w14:solidFill>
              <w14:schemeClr w14:val="tx1"/>
            </w14:solidFill>
          </w14:textFill>
        </w:rPr>
        <w:br w:type="page"/>
      </w:r>
      <w:r>
        <w:rPr>
          <w:rFonts w:ascii="Times New Roman" w:hAnsi="Times New Roman" w:cs="Times New Roman"/>
          <w:bCs/>
          <w:color w:val="000000" w:themeColor="text1"/>
          <w:sz w:val="24"/>
          <w:u w:val="none"/>
          <w14:textFill>
            <w14:solidFill>
              <w14:schemeClr w14:val="tx1"/>
            </w14:solidFill>
          </w14:textFill>
        </w:rPr>
        <w:fldChar w:fldCharType="end"/>
      </w:r>
    </w:p>
    <w:p w14:paraId="01B93C27">
      <w:pPr>
        <w:keepNext/>
        <w:keepLines/>
        <w:spacing w:after="0" w:line="480" w:lineRule="auto"/>
        <w:jc w:val="both"/>
        <w:outlineLvl w:val="0"/>
        <w:rPr>
          <w:rFonts w:hint="default" w:ascii="Times New Roman" w:hAnsi="Times New Roman" w:eastAsia="宋体" w:cs="Times New Roman"/>
          <w:b/>
          <w:kern w:val="44"/>
          <w:sz w:val="24"/>
          <w14:ligatures w14:val="none"/>
        </w:rPr>
      </w:pPr>
      <w:r>
        <w:rPr>
          <w:rFonts w:hint="default" w:ascii="Times New Roman" w:hAnsi="Times New Roman" w:eastAsia="宋体" w:cs="Times New Roman"/>
          <w:b/>
          <w:kern w:val="44"/>
          <w:sz w:val="24"/>
          <w14:ligatures w14:val="none"/>
        </w:rPr>
        <w:t>Supplementary methods</w:t>
      </w:r>
    </w:p>
    <w:p w14:paraId="3A4555D9">
      <w:pPr>
        <w:keepNext/>
        <w:keepLines/>
        <w:spacing w:after="0" w:line="480" w:lineRule="auto"/>
        <w:jc w:val="both"/>
        <w:outlineLvl w:val="1"/>
        <w:rPr>
          <w:rFonts w:hint="default" w:ascii="Times New Roman" w:hAnsi="Times New Roman" w:eastAsia="宋体" w:cs="Times New Roman"/>
          <w:b/>
          <w:kern w:val="44"/>
          <w:sz w:val="24"/>
          <w14:ligatures w14:val="none"/>
        </w:rPr>
      </w:pPr>
      <w:r>
        <w:rPr>
          <w:rFonts w:hint="default" w:ascii="Times New Roman" w:hAnsi="Times New Roman" w:eastAsia="宋体" w:cs="Times New Roman"/>
          <w:b/>
          <w:kern w:val="44"/>
          <w:sz w:val="24"/>
          <w14:ligatures w14:val="none"/>
        </w:rPr>
        <w:t>Soil chemical analysis</w:t>
      </w:r>
    </w:p>
    <w:p w14:paraId="10FB29B9">
      <w:pPr>
        <w:adjustRightInd w:val="0"/>
        <w:spacing w:after="0" w:line="480" w:lineRule="auto"/>
        <w:ind w:firstLine="480" w:firstLineChars="200"/>
        <w:jc w:val="both"/>
        <w:rPr>
          <w:rFonts w:hint="default" w:ascii="Times New Roman" w:hAnsi="Times New Roman" w:cs="Times New Roman"/>
          <w:bCs/>
          <w:sz w:val="24"/>
          <w:shd w:val="clear" w:color="auto" w:fill="FFFFFF"/>
          <w14:ligatures w14:val="none"/>
        </w:rPr>
      </w:pPr>
      <w:r>
        <w:rPr>
          <w:rFonts w:hint="default" w:ascii="Times New Roman" w:hAnsi="Times New Roman" w:cs="Times New Roman"/>
          <w:bCs/>
          <w:sz w:val="24"/>
          <w:shd w:val="clear" w:color="auto" w:fill="FFFFFF"/>
          <w14:ligatures w14:val="none"/>
        </w:rPr>
        <w:t>Soil pH was determined in a 1:2.5 (w/v) soil-to-water suspension using a calibrated pH meter (STARTER 300; OHAUS</w:t>
      </w:r>
      <w:r>
        <w:rPr>
          <w:rFonts w:hint="default" w:ascii="Times New Roman" w:hAnsi="Times New Roman" w:eastAsia="PMingLiU" w:cs="Times New Roman"/>
          <w:bCs/>
          <w:sz w:val="24"/>
          <w:shd w:val="clear" w:color="auto" w:fill="FFFFFF"/>
          <w:lang w:eastAsia="zh-TW"/>
          <w14:ligatures w14:val="none"/>
        </w:rPr>
        <w:t xml:space="preserve"> </w:t>
      </w:r>
      <w:r>
        <w:rPr>
          <w:rFonts w:hint="default" w:ascii="Times New Roman" w:hAnsi="Times New Roman" w:cs="Times New Roman"/>
          <w:bCs/>
          <w:sz w:val="24"/>
          <w:shd w:val="clear" w:color="auto" w:fill="FFFFFF"/>
          <w14:ligatures w14:val="none"/>
        </w:rPr>
        <w:t>Corporation, Parsippany, NJ, U</w:t>
      </w:r>
      <w:bookmarkEnd w:id="0"/>
      <w:r>
        <w:rPr>
          <w:rFonts w:hint="default" w:ascii="Times New Roman" w:hAnsi="Times New Roman" w:cs="Times New Roman"/>
          <w:bCs/>
          <w:sz w:val="24"/>
          <w:shd w:val="clear" w:color="auto" w:fill="FFFFFF"/>
          <w14:ligatures w14:val="none"/>
        </w:rPr>
        <w:t>SA). Soil organic carbon (SOC) was quantified using an elemental analyzer (Elementar Vario EL III; Ronkonkoma, NY, USA Germany) following carbonate removal with diluted hydrochloric acid. Total nitrogen (TN) and the</w:t>
      </w:r>
      <w:r>
        <w:rPr>
          <w:rFonts w:hint="default" w:ascii="Times New Roman" w:hAnsi="Times New Roman" w:eastAsia="PMingLiU" w:cs="Times New Roman"/>
          <w:bCs/>
          <w:sz w:val="24"/>
          <w:shd w:val="clear" w:color="auto" w:fill="FFFFFF"/>
          <w:lang w:eastAsia="zh-TW"/>
          <w14:ligatures w14:val="none"/>
        </w:rPr>
        <w:t xml:space="preserve"> </w:t>
      </w:r>
      <w:r>
        <w:rPr>
          <w:rFonts w:hint="default" w:ascii="Times New Roman" w:hAnsi="Times New Roman" w:cs="Times New Roman"/>
          <w:bCs/>
          <w:sz w:val="24"/>
          <w:shd w:val="clear" w:color="auto" w:fill="FFFFFF"/>
          <w14:ligatures w14:val="none"/>
        </w:rPr>
        <w:t>C:N ratio were measured with the same elemental analyzer (Elementar Vario EL III; Elementar, Germany). Soil total phosphorus (TP) was extracted using HClO</w:t>
      </w:r>
      <w:r>
        <w:rPr>
          <w:rFonts w:hint="default" w:ascii="Times New Roman" w:hAnsi="Times New Roman" w:cs="Times New Roman"/>
          <w:bCs/>
          <w:sz w:val="24"/>
          <w:shd w:val="clear" w:color="auto" w:fill="FFFFFF"/>
          <w:vertAlign w:val="subscript"/>
          <w14:ligatures w14:val="none"/>
        </w:rPr>
        <w:t>4</w:t>
      </w:r>
      <w:r>
        <w:rPr>
          <w:rFonts w:hint="default" w:ascii="Times New Roman" w:hAnsi="Times New Roman" w:cs="Times New Roman"/>
          <w:bCs/>
          <w:sz w:val="24"/>
          <w:shd w:val="clear" w:color="auto" w:fill="FFFFFF"/>
          <w14:ligatures w14:val="none"/>
        </w:rPr>
        <w:t>–H</w:t>
      </w:r>
      <w:r>
        <w:rPr>
          <w:rFonts w:hint="default" w:ascii="Times New Roman" w:hAnsi="Times New Roman" w:cs="Times New Roman"/>
          <w:bCs/>
          <w:sz w:val="24"/>
          <w:shd w:val="clear" w:color="auto" w:fill="FFFFFF"/>
          <w:vertAlign w:val="subscript"/>
          <w14:ligatures w14:val="none"/>
        </w:rPr>
        <w:t>2</w:t>
      </w:r>
      <w:r>
        <w:rPr>
          <w:rFonts w:hint="default" w:ascii="Times New Roman" w:hAnsi="Times New Roman" w:cs="Times New Roman"/>
          <w:bCs/>
          <w:sz w:val="24"/>
          <w:shd w:val="clear" w:color="auto" w:fill="FFFFFF"/>
          <w14:ligatures w14:val="none"/>
        </w:rPr>
        <w:t>SO</w:t>
      </w:r>
      <w:r>
        <w:rPr>
          <w:rFonts w:hint="default" w:ascii="Times New Roman" w:hAnsi="Times New Roman" w:cs="Times New Roman"/>
          <w:bCs/>
          <w:sz w:val="24"/>
          <w:shd w:val="clear" w:color="auto" w:fill="FFFFFF"/>
          <w:vertAlign w:val="subscript"/>
          <w14:ligatures w14:val="none"/>
        </w:rPr>
        <w:t>4</w:t>
      </w:r>
      <w:r>
        <w:rPr>
          <w:rFonts w:hint="default" w:ascii="Times New Roman" w:hAnsi="Times New Roman" w:cs="Times New Roman"/>
          <w:bCs/>
          <w:sz w:val="24"/>
          <w:shd w:val="clear" w:color="auto" w:fill="FFFFFF"/>
          <w14:ligatures w14:val="none"/>
        </w:rPr>
        <w:t xml:space="preserve"> and analyzed with a continuous flow analyzer (Skalar san++; Skalar Analytical, B.V., Breda, The Netherlands). Soil inorganic nitrogen (NH₄⁺-N and NO₃</w:t>
      </w:r>
      <w:r>
        <w:rPr>
          <w:rFonts w:hint="default" w:ascii="Times New Roman" w:hAnsi="Times New Roman" w:cs="Times New Roman"/>
          <w:bCs/>
          <w:sz w:val="24"/>
          <w:shd w:val="clear" w:color="auto" w:fill="FFFFFF"/>
          <w:vertAlign w:val="superscript"/>
          <w14:ligatures w14:val="none"/>
        </w:rPr>
        <w:t>−</w:t>
      </w:r>
      <w:r>
        <w:rPr>
          <w:rFonts w:hint="default" w:ascii="Times New Roman" w:hAnsi="Times New Roman" w:cs="Times New Roman"/>
          <w:bCs/>
          <w:sz w:val="24"/>
          <w:shd w:val="clear" w:color="auto" w:fill="FFFFFF"/>
          <w14:ligatures w14:val="none"/>
        </w:rPr>
        <w:t>-N) was extracted using 2 mol L</w:t>
      </w:r>
      <w:bookmarkStart w:id="4" w:name="OLE_LINK18"/>
      <w:r>
        <w:rPr>
          <w:rFonts w:hint="default" w:ascii="Times New Roman" w:hAnsi="Times New Roman" w:cs="Times New Roman"/>
          <w:bCs/>
          <w:sz w:val="24"/>
          <w:shd w:val="clear" w:color="auto" w:fill="FFFFFF"/>
          <w:vertAlign w:val="superscript"/>
          <w14:ligatures w14:val="none"/>
        </w:rPr>
        <w:t>−1</w:t>
      </w:r>
      <w:bookmarkEnd w:id="4"/>
      <w:r>
        <w:rPr>
          <w:rFonts w:hint="default" w:ascii="Times New Roman" w:hAnsi="Times New Roman" w:cs="Times New Roman"/>
          <w:bCs/>
          <w:sz w:val="24"/>
          <w:shd w:val="clear" w:color="auto" w:fill="FFFFFF"/>
          <w14:ligatures w14:val="none"/>
        </w:rPr>
        <w:t xml:space="preserve"> KCl and quantified by continuous flow analysis. Results of the soil chemical properties are presented in Table S1.</w:t>
      </w:r>
    </w:p>
    <w:p w14:paraId="0E7C580E">
      <w:pPr>
        <w:adjustRightInd w:val="0"/>
        <w:spacing w:after="0" w:line="480" w:lineRule="auto"/>
        <w:ind w:firstLine="480" w:firstLineChars="200"/>
        <w:jc w:val="both"/>
        <w:rPr>
          <w:rFonts w:hint="default" w:ascii="Times New Roman" w:hAnsi="Times New Roman" w:cs="Times New Roman"/>
          <w:bCs/>
          <w:sz w:val="24"/>
          <w:shd w:val="clear" w:color="auto" w:fill="FFFFFF"/>
          <w14:ligatures w14:val="none"/>
        </w:rPr>
      </w:pPr>
    </w:p>
    <w:p w14:paraId="534ACD41">
      <w:pPr>
        <w:keepNext/>
        <w:keepLines/>
        <w:spacing w:after="0" w:line="480" w:lineRule="auto"/>
        <w:jc w:val="both"/>
        <w:outlineLvl w:val="1"/>
        <w:rPr>
          <w:rFonts w:hint="default" w:ascii="Times New Roman" w:hAnsi="Times New Roman" w:eastAsia="宋体" w:cs="Times New Roman"/>
          <w:b/>
          <w:kern w:val="44"/>
          <w:sz w:val="24"/>
          <w14:ligatures w14:val="none"/>
        </w:rPr>
      </w:pPr>
      <w:r>
        <w:rPr>
          <w:rFonts w:hint="default" w:ascii="Times New Roman" w:hAnsi="Times New Roman" w:eastAsia="宋体" w:cs="Times New Roman"/>
          <w:b/>
          <w:kern w:val="44"/>
          <w:sz w:val="24"/>
          <w14:ligatures w14:val="none"/>
        </w:rPr>
        <w:t>Fluorescence EEMs and PARAFAC analysis of DOM</w:t>
      </w:r>
    </w:p>
    <w:p w14:paraId="77B10AFB">
      <w:pPr>
        <w:spacing w:after="0" w:line="480" w:lineRule="auto"/>
        <w:ind w:firstLine="480" w:firstLineChars="200"/>
        <w:jc w:val="both"/>
        <w:rPr>
          <w:rFonts w:hint="default" w:ascii="Times New Roman" w:hAnsi="Times New Roman" w:cs="Times New Roman"/>
          <w:bCs/>
          <w:sz w:val="24"/>
          <w:shd w:val="clear" w:color="auto" w:fill="FFFFFF"/>
          <w14:ligatures w14:val="none"/>
        </w:rPr>
      </w:pPr>
      <w:r>
        <w:rPr>
          <w:rFonts w:hint="default" w:ascii="Times New Roman" w:hAnsi="Times New Roman" w:cs="Times New Roman"/>
          <w:bCs/>
          <w:sz w:val="24"/>
          <w:shd w:val="clear" w:color="auto" w:fill="FFFFFF"/>
          <w14:ligatures w14:val="none"/>
        </w:rPr>
        <w:t>Fluorescence excitation-emission matrices (EEMs) were recorded at a scan rate of 2400 nm min</w:t>
      </w:r>
      <w:r>
        <w:rPr>
          <w:rFonts w:hint="default" w:ascii="Times New Roman" w:hAnsi="Times New Roman" w:cs="Times New Roman"/>
          <w:bCs/>
          <w:sz w:val="24"/>
          <w:shd w:val="clear" w:color="auto" w:fill="FFFFFF"/>
          <w:vertAlign w:val="superscript"/>
          <w14:ligatures w14:val="none"/>
        </w:rPr>
        <w:t>−1</w:t>
      </w:r>
      <w:r>
        <w:rPr>
          <w:rFonts w:hint="default" w:ascii="Times New Roman" w:hAnsi="Times New Roman" w:cs="Times New Roman"/>
          <w:bCs/>
          <w:sz w:val="24"/>
          <w:shd w:val="clear" w:color="auto" w:fill="FFFFFF"/>
          <w14:ligatures w14:val="none"/>
        </w:rPr>
        <w:t xml:space="preserve"> across excitation wavelengths from 200 to 450 nm (5 nm increments) and emission wavelengths between 220 and 600 nm (2 nm increments). To eliminate water Raman signals, Milli-Q blank spectra were subtracted (</w:t>
      </w:r>
      <w:r>
        <w:rPr>
          <w:rFonts w:hint="default" w:ascii="Times New Roman" w:hAnsi="Times New Roman" w:cs="Times New Roman"/>
          <w:bCs/>
          <w:color w:val="0070C0"/>
          <w:sz w:val="24"/>
          <w:shd w:val="clear" w:color="auto" w:fill="FFFFFF"/>
          <w14:ligatures w14:val="none"/>
        </w:rPr>
        <w:t>Chen et al. 2003; Stedmon et al. 2003</w:t>
      </w:r>
      <w:r>
        <w:rPr>
          <w:rFonts w:hint="default" w:ascii="Times New Roman" w:hAnsi="Times New Roman" w:cs="Times New Roman"/>
          <w:bCs/>
          <w:sz w:val="24"/>
          <w:shd w:val="clear" w:color="auto" w:fill="FFFFFF"/>
          <w14:ligatures w14:val="none"/>
        </w:rPr>
        <w:t>), while Rayleigh scattering was removed through interpolation via the drEEM toolbox (</w:t>
      </w:r>
      <w:r>
        <w:rPr>
          <w:rFonts w:hint="default" w:ascii="Times New Roman" w:hAnsi="Times New Roman" w:cs="Times New Roman"/>
          <w:bCs/>
          <w:color w:val="0070C0"/>
          <w:sz w:val="24"/>
          <w:shd w:val="clear" w:color="auto" w:fill="FFFFFF"/>
          <w14:ligatures w14:val="none"/>
        </w:rPr>
        <w:t>Murphy et al. 2013</w:t>
      </w:r>
      <w:r>
        <w:rPr>
          <w:rFonts w:hint="default" w:ascii="Times New Roman" w:hAnsi="Times New Roman" w:cs="Times New Roman"/>
          <w:bCs/>
          <w:sz w:val="24"/>
          <w:shd w:val="clear" w:color="auto" w:fill="FFFFFF"/>
          <w14:ligatures w14:val="none"/>
        </w:rPr>
        <w:t>). The EEMs were subsequently converted to Raman units using the water Raman peak (excitation at 350 nm; emission from 365 to 450 nm) following established protocols (</w:t>
      </w:r>
      <w:r>
        <w:rPr>
          <w:rFonts w:hint="default" w:ascii="Times New Roman" w:hAnsi="Times New Roman" w:cs="Times New Roman"/>
          <w:bCs/>
          <w:color w:val="0070C0"/>
          <w:sz w:val="24"/>
          <w:shd w:val="clear" w:color="auto" w:fill="FFFFFF"/>
          <w14:ligatures w14:val="none"/>
        </w:rPr>
        <w:t>Murphy et al</w:t>
      </w:r>
      <w:r>
        <w:rPr>
          <w:rFonts w:hint="eastAsia" w:ascii="Times New Roman" w:hAnsi="Times New Roman" w:cs="Times New Roman"/>
          <w:bCs/>
          <w:color w:val="0070C0"/>
          <w:sz w:val="24"/>
          <w:shd w:val="clear" w:color="auto" w:fill="FFFFFF"/>
          <w:lang w:val="en-US" w:eastAsia="zh-CN"/>
          <w14:ligatures w14:val="none"/>
        </w:rPr>
        <w:t>.</w:t>
      </w:r>
      <w:r>
        <w:rPr>
          <w:rFonts w:hint="default" w:ascii="Times New Roman" w:hAnsi="Times New Roman" w:cs="Times New Roman"/>
          <w:bCs/>
          <w:color w:val="0070C0"/>
          <w:sz w:val="24"/>
          <w:shd w:val="clear" w:color="auto" w:fill="FFFFFF"/>
          <w14:ligatures w14:val="none"/>
        </w:rPr>
        <w:t xml:space="preserve"> 2010; Stedmon et al. 2003</w:t>
      </w:r>
      <w:r>
        <w:rPr>
          <w:rFonts w:hint="default" w:ascii="Times New Roman" w:hAnsi="Times New Roman" w:cs="Times New Roman"/>
          <w:bCs/>
          <w:sz w:val="24"/>
          <w:shd w:val="clear" w:color="auto" w:fill="FFFFFF"/>
          <w14:ligatures w14:val="none"/>
        </w:rPr>
        <w:t>). Three characteristic fluorescence indices were then calculated to assess DOM optical properties: 1) the fluorescence index (FI), determined as the emission intensity ratio of 470 nm versus 520 nm at 370 nm excitation (</w:t>
      </w:r>
      <w:r>
        <w:rPr>
          <w:rFonts w:hint="default" w:ascii="Times New Roman" w:hAnsi="Times New Roman" w:cs="Times New Roman"/>
          <w:bCs/>
          <w:color w:val="0070C0"/>
          <w:sz w:val="24"/>
          <w:shd w:val="clear" w:color="auto" w:fill="FFFFFF"/>
          <w14:ligatures w14:val="none"/>
        </w:rPr>
        <w:t xml:space="preserve">Cory </w:t>
      </w:r>
      <w:r>
        <w:rPr>
          <w:rFonts w:hint="eastAsia" w:ascii="Times New Roman" w:hAnsi="Times New Roman" w:cs="Times New Roman"/>
          <w:bCs/>
          <w:color w:val="0070C0"/>
          <w:sz w:val="24"/>
          <w:shd w:val="clear" w:color="auto" w:fill="FFFFFF"/>
          <w:lang w:eastAsia="zh-CN"/>
          <w14:ligatures w14:val="none"/>
        </w:rPr>
        <w:t>and</w:t>
      </w:r>
      <w:r>
        <w:rPr>
          <w:rFonts w:hint="default" w:ascii="Times New Roman" w:hAnsi="Times New Roman" w:cs="Times New Roman"/>
          <w:bCs/>
          <w:color w:val="0070C0"/>
          <w:sz w:val="24"/>
          <w:shd w:val="clear" w:color="auto" w:fill="FFFFFF"/>
          <w14:ligatures w14:val="none"/>
        </w:rPr>
        <w:t xml:space="preserve"> McKnight 2005</w:t>
      </w:r>
      <w:r>
        <w:rPr>
          <w:rFonts w:hint="default" w:ascii="Times New Roman" w:hAnsi="Times New Roman" w:cs="Times New Roman"/>
          <w:bCs/>
          <w:sz w:val="24"/>
          <w:shd w:val="clear" w:color="auto" w:fill="FFFFFF"/>
          <w14:ligatures w14:val="none"/>
        </w:rPr>
        <w:t>); 2) the biological index (BIX), expressed as the ratio of emission intensities at 380 nm to 430 nm under 310 nm excitation (</w:t>
      </w:r>
      <w:r>
        <w:rPr>
          <w:rFonts w:hint="default" w:ascii="Times New Roman" w:hAnsi="Times New Roman" w:cs="Times New Roman"/>
          <w:bCs/>
          <w:color w:val="0070C0"/>
          <w:sz w:val="24"/>
          <w:shd w:val="clear" w:color="auto" w:fill="FFFFFF"/>
          <w14:ligatures w14:val="none"/>
        </w:rPr>
        <w:t>Huguet et al. 2010</w:t>
      </w:r>
      <w:r>
        <w:rPr>
          <w:rFonts w:hint="default" w:ascii="Times New Roman" w:hAnsi="Times New Roman" w:cs="Times New Roman"/>
          <w:bCs/>
          <w:sz w:val="24"/>
          <w:shd w:val="clear" w:color="auto" w:fill="FFFFFF"/>
          <w14:ligatures w14:val="none"/>
        </w:rPr>
        <w:t>); and 3) the humification index (HIX), defined as the integrated emission ratio between 435-480 nm and 300-345 nm at 254 nm excitation (</w:t>
      </w:r>
      <w:r>
        <w:rPr>
          <w:rFonts w:hint="default" w:ascii="Times New Roman" w:hAnsi="Times New Roman" w:cs="Times New Roman"/>
          <w:bCs/>
          <w:color w:val="0070C0"/>
          <w:sz w:val="24"/>
          <w:shd w:val="clear" w:color="auto" w:fill="FFFFFF"/>
          <w14:ligatures w14:val="none"/>
        </w:rPr>
        <w:t>Ohno 2002</w:t>
      </w:r>
      <w:r>
        <w:rPr>
          <w:rFonts w:hint="default" w:ascii="Times New Roman" w:hAnsi="Times New Roman" w:cs="Times New Roman"/>
          <w:bCs/>
          <w:sz w:val="24"/>
          <w:shd w:val="clear" w:color="auto" w:fill="FFFFFF"/>
          <w14:ligatures w14:val="none"/>
        </w:rPr>
        <w:t>).</w:t>
      </w:r>
    </w:p>
    <w:p w14:paraId="5DFF2D40">
      <w:pPr>
        <w:spacing w:after="0" w:line="480" w:lineRule="auto"/>
        <w:ind w:firstLine="480" w:firstLineChars="200"/>
        <w:jc w:val="both"/>
        <w:rPr>
          <w:rFonts w:hint="default" w:ascii="Times New Roman" w:hAnsi="Times New Roman" w:cs="Times New Roman"/>
          <w:bCs/>
          <w:sz w:val="24"/>
          <w:shd w:val="clear" w:color="auto" w:fill="FFFFFF"/>
          <w14:ligatures w14:val="none"/>
        </w:rPr>
      </w:pPr>
      <w:r>
        <w:rPr>
          <w:rFonts w:hint="default" w:ascii="Times New Roman" w:hAnsi="Times New Roman" w:cs="Times New Roman"/>
          <w:bCs/>
          <w:sz w:val="24"/>
          <w:shd w:val="clear" w:color="auto" w:fill="FFFFFF"/>
          <w14:ligatures w14:val="none"/>
        </w:rPr>
        <w:t xml:space="preserve">Parallel factor (PARAFAC) analysis was performed on excitation–emission matrix (EEM) data using the </w:t>
      </w:r>
      <w:r>
        <w:rPr>
          <w:rFonts w:hint="default" w:ascii="Times New Roman" w:hAnsi="Times New Roman" w:cs="Times New Roman"/>
          <w:sz w:val="24"/>
          <w:shd w:val="clear" w:color="auto" w:fill="FFFFFF"/>
          <w14:ligatures w14:val="none"/>
        </w:rPr>
        <w:t>DOMFluor</w:t>
      </w:r>
      <w:r>
        <w:rPr>
          <w:rFonts w:hint="default" w:ascii="Times New Roman" w:hAnsi="Times New Roman" w:cs="Times New Roman"/>
          <w:bCs/>
          <w:sz w:val="24"/>
          <w:shd w:val="clear" w:color="auto" w:fill="FFFFFF"/>
          <w14:ligatures w14:val="none"/>
        </w:rPr>
        <w:t xml:space="preserve"> toolbox and the “N-way</w:t>
      </w:r>
      <w:r>
        <w:rPr>
          <w:rFonts w:hint="default" w:ascii="Times New Roman" w:hAnsi="Times New Roman" w:cs="Times New Roman"/>
          <w:sz w:val="24"/>
          <w:shd w:val="clear" w:color="auto" w:fill="FFFFFF"/>
          <w14:ligatures w14:val="none"/>
        </w:rPr>
        <w:t>”</w:t>
      </w:r>
      <w:r>
        <w:rPr>
          <w:rFonts w:hint="default" w:ascii="Times New Roman" w:hAnsi="Times New Roman" w:cs="Times New Roman"/>
          <w:bCs/>
          <w:sz w:val="24"/>
          <w:shd w:val="clear" w:color="auto" w:fill="FFFFFF"/>
          <w14:ligatures w14:val="none"/>
        </w:rPr>
        <w:t xml:space="preserve"> package in </w:t>
      </w:r>
      <w:r>
        <w:rPr>
          <w:rFonts w:hint="default" w:ascii="Times New Roman" w:hAnsi="Times New Roman" w:cs="Times New Roman"/>
          <w:sz w:val="24"/>
          <w:shd w:val="clear" w:color="auto" w:fill="FFFFFF"/>
          <w14:ligatures w14:val="none"/>
        </w:rPr>
        <w:t>MATLAB R2018a</w:t>
      </w:r>
      <w:r>
        <w:rPr>
          <w:rFonts w:hint="default" w:ascii="Times New Roman" w:hAnsi="Times New Roman" w:cs="Times New Roman"/>
          <w:bCs/>
          <w:sz w:val="24"/>
          <w:shd w:val="clear" w:color="auto" w:fill="FFFFFF"/>
          <w14:ligatures w14:val="none"/>
        </w:rPr>
        <w:t>, following the protocol described by Stedmon and Bro (2008). The analysis involved three main steps: 1) removal of scattering-affected regions by zeroing values below Rayleigh peaks and subtracting Milli-Q water blanks to eliminate Raman scattering; 2) application of nonnegativity constraints and identification of outliers (based on high residuals or leverage) for exclusion; and 3) determination of optimal fluorescent DOM components via residual analysis, split-half validation, random initialization, and spectral shape evaluation (</w:t>
      </w:r>
      <w:r>
        <w:rPr>
          <w:rFonts w:hint="default" w:ascii="Times New Roman" w:hAnsi="Times New Roman" w:cs="Times New Roman"/>
          <w:bCs/>
          <w:color w:val="0070C0"/>
          <w:sz w:val="24"/>
          <w:shd w:val="clear" w:color="auto" w:fill="FFFFFF"/>
          <w14:ligatures w14:val="none"/>
        </w:rPr>
        <w:t xml:space="preserve">Stedmon </w:t>
      </w:r>
      <w:r>
        <w:rPr>
          <w:rFonts w:hint="eastAsia" w:ascii="Times New Roman" w:hAnsi="Times New Roman" w:cs="Times New Roman"/>
          <w:bCs/>
          <w:color w:val="0070C0"/>
          <w:sz w:val="24"/>
          <w:shd w:val="clear" w:color="auto" w:fill="FFFFFF"/>
          <w:lang w:eastAsia="zh-CN"/>
          <w14:ligatures w14:val="none"/>
        </w:rPr>
        <w:t>and</w:t>
      </w:r>
      <w:r>
        <w:rPr>
          <w:rFonts w:hint="default" w:ascii="Times New Roman" w:hAnsi="Times New Roman" w:cs="Times New Roman"/>
          <w:bCs/>
          <w:color w:val="0070C0"/>
          <w:sz w:val="24"/>
          <w:shd w:val="clear" w:color="auto" w:fill="FFFFFF"/>
          <w14:ligatures w14:val="none"/>
        </w:rPr>
        <w:t xml:space="preserve"> Bro 2008</w:t>
      </w:r>
      <w:r>
        <w:rPr>
          <w:rFonts w:hint="default" w:ascii="Times New Roman" w:hAnsi="Times New Roman" w:cs="Times New Roman"/>
          <w:bCs/>
          <w:sz w:val="24"/>
          <w:shd w:val="clear" w:color="auto" w:fill="FFFFFF"/>
          <w14:ligatures w14:val="none"/>
        </w:rPr>
        <w:t>). The resulting components were spectrally characterized and validated against the OpenFluor reference database (</w:t>
      </w:r>
      <w:r>
        <w:rPr>
          <w:rFonts w:hint="default" w:ascii="Times New Roman" w:hAnsi="Times New Roman" w:cs="Times New Roman"/>
          <w:bCs/>
          <w:color w:val="0070C0"/>
          <w:sz w:val="24"/>
          <w:shd w:val="clear" w:color="auto" w:fill="FFFFFF"/>
          <w14:ligatures w14:val="none"/>
        </w:rPr>
        <w:t>Murphy et al. 2013</w:t>
      </w:r>
      <w:r>
        <w:rPr>
          <w:rFonts w:hint="default" w:ascii="Times New Roman" w:hAnsi="Times New Roman" w:cs="Times New Roman"/>
          <w:bCs/>
          <w:sz w:val="24"/>
          <w:shd w:val="clear" w:color="auto" w:fill="FFFFFF"/>
          <w14:ligatures w14:val="none"/>
        </w:rPr>
        <w:t>). The relative content of each component was expressed as the maximum fluorescence intensity (Fmax), with their percentage contributions to total fluorescence denoted as C1</w:t>
      </w:r>
      <w:r>
        <w:rPr>
          <w:rFonts w:hint="default" w:ascii="Times New Roman" w:hAnsi="Times New Roman" w:cs="Times New Roman"/>
          <w:sz w:val="24"/>
          <w:shd w:val="clear" w:color="auto" w:fill="FFFFFF"/>
          <w14:ligatures w14:val="none"/>
        </w:rPr>
        <w:t>–</w:t>
      </w:r>
      <w:r>
        <w:rPr>
          <w:rFonts w:hint="default" w:ascii="Times New Roman" w:hAnsi="Times New Roman" w:cs="Times New Roman"/>
          <w:bCs/>
          <w:sz w:val="24"/>
          <w:shd w:val="clear" w:color="auto" w:fill="FFFFFF"/>
          <w14:ligatures w14:val="none"/>
        </w:rPr>
        <w:t>C3 (%) (</w:t>
      </w:r>
      <w:r>
        <w:rPr>
          <w:rFonts w:hint="default" w:ascii="Times New Roman" w:hAnsi="Times New Roman" w:cs="Times New Roman"/>
          <w:bCs/>
          <w:color w:val="0070C0"/>
          <w:sz w:val="24"/>
          <w:shd w:val="clear" w:color="auto" w:fill="FFFFFF"/>
          <w14:ligatures w14:val="none"/>
        </w:rPr>
        <w:t xml:space="preserve">Murphy et al. 2013; Ohno et al. 2008; Stedmon </w:t>
      </w:r>
      <w:r>
        <w:rPr>
          <w:rFonts w:hint="eastAsia" w:ascii="Times New Roman" w:hAnsi="Times New Roman" w:cs="Times New Roman"/>
          <w:bCs/>
          <w:color w:val="0070C0"/>
          <w:sz w:val="24"/>
          <w:shd w:val="clear" w:color="auto" w:fill="FFFFFF"/>
          <w:lang w:eastAsia="zh-CN"/>
          <w14:ligatures w14:val="none"/>
        </w:rPr>
        <w:t>and</w:t>
      </w:r>
      <w:r>
        <w:rPr>
          <w:rFonts w:hint="default" w:ascii="Times New Roman" w:hAnsi="Times New Roman" w:cs="Times New Roman"/>
          <w:bCs/>
          <w:color w:val="0070C0"/>
          <w:sz w:val="24"/>
          <w:shd w:val="clear" w:color="auto" w:fill="FFFFFF"/>
          <w14:ligatures w14:val="none"/>
        </w:rPr>
        <w:t xml:space="preserve"> Bro 2008</w:t>
      </w:r>
      <w:r>
        <w:rPr>
          <w:rFonts w:hint="default" w:ascii="Times New Roman" w:hAnsi="Times New Roman" w:cs="Times New Roman"/>
          <w:bCs/>
          <w:sz w:val="24"/>
          <w:shd w:val="clear" w:color="auto" w:fill="FFFFFF"/>
          <w14:ligatures w14:val="none"/>
        </w:rPr>
        <w:t>).</w:t>
      </w:r>
    </w:p>
    <w:p w14:paraId="2177EA03">
      <w:pPr>
        <w:spacing w:after="0" w:line="480" w:lineRule="auto"/>
        <w:ind w:firstLine="480" w:firstLineChars="200"/>
        <w:jc w:val="both"/>
        <w:rPr>
          <w:rFonts w:hint="default" w:ascii="Times New Roman" w:hAnsi="Times New Roman" w:cs="Times New Roman"/>
          <w:bCs/>
          <w:sz w:val="24"/>
          <w:shd w:val="clear" w:color="auto" w:fill="FFFFFF"/>
          <w14:ligatures w14:val="none"/>
        </w:rPr>
      </w:pPr>
    </w:p>
    <w:p w14:paraId="10592EF0">
      <w:pPr>
        <w:keepNext/>
        <w:keepLines/>
        <w:spacing w:after="0" w:line="480" w:lineRule="auto"/>
        <w:jc w:val="both"/>
        <w:outlineLvl w:val="1"/>
        <w:rPr>
          <w:rFonts w:hint="default" w:ascii="Times New Roman" w:hAnsi="Times New Roman" w:eastAsia="宋体" w:cs="Times New Roman"/>
          <w:b/>
          <w:kern w:val="44"/>
          <w:sz w:val="24"/>
          <w14:ligatures w14:val="none"/>
        </w:rPr>
      </w:pPr>
      <w:r>
        <w:rPr>
          <w:rFonts w:hint="default" w:ascii="Times New Roman" w:hAnsi="Times New Roman" w:eastAsia="宋体" w:cs="Times New Roman"/>
          <w:b/>
          <w:kern w:val="44"/>
          <w:sz w:val="24"/>
          <w14:ligatures w14:val="none"/>
        </w:rPr>
        <w:t>Determination of microbial biomass</w:t>
      </w:r>
    </w:p>
    <w:p w14:paraId="486A695B">
      <w:pPr>
        <w:spacing w:after="0" w:line="480" w:lineRule="auto"/>
        <w:jc w:val="both"/>
        <w:rPr>
          <w:rFonts w:hint="default" w:ascii="Times New Roman" w:hAnsi="Times New Roman" w:cs="Times New Roman"/>
          <w:bCs/>
          <w:sz w:val="24"/>
          <w:shd w:val="clear" w:color="auto" w:fill="FFFFFF"/>
          <w14:ligatures w14:val="none"/>
        </w:rPr>
      </w:pPr>
      <w:r>
        <w:rPr>
          <w:rFonts w:hint="default" w:ascii="Times New Roman" w:hAnsi="Times New Roman" w:cs="Times New Roman"/>
          <w:bCs/>
          <w:sz w:val="24"/>
          <w:shd w:val="clear" w:color="auto" w:fill="FFFFFF"/>
          <w14:ligatures w14:val="none"/>
        </w:rPr>
        <w:t>Soil microbial biomass carbon (MBC), nitrogen (MBN), and phosphorus (MBP) were quantified using the chloroform fumigation–extraction method (</w:t>
      </w:r>
      <w:r>
        <w:rPr>
          <w:rFonts w:hint="default" w:ascii="Times New Roman" w:hAnsi="Times New Roman" w:cs="Times New Roman"/>
          <w:bCs/>
          <w:color w:val="0070C0"/>
          <w:sz w:val="24"/>
          <w:shd w:val="clear" w:color="auto" w:fill="FFFFFF"/>
          <w14:ligatures w14:val="none"/>
        </w:rPr>
        <w:t xml:space="preserve">Brookes et al. 1984; Turner </w:t>
      </w:r>
      <w:r>
        <w:rPr>
          <w:rFonts w:hint="eastAsia" w:ascii="Times New Roman" w:hAnsi="Times New Roman" w:cs="Times New Roman"/>
          <w:bCs/>
          <w:color w:val="0070C0"/>
          <w:sz w:val="24"/>
          <w:shd w:val="clear" w:color="auto" w:fill="FFFFFF"/>
          <w:lang w:eastAsia="zh-CN"/>
          <w14:ligatures w14:val="none"/>
        </w:rPr>
        <w:t>and</w:t>
      </w:r>
      <w:r>
        <w:rPr>
          <w:rFonts w:hint="default" w:ascii="Times New Roman" w:hAnsi="Times New Roman" w:cs="Times New Roman"/>
          <w:bCs/>
          <w:color w:val="0070C0"/>
          <w:sz w:val="24"/>
          <w:shd w:val="clear" w:color="auto" w:fill="FFFFFF"/>
          <w14:ligatures w14:val="none"/>
        </w:rPr>
        <w:t xml:space="preserve"> Wright 2014; Vance et al. 1987</w:t>
      </w:r>
      <w:r>
        <w:rPr>
          <w:rFonts w:hint="default" w:ascii="Times New Roman" w:hAnsi="Times New Roman" w:cs="Times New Roman"/>
          <w:bCs/>
          <w:sz w:val="24"/>
          <w:shd w:val="clear" w:color="auto" w:fill="FFFFFF"/>
          <w14:ligatures w14:val="none"/>
        </w:rPr>
        <w:t>).</w:t>
      </w:r>
      <w:r>
        <w:rPr>
          <w:rFonts w:hint="default" w:ascii="Times New Roman" w:hAnsi="Times New Roman" w:cs="Times New Roman"/>
          <w:bCs/>
          <w:sz w:val="24"/>
          <w:shd w:val="clear" w:color="auto" w:fill="FFFFFF"/>
          <w14:ligatures w14:val="none"/>
        </w:rPr>
        <w:br w:type="page"/>
      </w:r>
    </w:p>
    <w:p w14:paraId="35589C6E">
      <w:pPr>
        <w:widowControl/>
        <w:spacing w:after="0" w:line="480" w:lineRule="auto"/>
        <w:jc w:val="both"/>
        <w:rPr>
          <w:rFonts w:hint="default" w:ascii="Times New Roman" w:hAnsi="Times New Roman" w:cs="Times New Roman"/>
          <w:b/>
          <w:sz w:val="24"/>
          <w14:ligatures w14:val="none"/>
        </w:rPr>
        <w:sectPr>
          <w:footerReference r:id="rId5" w:type="default"/>
          <w:pgSz w:w="11906" w:h="16838"/>
          <w:pgMar w:top="1440" w:right="1800" w:bottom="1440" w:left="1800" w:header="851" w:footer="992" w:gutter="0"/>
          <w:lnNumType w:countBy="1" w:restart="continuous"/>
          <w:pgNumType w:start="41"/>
          <w:cols w:space="0" w:num="1"/>
          <w:docGrid w:type="lines" w:linePitch="332" w:charSpace="0"/>
        </w:sectPr>
      </w:pPr>
      <w:bookmarkStart w:id="5" w:name="OLE_LINK95"/>
    </w:p>
    <w:p w14:paraId="2375EFAB">
      <w:pPr>
        <w:pStyle w:val="2"/>
        <w:spacing w:before="0" w:after="0" w:line="360" w:lineRule="auto"/>
        <w:jc w:val="both"/>
        <w:rPr>
          <w:rFonts w:hint="default" w:ascii="Times New Roman" w:hAnsi="Times New Roman" w:cs="Times New Roman" w:eastAsiaTheme="minorEastAsia"/>
        </w:rPr>
      </w:pPr>
      <w:r>
        <w:rPr>
          <w:rFonts w:hint="default" w:ascii="Times New Roman" w:hAnsi="Times New Roman" w:cs="Times New Roman"/>
        </w:rPr>
        <w:t>T</w:t>
      </w:r>
      <w:r>
        <w:rPr>
          <w:rFonts w:hint="default" w:ascii="Times New Roman" w:hAnsi="Times New Roman" w:eastAsia="宋体" w:cs="Times New Roman"/>
        </w:rPr>
        <w:t>ables</w:t>
      </w:r>
    </w:p>
    <w:p w14:paraId="7E784670">
      <w:pPr>
        <w:spacing w:after="0" w:line="480" w:lineRule="auto"/>
        <w:jc w:val="both"/>
        <w:rPr>
          <w:rFonts w:hint="default" w:ascii="Times New Roman" w:hAnsi="Times New Roman" w:cs="Times New Roman"/>
          <w:sz w:val="24"/>
          <w:szCs w:val="28"/>
        </w:rPr>
      </w:pPr>
      <w:r>
        <w:rPr>
          <w:rFonts w:hint="default" w:ascii="Times New Roman" w:hAnsi="Times New Roman" w:cs="Times New Roman"/>
          <w:b/>
          <w:bCs/>
          <w:sz w:val="24"/>
          <w:szCs w:val="28"/>
        </w:rPr>
        <w:t>Table S1</w:t>
      </w:r>
      <w:bookmarkEnd w:id="5"/>
      <w:r>
        <w:rPr>
          <w:rFonts w:hint="default" w:ascii="Times New Roman" w:hAnsi="Times New Roman" w:cs="Times New Roman"/>
          <w:b/>
          <w:bCs/>
          <w:sz w:val="24"/>
          <w:szCs w:val="28"/>
        </w:rPr>
        <w:t xml:space="preserve"> </w:t>
      </w:r>
      <w:r>
        <w:rPr>
          <w:rFonts w:hint="default" w:ascii="Times New Roman" w:hAnsi="Times New Roman" w:cs="Times New Roman"/>
          <w:sz w:val="24"/>
          <w:szCs w:val="28"/>
        </w:rPr>
        <w:t>Effects of three consecutive years of N addition on soil chemical properties.</w:t>
      </w:r>
    </w:p>
    <w:tbl>
      <w:tblPr>
        <w:tblStyle w:val="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328"/>
        <w:gridCol w:w="2036"/>
        <w:gridCol w:w="2036"/>
        <w:gridCol w:w="2036"/>
        <w:gridCol w:w="2036"/>
        <w:gridCol w:w="2036"/>
        <w:gridCol w:w="2036"/>
      </w:tblGrid>
      <w:tr w14:paraId="33467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tcBorders>
              <w:top w:val="single" w:color="auto" w:sz="8" w:space="0"/>
              <w:left w:val="nil"/>
              <w:bottom w:val="single" w:color="000000" w:sz="4" w:space="0"/>
              <w:right w:val="nil"/>
            </w:tcBorders>
            <w:vAlign w:val="center"/>
          </w:tcPr>
          <w:p w14:paraId="6733364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Year</w:t>
            </w:r>
          </w:p>
        </w:tc>
        <w:tc>
          <w:tcPr>
            <w:tcW w:w="446" w:type="pct"/>
            <w:tcBorders>
              <w:top w:val="single" w:color="auto" w:sz="8" w:space="0"/>
              <w:left w:val="nil"/>
              <w:bottom w:val="single" w:color="000000" w:sz="4" w:space="0"/>
              <w:right w:val="nil"/>
            </w:tcBorders>
            <w:vAlign w:val="center"/>
          </w:tcPr>
          <w:p w14:paraId="32B69B9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Treatment</w:t>
            </w:r>
          </w:p>
        </w:tc>
        <w:tc>
          <w:tcPr>
            <w:tcW w:w="684" w:type="pct"/>
            <w:tcBorders>
              <w:top w:val="single" w:color="auto" w:sz="8" w:space="0"/>
              <w:left w:val="nil"/>
              <w:bottom w:val="single" w:color="000000" w:sz="4" w:space="0"/>
              <w:right w:val="nil"/>
            </w:tcBorders>
            <w:vAlign w:val="center"/>
          </w:tcPr>
          <w:p w14:paraId="227C8AA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pH</w:t>
            </w:r>
          </w:p>
        </w:tc>
        <w:tc>
          <w:tcPr>
            <w:tcW w:w="684" w:type="pct"/>
            <w:tcBorders>
              <w:top w:val="single" w:color="auto" w:sz="8" w:space="0"/>
              <w:left w:val="nil"/>
              <w:bottom w:val="single" w:color="000000" w:sz="4" w:space="0"/>
              <w:right w:val="nil"/>
            </w:tcBorders>
            <w:vAlign w:val="center"/>
          </w:tcPr>
          <w:p w14:paraId="1EDF565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SOC (g kg</w:t>
            </w:r>
            <w:r>
              <w:rPr>
                <w:rFonts w:hint="default" w:ascii="Times New Roman" w:hAnsi="Times New Roman" w:eastAsia="宋体" w:cs="Times New Roman"/>
                <w:szCs w:val="22"/>
                <w:vertAlign w:val="superscript"/>
              </w:rPr>
              <w:t>−1</w:t>
            </w:r>
            <w:r>
              <w:rPr>
                <w:rFonts w:hint="default" w:ascii="Times New Roman" w:hAnsi="Times New Roman" w:eastAsia="宋体" w:cs="Times New Roman"/>
                <w:szCs w:val="22"/>
              </w:rPr>
              <w:t>)</w:t>
            </w:r>
          </w:p>
        </w:tc>
        <w:tc>
          <w:tcPr>
            <w:tcW w:w="684" w:type="pct"/>
            <w:tcBorders>
              <w:top w:val="single" w:color="auto" w:sz="8" w:space="0"/>
              <w:left w:val="nil"/>
              <w:bottom w:val="single" w:color="000000" w:sz="4" w:space="0"/>
              <w:right w:val="nil"/>
            </w:tcBorders>
            <w:vAlign w:val="center"/>
          </w:tcPr>
          <w:p w14:paraId="78FF701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TN (g kg</w:t>
            </w:r>
            <w:r>
              <w:rPr>
                <w:rFonts w:hint="default" w:ascii="Times New Roman" w:hAnsi="Times New Roman" w:eastAsia="宋体" w:cs="Times New Roman"/>
                <w:szCs w:val="22"/>
                <w:vertAlign w:val="superscript"/>
              </w:rPr>
              <w:t>−1</w:t>
            </w:r>
            <w:r>
              <w:rPr>
                <w:rFonts w:hint="default" w:ascii="Times New Roman" w:hAnsi="Times New Roman" w:eastAsia="宋体" w:cs="Times New Roman"/>
                <w:szCs w:val="22"/>
              </w:rPr>
              <w:t>)</w:t>
            </w:r>
          </w:p>
        </w:tc>
        <w:tc>
          <w:tcPr>
            <w:tcW w:w="684" w:type="pct"/>
            <w:tcBorders>
              <w:top w:val="single" w:color="auto" w:sz="8" w:space="0"/>
              <w:left w:val="nil"/>
              <w:bottom w:val="single" w:color="000000" w:sz="4" w:space="0"/>
              <w:right w:val="nil"/>
            </w:tcBorders>
            <w:vAlign w:val="center"/>
          </w:tcPr>
          <w:p w14:paraId="7A7BF63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TP (g kg</w:t>
            </w:r>
            <w:r>
              <w:rPr>
                <w:rFonts w:hint="default" w:ascii="Times New Roman" w:hAnsi="Times New Roman" w:eastAsia="宋体" w:cs="Times New Roman"/>
                <w:szCs w:val="22"/>
                <w:vertAlign w:val="superscript"/>
              </w:rPr>
              <w:t>−1</w:t>
            </w:r>
            <w:r>
              <w:rPr>
                <w:rFonts w:hint="default" w:ascii="Times New Roman" w:hAnsi="Times New Roman" w:eastAsia="宋体" w:cs="Times New Roman"/>
                <w:szCs w:val="22"/>
              </w:rPr>
              <w:t>)</w:t>
            </w:r>
          </w:p>
        </w:tc>
        <w:tc>
          <w:tcPr>
            <w:tcW w:w="684" w:type="pct"/>
            <w:tcBorders>
              <w:top w:val="single" w:color="auto" w:sz="8" w:space="0"/>
              <w:left w:val="nil"/>
              <w:bottom w:val="single" w:color="000000" w:sz="4" w:space="0"/>
              <w:right w:val="nil"/>
            </w:tcBorders>
            <w:vAlign w:val="center"/>
          </w:tcPr>
          <w:p w14:paraId="00A0E64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NH</w:t>
            </w:r>
            <w:r>
              <w:rPr>
                <w:rFonts w:hint="default" w:ascii="Times New Roman" w:hAnsi="Times New Roman" w:eastAsia="宋体" w:cs="Times New Roman"/>
                <w:szCs w:val="22"/>
                <w:vertAlign w:val="subscript"/>
              </w:rPr>
              <w:t>4</w:t>
            </w:r>
            <w:r>
              <w:rPr>
                <w:rFonts w:hint="default" w:ascii="Times New Roman" w:hAnsi="Times New Roman" w:eastAsia="宋体" w:cs="Times New Roman"/>
                <w:szCs w:val="22"/>
                <w:vertAlign w:val="superscript"/>
              </w:rPr>
              <w:t>+</w:t>
            </w:r>
            <w:r>
              <w:rPr>
                <w:rFonts w:hint="default" w:ascii="Times New Roman" w:hAnsi="Times New Roman" w:eastAsia="宋体" w:cs="Times New Roman"/>
                <w:szCs w:val="22"/>
              </w:rPr>
              <w:t>-N (mg kg</w:t>
            </w:r>
            <w:r>
              <w:rPr>
                <w:rFonts w:hint="default" w:ascii="Times New Roman" w:hAnsi="Times New Roman" w:eastAsia="宋体" w:cs="Times New Roman"/>
                <w:szCs w:val="22"/>
                <w:vertAlign w:val="superscript"/>
              </w:rPr>
              <w:t>−1</w:t>
            </w:r>
            <w:r>
              <w:rPr>
                <w:rFonts w:hint="default" w:ascii="Times New Roman" w:hAnsi="Times New Roman" w:eastAsia="宋体" w:cs="Times New Roman"/>
                <w:szCs w:val="22"/>
              </w:rPr>
              <w:t>)</w:t>
            </w:r>
          </w:p>
        </w:tc>
        <w:tc>
          <w:tcPr>
            <w:tcW w:w="684" w:type="pct"/>
            <w:tcBorders>
              <w:top w:val="single" w:color="auto" w:sz="8" w:space="0"/>
              <w:left w:val="nil"/>
              <w:bottom w:val="single" w:color="000000" w:sz="4" w:space="0"/>
              <w:right w:val="nil"/>
            </w:tcBorders>
            <w:vAlign w:val="center"/>
          </w:tcPr>
          <w:p w14:paraId="37AE42D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NO</w:t>
            </w:r>
            <w:r>
              <w:rPr>
                <w:rFonts w:hint="default" w:ascii="Times New Roman" w:hAnsi="Times New Roman" w:eastAsia="宋体" w:cs="Times New Roman"/>
                <w:szCs w:val="22"/>
                <w:vertAlign w:val="subscript"/>
              </w:rPr>
              <w:t>3</w:t>
            </w:r>
            <w:r>
              <w:rPr>
                <w:rFonts w:hint="default" w:ascii="Times New Roman" w:hAnsi="Times New Roman" w:eastAsia="宋体" w:cs="Times New Roman"/>
                <w:szCs w:val="22"/>
                <w:vertAlign w:val="superscript"/>
              </w:rPr>
              <w:t>−</w:t>
            </w:r>
            <w:r>
              <w:rPr>
                <w:rFonts w:hint="default" w:ascii="Times New Roman" w:hAnsi="Times New Roman" w:eastAsia="宋体" w:cs="Times New Roman"/>
                <w:szCs w:val="22"/>
              </w:rPr>
              <w:t>-N (mg kg</w:t>
            </w:r>
            <w:r>
              <w:rPr>
                <w:rFonts w:hint="default" w:ascii="Times New Roman" w:hAnsi="Times New Roman" w:eastAsia="宋体" w:cs="Times New Roman"/>
                <w:szCs w:val="22"/>
                <w:vertAlign w:val="superscript"/>
              </w:rPr>
              <w:t>−1</w:t>
            </w:r>
            <w:r>
              <w:rPr>
                <w:rFonts w:hint="default" w:ascii="Times New Roman" w:hAnsi="Times New Roman" w:eastAsia="宋体" w:cs="Times New Roman"/>
                <w:szCs w:val="22"/>
              </w:rPr>
              <w:t>)</w:t>
            </w:r>
          </w:p>
        </w:tc>
      </w:tr>
      <w:tr w14:paraId="22D11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restart"/>
            <w:tcBorders>
              <w:top w:val="single" w:color="000000" w:sz="4" w:space="0"/>
              <w:left w:val="nil"/>
              <w:bottom w:val="nil"/>
              <w:right w:val="nil"/>
            </w:tcBorders>
            <w:vAlign w:val="center"/>
          </w:tcPr>
          <w:p w14:paraId="3094C98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2017</w:t>
            </w:r>
          </w:p>
        </w:tc>
        <w:tc>
          <w:tcPr>
            <w:tcW w:w="446" w:type="pct"/>
            <w:tcBorders>
              <w:top w:val="single" w:color="000000" w:sz="4" w:space="0"/>
              <w:left w:val="nil"/>
              <w:bottom w:val="nil"/>
              <w:right w:val="nil"/>
            </w:tcBorders>
            <w:vAlign w:val="center"/>
          </w:tcPr>
          <w:p w14:paraId="5705329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684" w:type="pct"/>
            <w:tcBorders>
              <w:top w:val="single" w:color="000000" w:sz="4" w:space="0"/>
              <w:left w:val="nil"/>
              <w:bottom w:val="nil"/>
              <w:right w:val="nil"/>
            </w:tcBorders>
            <w:vAlign w:val="center"/>
          </w:tcPr>
          <w:p w14:paraId="7D71A05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4.66±0.11</w:t>
            </w:r>
          </w:p>
        </w:tc>
        <w:tc>
          <w:tcPr>
            <w:tcW w:w="684" w:type="pct"/>
            <w:tcBorders>
              <w:top w:val="single" w:color="000000" w:sz="4" w:space="0"/>
              <w:left w:val="nil"/>
              <w:bottom w:val="nil"/>
              <w:right w:val="nil"/>
            </w:tcBorders>
            <w:vAlign w:val="center"/>
          </w:tcPr>
          <w:p w14:paraId="0B2033B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54.74±4.86</w:t>
            </w:r>
          </w:p>
        </w:tc>
        <w:tc>
          <w:tcPr>
            <w:tcW w:w="684" w:type="pct"/>
            <w:tcBorders>
              <w:top w:val="single" w:color="000000" w:sz="4" w:space="0"/>
              <w:left w:val="nil"/>
              <w:bottom w:val="nil"/>
              <w:right w:val="nil"/>
            </w:tcBorders>
            <w:vAlign w:val="center"/>
          </w:tcPr>
          <w:p w14:paraId="6D6DE4A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4.46±0.34</w:t>
            </w:r>
          </w:p>
        </w:tc>
        <w:tc>
          <w:tcPr>
            <w:tcW w:w="684" w:type="pct"/>
            <w:tcBorders>
              <w:top w:val="single" w:color="000000" w:sz="4" w:space="0"/>
              <w:left w:val="nil"/>
              <w:bottom w:val="nil"/>
              <w:right w:val="nil"/>
            </w:tcBorders>
            <w:vAlign w:val="center"/>
          </w:tcPr>
          <w:p w14:paraId="2BE9B25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0.92±0.10</w:t>
            </w:r>
          </w:p>
        </w:tc>
        <w:tc>
          <w:tcPr>
            <w:tcW w:w="684" w:type="pct"/>
            <w:tcBorders>
              <w:top w:val="single" w:color="000000" w:sz="4" w:space="0"/>
              <w:left w:val="nil"/>
              <w:bottom w:val="nil"/>
              <w:right w:val="nil"/>
            </w:tcBorders>
            <w:vAlign w:val="center"/>
          </w:tcPr>
          <w:p w14:paraId="3F6B54C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10.30±1.14</w:t>
            </w:r>
          </w:p>
        </w:tc>
        <w:tc>
          <w:tcPr>
            <w:tcW w:w="684" w:type="pct"/>
            <w:tcBorders>
              <w:top w:val="single" w:color="000000" w:sz="4" w:space="0"/>
              <w:left w:val="nil"/>
              <w:bottom w:val="nil"/>
              <w:right w:val="nil"/>
            </w:tcBorders>
            <w:vAlign w:val="center"/>
          </w:tcPr>
          <w:p w14:paraId="13A101D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6.30±1.34 b</w:t>
            </w:r>
          </w:p>
        </w:tc>
      </w:tr>
      <w:tr w14:paraId="73A17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49613589">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314FA3C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684" w:type="pct"/>
            <w:tcBorders>
              <w:top w:val="nil"/>
              <w:left w:val="nil"/>
              <w:bottom w:val="nil"/>
              <w:right w:val="nil"/>
            </w:tcBorders>
            <w:vAlign w:val="center"/>
          </w:tcPr>
          <w:p w14:paraId="574C0A4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4.62±0.08</w:t>
            </w:r>
          </w:p>
        </w:tc>
        <w:tc>
          <w:tcPr>
            <w:tcW w:w="684" w:type="pct"/>
            <w:tcBorders>
              <w:top w:val="nil"/>
              <w:left w:val="nil"/>
              <w:bottom w:val="nil"/>
              <w:right w:val="nil"/>
            </w:tcBorders>
            <w:vAlign w:val="center"/>
          </w:tcPr>
          <w:p w14:paraId="1B33039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57.01±3.64</w:t>
            </w:r>
          </w:p>
        </w:tc>
        <w:tc>
          <w:tcPr>
            <w:tcW w:w="684" w:type="pct"/>
            <w:tcBorders>
              <w:top w:val="nil"/>
              <w:left w:val="nil"/>
              <w:bottom w:val="nil"/>
              <w:right w:val="nil"/>
            </w:tcBorders>
            <w:vAlign w:val="center"/>
          </w:tcPr>
          <w:p w14:paraId="0F1E4BE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4.29±0.37</w:t>
            </w:r>
          </w:p>
        </w:tc>
        <w:tc>
          <w:tcPr>
            <w:tcW w:w="684" w:type="pct"/>
            <w:tcBorders>
              <w:top w:val="nil"/>
              <w:left w:val="nil"/>
              <w:bottom w:val="nil"/>
              <w:right w:val="nil"/>
            </w:tcBorders>
            <w:vAlign w:val="center"/>
          </w:tcPr>
          <w:p w14:paraId="185249F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0.92±0.11</w:t>
            </w:r>
          </w:p>
        </w:tc>
        <w:tc>
          <w:tcPr>
            <w:tcW w:w="684" w:type="pct"/>
            <w:tcBorders>
              <w:top w:val="nil"/>
              <w:left w:val="nil"/>
              <w:bottom w:val="nil"/>
              <w:right w:val="nil"/>
            </w:tcBorders>
            <w:vAlign w:val="center"/>
          </w:tcPr>
          <w:p w14:paraId="27EC3DE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9.98±1.14</w:t>
            </w:r>
          </w:p>
        </w:tc>
        <w:tc>
          <w:tcPr>
            <w:tcW w:w="684" w:type="pct"/>
            <w:tcBorders>
              <w:top w:val="nil"/>
              <w:left w:val="nil"/>
              <w:bottom w:val="nil"/>
              <w:right w:val="nil"/>
            </w:tcBorders>
            <w:vAlign w:val="center"/>
          </w:tcPr>
          <w:p w14:paraId="2D10ABF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7.17±1.38 </w:t>
            </w:r>
          </w:p>
        </w:tc>
      </w:tr>
      <w:tr w14:paraId="37F26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145E054D">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75FE228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684" w:type="pct"/>
            <w:tcBorders>
              <w:top w:val="nil"/>
              <w:left w:val="nil"/>
              <w:bottom w:val="nil"/>
              <w:right w:val="nil"/>
            </w:tcBorders>
            <w:vAlign w:val="center"/>
          </w:tcPr>
          <w:p w14:paraId="317F80C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4.62±0.06</w:t>
            </w:r>
          </w:p>
        </w:tc>
        <w:tc>
          <w:tcPr>
            <w:tcW w:w="684" w:type="pct"/>
            <w:tcBorders>
              <w:top w:val="nil"/>
              <w:left w:val="nil"/>
              <w:bottom w:val="nil"/>
              <w:right w:val="nil"/>
            </w:tcBorders>
            <w:vAlign w:val="center"/>
          </w:tcPr>
          <w:p w14:paraId="037CA70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56.68±2.32</w:t>
            </w:r>
          </w:p>
        </w:tc>
        <w:tc>
          <w:tcPr>
            <w:tcW w:w="684" w:type="pct"/>
            <w:tcBorders>
              <w:top w:val="nil"/>
              <w:left w:val="nil"/>
              <w:bottom w:val="nil"/>
              <w:right w:val="nil"/>
            </w:tcBorders>
            <w:vAlign w:val="center"/>
          </w:tcPr>
          <w:p w14:paraId="602011E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4.72±0.12</w:t>
            </w:r>
          </w:p>
        </w:tc>
        <w:tc>
          <w:tcPr>
            <w:tcW w:w="684" w:type="pct"/>
            <w:tcBorders>
              <w:top w:val="nil"/>
              <w:left w:val="nil"/>
              <w:bottom w:val="nil"/>
              <w:right w:val="nil"/>
            </w:tcBorders>
            <w:vAlign w:val="center"/>
          </w:tcPr>
          <w:p w14:paraId="495CAA4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0.91±0.10</w:t>
            </w:r>
          </w:p>
        </w:tc>
        <w:tc>
          <w:tcPr>
            <w:tcW w:w="684" w:type="pct"/>
            <w:tcBorders>
              <w:top w:val="nil"/>
              <w:left w:val="nil"/>
              <w:bottom w:val="nil"/>
              <w:right w:val="nil"/>
            </w:tcBorders>
            <w:vAlign w:val="center"/>
          </w:tcPr>
          <w:p w14:paraId="02FC74C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10.53±1.13</w:t>
            </w:r>
          </w:p>
        </w:tc>
        <w:tc>
          <w:tcPr>
            <w:tcW w:w="684" w:type="pct"/>
            <w:tcBorders>
              <w:top w:val="nil"/>
              <w:left w:val="nil"/>
              <w:bottom w:val="nil"/>
              <w:right w:val="nil"/>
            </w:tcBorders>
            <w:vAlign w:val="center"/>
          </w:tcPr>
          <w:p w14:paraId="2A19B99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13.52±2.08 a</w:t>
            </w:r>
          </w:p>
        </w:tc>
      </w:tr>
      <w:tr w14:paraId="6CFDA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restart"/>
            <w:tcBorders>
              <w:top w:val="nil"/>
              <w:left w:val="nil"/>
              <w:bottom w:val="nil"/>
              <w:right w:val="nil"/>
            </w:tcBorders>
            <w:vAlign w:val="center"/>
          </w:tcPr>
          <w:p w14:paraId="69680BE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2018</w:t>
            </w:r>
          </w:p>
        </w:tc>
        <w:tc>
          <w:tcPr>
            <w:tcW w:w="446" w:type="pct"/>
            <w:tcBorders>
              <w:top w:val="nil"/>
              <w:left w:val="nil"/>
              <w:bottom w:val="nil"/>
              <w:right w:val="nil"/>
            </w:tcBorders>
            <w:vAlign w:val="center"/>
          </w:tcPr>
          <w:p w14:paraId="579C8C6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684" w:type="pct"/>
            <w:tcBorders>
              <w:top w:val="nil"/>
              <w:left w:val="nil"/>
              <w:bottom w:val="nil"/>
              <w:right w:val="nil"/>
            </w:tcBorders>
            <w:vAlign w:val="center"/>
          </w:tcPr>
          <w:p w14:paraId="2BC256A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4.54±0.01</w:t>
            </w:r>
          </w:p>
        </w:tc>
        <w:tc>
          <w:tcPr>
            <w:tcW w:w="684" w:type="pct"/>
            <w:tcBorders>
              <w:top w:val="nil"/>
              <w:left w:val="nil"/>
              <w:bottom w:val="nil"/>
              <w:right w:val="nil"/>
            </w:tcBorders>
            <w:vAlign w:val="center"/>
          </w:tcPr>
          <w:p w14:paraId="59842B3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51.35±5.65</w:t>
            </w:r>
          </w:p>
        </w:tc>
        <w:tc>
          <w:tcPr>
            <w:tcW w:w="684" w:type="pct"/>
            <w:tcBorders>
              <w:top w:val="nil"/>
              <w:left w:val="nil"/>
              <w:bottom w:val="nil"/>
              <w:right w:val="nil"/>
            </w:tcBorders>
            <w:vAlign w:val="center"/>
          </w:tcPr>
          <w:p w14:paraId="3E7A232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3.68±0.37</w:t>
            </w:r>
          </w:p>
        </w:tc>
        <w:tc>
          <w:tcPr>
            <w:tcW w:w="684" w:type="pct"/>
            <w:tcBorders>
              <w:top w:val="nil"/>
              <w:left w:val="nil"/>
              <w:bottom w:val="nil"/>
              <w:right w:val="nil"/>
            </w:tcBorders>
            <w:vAlign w:val="center"/>
          </w:tcPr>
          <w:p w14:paraId="6EA2C6D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0.88±0.09</w:t>
            </w:r>
          </w:p>
        </w:tc>
        <w:tc>
          <w:tcPr>
            <w:tcW w:w="684" w:type="pct"/>
            <w:tcBorders>
              <w:top w:val="nil"/>
              <w:left w:val="nil"/>
              <w:bottom w:val="nil"/>
              <w:right w:val="nil"/>
            </w:tcBorders>
            <w:vAlign w:val="center"/>
          </w:tcPr>
          <w:p w14:paraId="75B3DB4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14.98±1.11</w:t>
            </w:r>
          </w:p>
        </w:tc>
        <w:tc>
          <w:tcPr>
            <w:tcW w:w="684" w:type="pct"/>
            <w:tcBorders>
              <w:top w:val="nil"/>
              <w:left w:val="nil"/>
              <w:bottom w:val="nil"/>
              <w:right w:val="nil"/>
            </w:tcBorders>
            <w:vAlign w:val="center"/>
          </w:tcPr>
          <w:p w14:paraId="0FEF5E3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3.00±0.43</w:t>
            </w:r>
          </w:p>
        </w:tc>
      </w:tr>
      <w:tr w14:paraId="3D994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5930007A">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218F1CC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684" w:type="pct"/>
            <w:tcBorders>
              <w:top w:val="nil"/>
              <w:left w:val="nil"/>
              <w:bottom w:val="nil"/>
              <w:right w:val="nil"/>
            </w:tcBorders>
            <w:vAlign w:val="center"/>
          </w:tcPr>
          <w:p w14:paraId="0A4F59E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4.61±0.07</w:t>
            </w:r>
          </w:p>
        </w:tc>
        <w:tc>
          <w:tcPr>
            <w:tcW w:w="684" w:type="pct"/>
            <w:tcBorders>
              <w:top w:val="nil"/>
              <w:left w:val="nil"/>
              <w:bottom w:val="nil"/>
              <w:right w:val="nil"/>
            </w:tcBorders>
            <w:vAlign w:val="center"/>
          </w:tcPr>
          <w:p w14:paraId="2137DBF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49.74±3.12</w:t>
            </w:r>
          </w:p>
        </w:tc>
        <w:tc>
          <w:tcPr>
            <w:tcW w:w="684" w:type="pct"/>
            <w:tcBorders>
              <w:top w:val="nil"/>
              <w:left w:val="nil"/>
              <w:bottom w:val="nil"/>
              <w:right w:val="nil"/>
            </w:tcBorders>
            <w:vAlign w:val="center"/>
          </w:tcPr>
          <w:p w14:paraId="76FD5FC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3.43±0.10</w:t>
            </w:r>
          </w:p>
        </w:tc>
        <w:tc>
          <w:tcPr>
            <w:tcW w:w="684" w:type="pct"/>
            <w:tcBorders>
              <w:top w:val="nil"/>
              <w:left w:val="nil"/>
              <w:bottom w:val="nil"/>
              <w:right w:val="nil"/>
            </w:tcBorders>
            <w:vAlign w:val="center"/>
          </w:tcPr>
          <w:p w14:paraId="71511E9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0.89±0.09</w:t>
            </w:r>
          </w:p>
        </w:tc>
        <w:tc>
          <w:tcPr>
            <w:tcW w:w="684" w:type="pct"/>
            <w:tcBorders>
              <w:top w:val="nil"/>
              <w:left w:val="nil"/>
              <w:bottom w:val="nil"/>
              <w:right w:val="nil"/>
            </w:tcBorders>
            <w:vAlign w:val="center"/>
          </w:tcPr>
          <w:p w14:paraId="500FDFC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15.70±1.02</w:t>
            </w:r>
          </w:p>
        </w:tc>
        <w:tc>
          <w:tcPr>
            <w:tcW w:w="684" w:type="pct"/>
            <w:tcBorders>
              <w:top w:val="nil"/>
              <w:left w:val="nil"/>
              <w:bottom w:val="nil"/>
              <w:right w:val="nil"/>
            </w:tcBorders>
            <w:vAlign w:val="center"/>
          </w:tcPr>
          <w:p w14:paraId="0C08831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3.54±0.03</w:t>
            </w:r>
          </w:p>
        </w:tc>
      </w:tr>
      <w:tr w14:paraId="4AAF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3C94F0DC">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38E9000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684" w:type="pct"/>
            <w:tcBorders>
              <w:top w:val="nil"/>
              <w:left w:val="nil"/>
              <w:bottom w:val="nil"/>
              <w:right w:val="nil"/>
            </w:tcBorders>
            <w:vAlign w:val="center"/>
          </w:tcPr>
          <w:p w14:paraId="5DB34A7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4.52±0.04</w:t>
            </w:r>
          </w:p>
        </w:tc>
        <w:tc>
          <w:tcPr>
            <w:tcW w:w="684" w:type="pct"/>
            <w:tcBorders>
              <w:top w:val="nil"/>
              <w:left w:val="nil"/>
              <w:bottom w:val="nil"/>
              <w:right w:val="nil"/>
            </w:tcBorders>
            <w:vAlign w:val="center"/>
          </w:tcPr>
          <w:p w14:paraId="423D627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46.82±4.90</w:t>
            </w:r>
          </w:p>
        </w:tc>
        <w:tc>
          <w:tcPr>
            <w:tcW w:w="684" w:type="pct"/>
            <w:tcBorders>
              <w:top w:val="nil"/>
              <w:left w:val="nil"/>
              <w:bottom w:val="nil"/>
              <w:right w:val="nil"/>
            </w:tcBorders>
            <w:vAlign w:val="center"/>
          </w:tcPr>
          <w:p w14:paraId="47F867B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3.34±0.30</w:t>
            </w:r>
          </w:p>
        </w:tc>
        <w:tc>
          <w:tcPr>
            <w:tcW w:w="684" w:type="pct"/>
            <w:tcBorders>
              <w:top w:val="nil"/>
              <w:left w:val="nil"/>
              <w:bottom w:val="nil"/>
              <w:right w:val="nil"/>
            </w:tcBorders>
            <w:vAlign w:val="center"/>
          </w:tcPr>
          <w:p w14:paraId="1FB0DA6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0.95±0.13</w:t>
            </w:r>
          </w:p>
        </w:tc>
        <w:tc>
          <w:tcPr>
            <w:tcW w:w="684" w:type="pct"/>
            <w:tcBorders>
              <w:top w:val="nil"/>
              <w:left w:val="nil"/>
              <w:bottom w:val="nil"/>
              <w:right w:val="nil"/>
            </w:tcBorders>
            <w:vAlign w:val="center"/>
          </w:tcPr>
          <w:p w14:paraId="5EB7C7A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17.24±0.52</w:t>
            </w:r>
          </w:p>
        </w:tc>
        <w:tc>
          <w:tcPr>
            <w:tcW w:w="684" w:type="pct"/>
            <w:tcBorders>
              <w:top w:val="nil"/>
              <w:left w:val="nil"/>
              <w:bottom w:val="nil"/>
              <w:right w:val="nil"/>
            </w:tcBorders>
            <w:vAlign w:val="center"/>
          </w:tcPr>
          <w:p w14:paraId="4B7460B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3.77±0.39</w:t>
            </w:r>
          </w:p>
        </w:tc>
      </w:tr>
      <w:tr w14:paraId="5924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restart"/>
            <w:tcBorders>
              <w:top w:val="nil"/>
              <w:left w:val="nil"/>
              <w:bottom w:val="nil"/>
              <w:right w:val="nil"/>
            </w:tcBorders>
            <w:vAlign w:val="center"/>
          </w:tcPr>
          <w:p w14:paraId="5B83C2B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2019</w:t>
            </w:r>
          </w:p>
        </w:tc>
        <w:tc>
          <w:tcPr>
            <w:tcW w:w="446" w:type="pct"/>
            <w:tcBorders>
              <w:top w:val="nil"/>
              <w:left w:val="nil"/>
              <w:bottom w:val="nil"/>
              <w:right w:val="nil"/>
            </w:tcBorders>
            <w:vAlign w:val="center"/>
          </w:tcPr>
          <w:p w14:paraId="68D199F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684" w:type="pct"/>
            <w:tcBorders>
              <w:top w:val="nil"/>
              <w:left w:val="nil"/>
              <w:bottom w:val="nil"/>
              <w:right w:val="nil"/>
            </w:tcBorders>
            <w:vAlign w:val="center"/>
          </w:tcPr>
          <w:p w14:paraId="4C0C1DA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4.74±0.06</w:t>
            </w:r>
          </w:p>
        </w:tc>
        <w:tc>
          <w:tcPr>
            <w:tcW w:w="684" w:type="pct"/>
            <w:tcBorders>
              <w:top w:val="nil"/>
              <w:left w:val="nil"/>
              <w:bottom w:val="nil"/>
              <w:right w:val="nil"/>
            </w:tcBorders>
            <w:vAlign w:val="center"/>
          </w:tcPr>
          <w:p w14:paraId="07DB4F3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45.80±0.81 a</w:t>
            </w:r>
          </w:p>
        </w:tc>
        <w:tc>
          <w:tcPr>
            <w:tcW w:w="684" w:type="pct"/>
            <w:tcBorders>
              <w:top w:val="nil"/>
              <w:left w:val="nil"/>
              <w:bottom w:val="nil"/>
              <w:right w:val="nil"/>
            </w:tcBorders>
            <w:vAlign w:val="center"/>
          </w:tcPr>
          <w:p w14:paraId="037BA56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3.81±0.06 a</w:t>
            </w:r>
          </w:p>
        </w:tc>
        <w:tc>
          <w:tcPr>
            <w:tcW w:w="684" w:type="pct"/>
            <w:tcBorders>
              <w:top w:val="nil"/>
              <w:left w:val="nil"/>
              <w:bottom w:val="nil"/>
              <w:right w:val="nil"/>
            </w:tcBorders>
            <w:vAlign w:val="center"/>
          </w:tcPr>
          <w:p w14:paraId="398492B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1.03±0.10</w:t>
            </w:r>
          </w:p>
        </w:tc>
        <w:tc>
          <w:tcPr>
            <w:tcW w:w="684" w:type="pct"/>
            <w:tcBorders>
              <w:top w:val="nil"/>
              <w:left w:val="nil"/>
              <w:bottom w:val="nil"/>
              <w:right w:val="nil"/>
            </w:tcBorders>
            <w:vAlign w:val="center"/>
          </w:tcPr>
          <w:p w14:paraId="2DFD68D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15.07±0.76 b</w:t>
            </w:r>
          </w:p>
        </w:tc>
        <w:tc>
          <w:tcPr>
            <w:tcW w:w="684" w:type="pct"/>
            <w:tcBorders>
              <w:top w:val="nil"/>
              <w:left w:val="nil"/>
              <w:bottom w:val="nil"/>
              <w:right w:val="nil"/>
            </w:tcBorders>
            <w:vAlign w:val="center"/>
          </w:tcPr>
          <w:p w14:paraId="6DAB212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3.75±0.04 b</w:t>
            </w:r>
          </w:p>
        </w:tc>
      </w:tr>
      <w:tr w14:paraId="77C09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64F04F81">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7226F94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684" w:type="pct"/>
            <w:tcBorders>
              <w:top w:val="nil"/>
              <w:left w:val="nil"/>
              <w:bottom w:val="nil"/>
              <w:right w:val="nil"/>
            </w:tcBorders>
            <w:vAlign w:val="center"/>
          </w:tcPr>
          <w:p w14:paraId="5C36FF5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4.64±0.06</w:t>
            </w:r>
          </w:p>
        </w:tc>
        <w:tc>
          <w:tcPr>
            <w:tcW w:w="684" w:type="pct"/>
            <w:tcBorders>
              <w:top w:val="nil"/>
              <w:left w:val="nil"/>
              <w:bottom w:val="nil"/>
              <w:right w:val="nil"/>
            </w:tcBorders>
            <w:vAlign w:val="center"/>
          </w:tcPr>
          <w:p w14:paraId="44EDF2D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49.37±2.15 </w:t>
            </w:r>
          </w:p>
        </w:tc>
        <w:tc>
          <w:tcPr>
            <w:tcW w:w="684" w:type="pct"/>
            <w:tcBorders>
              <w:top w:val="nil"/>
              <w:left w:val="nil"/>
              <w:bottom w:val="nil"/>
              <w:right w:val="nil"/>
            </w:tcBorders>
            <w:vAlign w:val="center"/>
          </w:tcPr>
          <w:p w14:paraId="7789D3D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4.02±0.13 </w:t>
            </w:r>
          </w:p>
        </w:tc>
        <w:tc>
          <w:tcPr>
            <w:tcW w:w="684" w:type="pct"/>
            <w:tcBorders>
              <w:top w:val="nil"/>
              <w:left w:val="nil"/>
              <w:bottom w:val="nil"/>
              <w:right w:val="nil"/>
            </w:tcBorders>
            <w:vAlign w:val="center"/>
          </w:tcPr>
          <w:p w14:paraId="7D9169C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1.03±0.15</w:t>
            </w:r>
          </w:p>
        </w:tc>
        <w:tc>
          <w:tcPr>
            <w:tcW w:w="684" w:type="pct"/>
            <w:tcBorders>
              <w:top w:val="nil"/>
              <w:left w:val="nil"/>
              <w:bottom w:val="nil"/>
              <w:right w:val="nil"/>
            </w:tcBorders>
            <w:vAlign w:val="center"/>
          </w:tcPr>
          <w:p w14:paraId="4E93BC7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21.55±3.13 </w:t>
            </w:r>
          </w:p>
        </w:tc>
        <w:tc>
          <w:tcPr>
            <w:tcW w:w="684" w:type="pct"/>
            <w:tcBorders>
              <w:top w:val="nil"/>
              <w:left w:val="nil"/>
              <w:bottom w:val="nil"/>
              <w:right w:val="nil"/>
            </w:tcBorders>
            <w:vAlign w:val="center"/>
          </w:tcPr>
          <w:p w14:paraId="14B17AC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4.86±0.30 a</w:t>
            </w:r>
          </w:p>
        </w:tc>
      </w:tr>
      <w:tr w14:paraId="5236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3178D331">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034AD7E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684" w:type="pct"/>
            <w:tcBorders>
              <w:top w:val="nil"/>
              <w:left w:val="nil"/>
              <w:bottom w:val="nil"/>
              <w:right w:val="nil"/>
            </w:tcBorders>
            <w:vAlign w:val="center"/>
          </w:tcPr>
          <w:p w14:paraId="69491E8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4.69±0.03</w:t>
            </w:r>
          </w:p>
        </w:tc>
        <w:tc>
          <w:tcPr>
            <w:tcW w:w="684" w:type="pct"/>
            <w:tcBorders>
              <w:top w:val="nil"/>
              <w:left w:val="nil"/>
              <w:bottom w:val="nil"/>
              <w:right w:val="nil"/>
            </w:tcBorders>
            <w:vAlign w:val="center"/>
          </w:tcPr>
          <w:p w14:paraId="352596B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39.02±1.52 b</w:t>
            </w:r>
          </w:p>
        </w:tc>
        <w:tc>
          <w:tcPr>
            <w:tcW w:w="684" w:type="pct"/>
            <w:tcBorders>
              <w:top w:val="nil"/>
              <w:left w:val="nil"/>
              <w:bottom w:val="nil"/>
              <w:right w:val="nil"/>
            </w:tcBorders>
            <w:vAlign w:val="center"/>
          </w:tcPr>
          <w:p w14:paraId="7E148BC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3.43±0.09 b</w:t>
            </w:r>
          </w:p>
        </w:tc>
        <w:tc>
          <w:tcPr>
            <w:tcW w:w="684" w:type="pct"/>
            <w:tcBorders>
              <w:top w:val="nil"/>
              <w:left w:val="nil"/>
              <w:bottom w:val="nil"/>
              <w:right w:val="nil"/>
            </w:tcBorders>
            <w:vAlign w:val="center"/>
          </w:tcPr>
          <w:p w14:paraId="7543373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0.95±0.11</w:t>
            </w:r>
          </w:p>
        </w:tc>
        <w:tc>
          <w:tcPr>
            <w:tcW w:w="684" w:type="pct"/>
            <w:tcBorders>
              <w:top w:val="nil"/>
              <w:left w:val="nil"/>
              <w:bottom w:val="nil"/>
              <w:right w:val="nil"/>
            </w:tcBorders>
            <w:vAlign w:val="center"/>
          </w:tcPr>
          <w:p w14:paraId="2EA9543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22.77±0.92 a</w:t>
            </w:r>
          </w:p>
        </w:tc>
        <w:tc>
          <w:tcPr>
            <w:tcW w:w="684" w:type="pct"/>
            <w:tcBorders>
              <w:top w:val="nil"/>
              <w:left w:val="nil"/>
              <w:bottom w:val="nil"/>
              <w:right w:val="nil"/>
            </w:tcBorders>
            <w:vAlign w:val="center"/>
          </w:tcPr>
          <w:p w14:paraId="31101D0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4.99±0.24 a</w:t>
            </w:r>
          </w:p>
        </w:tc>
      </w:tr>
      <w:tr w14:paraId="4BAE2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restart"/>
            <w:tcBorders>
              <w:top w:val="nil"/>
              <w:left w:val="nil"/>
              <w:bottom w:val="nil"/>
              <w:right w:val="nil"/>
            </w:tcBorders>
            <w:vAlign w:val="center"/>
          </w:tcPr>
          <w:p w14:paraId="21330FC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Mean</w:t>
            </w:r>
          </w:p>
        </w:tc>
        <w:tc>
          <w:tcPr>
            <w:tcW w:w="446" w:type="pct"/>
            <w:tcBorders>
              <w:top w:val="nil"/>
              <w:left w:val="nil"/>
              <w:bottom w:val="nil"/>
              <w:right w:val="nil"/>
            </w:tcBorders>
            <w:vAlign w:val="center"/>
          </w:tcPr>
          <w:p w14:paraId="3EF03F9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684" w:type="pct"/>
            <w:tcBorders>
              <w:top w:val="nil"/>
              <w:left w:val="nil"/>
              <w:bottom w:val="nil"/>
              <w:right w:val="nil"/>
            </w:tcBorders>
            <w:vAlign w:val="center"/>
          </w:tcPr>
          <w:p w14:paraId="21C58EC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4.65±0.06</w:t>
            </w:r>
          </w:p>
        </w:tc>
        <w:tc>
          <w:tcPr>
            <w:tcW w:w="684" w:type="pct"/>
            <w:tcBorders>
              <w:top w:val="nil"/>
              <w:left w:val="nil"/>
              <w:bottom w:val="nil"/>
              <w:right w:val="nil"/>
            </w:tcBorders>
            <w:vAlign w:val="center"/>
          </w:tcPr>
          <w:p w14:paraId="330438B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50.63±3.32</w:t>
            </w:r>
          </w:p>
        </w:tc>
        <w:tc>
          <w:tcPr>
            <w:tcW w:w="684" w:type="pct"/>
            <w:tcBorders>
              <w:top w:val="nil"/>
              <w:left w:val="nil"/>
              <w:bottom w:val="nil"/>
              <w:right w:val="nil"/>
            </w:tcBorders>
            <w:vAlign w:val="center"/>
          </w:tcPr>
          <w:p w14:paraId="4400DA6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3.98±0.23</w:t>
            </w:r>
          </w:p>
        </w:tc>
        <w:tc>
          <w:tcPr>
            <w:tcW w:w="684" w:type="pct"/>
            <w:tcBorders>
              <w:top w:val="nil"/>
              <w:left w:val="nil"/>
              <w:bottom w:val="nil"/>
              <w:right w:val="nil"/>
            </w:tcBorders>
            <w:vAlign w:val="center"/>
          </w:tcPr>
          <w:p w14:paraId="6FC7D9B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0.94±0.10</w:t>
            </w:r>
          </w:p>
        </w:tc>
        <w:tc>
          <w:tcPr>
            <w:tcW w:w="684" w:type="pct"/>
            <w:tcBorders>
              <w:top w:val="nil"/>
              <w:left w:val="nil"/>
              <w:bottom w:val="nil"/>
              <w:right w:val="nil"/>
            </w:tcBorders>
            <w:vAlign w:val="center"/>
          </w:tcPr>
          <w:p w14:paraId="60F9219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13.45±0.88</w:t>
            </w:r>
          </w:p>
        </w:tc>
        <w:tc>
          <w:tcPr>
            <w:tcW w:w="684" w:type="pct"/>
            <w:tcBorders>
              <w:top w:val="nil"/>
              <w:left w:val="nil"/>
              <w:bottom w:val="nil"/>
              <w:right w:val="nil"/>
            </w:tcBorders>
            <w:vAlign w:val="center"/>
          </w:tcPr>
          <w:p w14:paraId="5089A5E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4.35±0.52 b</w:t>
            </w:r>
          </w:p>
        </w:tc>
      </w:tr>
      <w:tr w14:paraId="631ED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7292C3C6">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036D6A5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684" w:type="pct"/>
            <w:tcBorders>
              <w:top w:val="nil"/>
              <w:left w:val="nil"/>
              <w:bottom w:val="nil"/>
              <w:right w:val="nil"/>
            </w:tcBorders>
            <w:vAlign w:val="center"/>
          </w:tcPr>
          <w:p w14:paraId="17950BD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4.62±0.07</w:t>
            </w:r>
          </w:p>
        </w:tc>
        <w:tc>
          <w:tcPr>
            <w:tcW w:w="684" w:type="pct"/>
            <w:tcBorders>
              <w:top w:val="nil"/>
              <w:left w:val="nil"/>
              <w:bottom w:val="nil"/>
              <w:right w:val="nil"/>
            </w:tcBorders>
            <w:vAlign w:val="center"/>
          </w:tcPr>
          <w:p w14:paraId="4BF3B2C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52.04±2.76</w:t>
            </w:r>
          </w:p>
        </w:tc>
        <w:tc>
          <w:tcPr>
            <w:tcW w:w="684" w:type="pct"/>
            <w:tcBorders>
              <w:top w:val="nil"/>
              <w:left w:val="nil"/>
              <w:bottom w:val="nil"/>
              <w:right w:val="nil"/>
            </w:tcBorders>
            <w:vAlign w:val="center"/>
          </w:tcPr>
          <w:p w14:paraId="5F1DA82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3.91±0.17</w:t>
            </w:r>
          </w:p>
        </w:tc>
        <w:tc>
          <w:tcPr>
            <w:tcW w:w="684" w:type="pct"/>
            <w:tcBorders>
              <w:top w:val="nil"/>
              <w:left w:val="nil"/>
              <w:bottom w:val="nil"/>
              <w:right w:val="nil"/>
            </w:tcBorders>
            <w:vAlign w:val="center"/>
          </w:tcPr>
          <w:p w14:paraId="0FC8945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0.95±0.12</w:t>
            </w:r>
          </w:p>
        </w:tc>
        <w:tc>
          <w:tcPr>
            <w:tcW w:w="684" w:type="pct"/>
            <w:tcBorders>
              <w:top w:val="nil"/>
              <w:left w:val="nil"/>
              <w:bottom w:val="nil"/>
              <w:right w:val="nil"/>
            </w:tcBorders>
            <w:vAlign w:val="center"/>
          </w:tcPr>
          <w:p w14:paraId="1CEED17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15.75±1.45</w:t>
            </w:r>
          </w:p>
        </w:tc>
        <w:tc>
          <w:tcPr>
            <w:tcW w:w="684" w:type="pct"/>
            <w:tcBorders>
              <w:top w:val="nil"/>
              <w:left w:val="nil"/>
              <w:bottom w:val="nil"/>
              <w:right w:val="nil"/>
            </w:tcBorders>
            <w:vAlign w:val="center"/>
          </w:tcPr>
          <w:p w14:paraId="10E6037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5.19±0.49 </w:t>
            </w:r>
          </w:p>
        </w:tc>
      </w:tr>
      <w:tr w14:paraId="4E7B2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3143CDBA">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11382AE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684" w:type="pct"/>
            <w:tcBorders>
              <w:top w:val="nil"/>
              <w:left w:val="nil"/>
              <w:bottom w:val="nil"/>
              <w:right w:val="nil"/>
            </w:tcBorders>
            <w:vAlign w:val="center"/>
          </w:tcPr>
          <w:p w14:paraId="32D344C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4.61±0.03</w:t>
            </w:r>
          </w:p>
        </w:tc>
        <w:tc>
          <w:tcPr>
            <w:tcW w:w="684" w:type="pct"/>
            <w:tcBorders>
              <w:top w:val="nil"/>
              <w:left w:val="nil"/>
              <w:bottom w:val="nil"/>
              <w:right w:val="nil"/>
            </w:tcBorders>
            <w:vAlign w:val="center"/>
          </w:tcPr>
          <w:p w14:paraId="6E01493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47.51±2.53</w:t>
            </w:r>
          </w:p>
        </w:tc>
        <w:tc>
          <w:tcPr>
            <w:tcW w:w="684" w:type="pct"/>
            <w:tcBorders>
              <w:top w:val="nil"/>
              <w:left w:val="nil"/>
              <w:bottom w:val="nil"/>
              <w:right w:val="nil"/>
            </w:tcBorders>
            <w:vAlign w:val="center"/>
          </w:tcPr>
          <w:p w14:paraId="4263EB6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3.83±0.14</w:t>
            </w:r>
          </w:p>
        </w:tc>
        <w:tc>
          <w:tcPr>
            <w:tcW w:w="684" w:type="pct"/>
            <w:tcBorders>
              <w:top w:val="nil"/>
              <w:left w:val="nil"/>
              <w:bottom w:val="nil"/>
              <w:right w:val="nil"/>
            </w:tcBorders>
            <w:vAlign w:val="center"/>
          </w:tcPr>
          <w:p w14:paraId="0E49948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0.94±0.11</w:t>
            </w:r>
          </w:p>
        </w:tc>
        <w:tc>
          <w:tcPr>
            <w:tcW w:w="684" w:type="pct"/>
            <w:tcBorders>
              <w:top w:val="nil"/>
              <w:left w:val="nil"/>
              <w:bottom w:val="nil"/>
              <w:right w:val="nil"/>
            </w:tcBorders>
            <w:vAlign w:val="center"/>
          </w:tcPr>
          <w:p w14:paraId="37D3999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16.85±0.42</w:t>
            </w:r>
          </w:p>
        </w:tc>
        <w:tc>
          <w:tcPr>
            <w:tcW w:w="684" w:type="pct"/>
            <w:tcBorders>
              <w:top w:val="nil"/>
              <w:left w:val="nil"/>
              <w:bottom w:val="nil"/>
              <w:right w:val="nil"/>
            </w:tcBorders>
            <w:vAlign w:val="center"/>
          </w:tcPr>
          <w:p w14:paraId="4BB7350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7.42±0.84 a</w:t>
            </w:r>
          </w:p>
        </w:tc>
      </w:tr>
      <w:tr w14:paraId="5E6F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restart"/>
            <w:tcBorders>
              <w:top w:val="nil"/>
              <w:left w:val="nil"/>
              <w:bottom w:val="nil"/>
              <w:right w:val="nil"/>
            </w:tcBorders>
            <w:vAlign w:val="center"/>
          </w:tcPr>
          <w:p w14:paraId="66224CA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Repeated measures ANOVA</w:t>
            </w:r>
          </w:p>
        </w:tc>
        <w:tc>
          <w:tcPr>
            <w:tcW w:w="446" w:type="pct"/>
            <w:tcBorders>
              <w:top w:val="nil"/>
              <w:left w:val="nil"/>
              <w:bottom w:val="nil"/>
              <w:right w:val="nil"/>
            </w:tcBorders>
            <w:vAlign w:val="center"/>
          </w:tcPr>
          <w:p w14:paraId="4CE46A6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w:t>
            </w:r>
          </w:p>
        </w:tc>
        <w:tc>
          <w:tcPr>
            <w:tcW w:w="684" w:type="pct"/>
            <w:tcBorders>
              <w:top w:val="nil"/>
              <w:left w:val="nil"/>
              <w:bottom w:val="nil"/>
              <w:right w:val="nil"/>
            </w:tcBorders>
            <w:vAlign w:val="center"/>
          </w:tcPr>
          <w:p w14:paraId="71D2DE4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nil"/>
              <w:right w:val="nil"/>
            </w:tcBorders>
            <w:vAlign w:val="center"/>
          </w:tcPr>
          <w:p w14:paraId="41A693C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nil"/>
              <w:right w:val="nil"/>
            </w:tcBorders>
            <w:vAlign w:val="center"/>
          </w:tcPr>
          <w:p w14:paraId="2E80EDE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nil"/>
              <w:right w:val="nil"/>
            </w:tcBorders>
            <w:vAlign w:val="center"/>
          </w:tcPr>
          <w:p w14:paraId="2334576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nil"/>
              <w:right w:val="nil"/>
            </w:tcBorders>
            <w:vAlign w:val="center"/>
          </w:tcPr>
          <w:p w14:paraId="2A097D4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nil"/>
              <w:right w:val="nil"/>
            </w:tcBorders>
            <w:vAlign w:val="center"/>
          </w:tcPr>
          <w:p w14:paraId="4918FB5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r>
      <w:tr w14:paraId="4547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nil"/>
              <w:right w:val="nil"/>
            </w:tcBorders>
            <w:vAlign w:val="center"/>
          </w:tcPr>
          <w:p w14:paraId="6981CA49">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nil"/>
              <w:right w:val="nil"/>
            </w:tcBorders>
            <w:vAlign w:val="center"/>
          </w:tcPr>
          <w:p w14:paraId="333A499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w:t>
            </w:r>
          </w:p>
        </w:tc>
        <w:tc>
          <w:tcPr>
            <w:tcW w:w="684" w:type="pct"/>
            <w:tcBorders>
              <w:top w:val="nil"/>
              <w:left w:val="nil"/>
              <w:bottom w:val="nil"/>
              <w:right w:val="nil"/>
            </w:tcBorders>
            <w:vAlign w:val="center"/>
          </w:tcPr>
          <w:p w14:paraId="5E25A4A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nil"/>
              <w:right w:val="nil"/>
            </w:tcBorders>
            <w:vAlign w:val="center"/>
          </w:tcPr>
          <w:p w14:paraId="652A9E7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nil"/>
              <w:right w:val="nil"/>
            </w:tcBorders>
            <w:vAlign w:val="center"/>
          </w:tcPr>
          <w:p w14:paraId="2F0E287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nil"/>
              <w:right w:val="nil"/>
            </w:tcBorders>
            <w:vAlign w:val="center"/>
          </w:tcPr>
          <w:p w14:paraId="4D33A3B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nil"/>
              <w:right w:val="nil"/>
            </w:tcBorders>
            <w:vAlign w:val="center"/>
          </w:tcPr>
          <w:p w14:paraId="511C83B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nil"/>
              <w:right w:val="nil"/>
            </w:tcBorders>
            <w:vAlign w:val="center"/>
          </w:tcPr>
          <w:p w14:paraId="4DF4D97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r>
      <w:tr w14:paraId="3618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48" w:type="pct"/>
            <w:vMerge w:val="continue"/>
            <w:tcBorders>
              <w:top w:val="nil"/>
              <w:left w:val="nil"/>
              <w:bottom w:val="single" w:color="auto" w:sz="8" w:space="0"/>
              <w:right w:val="nil"/>
            </w:tcBorders>
            <w:vAlign w:val="center"/>
          </w:tcPr>
          <w:p w14:paraId="68905F6F">
            <w:pPr>
              <w:widowControl/>
              <w:spacing w:after="0" w:line="240" w:lineRule="exact"/>
              <w:jc w:val="both"/>
              <w:rPr>
                <w:rFonts w:hint="default" w:ascii="Times New Roman" w:hAnsi="Times New Roman" w:eastAsia="宋体" w:cs="Times New Roman"/>
                <w:szCs w:val="22"/>
              </w:rPr>
            </w:pPr>
          </w:p>
        </w:tc>
        <w:tc>
          <w:tcPr>
            <w:tcW w:w="446" w:type="pct"/>
            <w:tcBorders>
              <w:top w:val="nil"/>
              <w:left w:val="nil"/>
              <w:bottom w:val="single" w:color="auto" w:sz="8" w:space="0"/>
              <w:right w:val="nil"/>
            </w:tcBorders>
            <w:vAlign w:val="center"/>
          </w:tcPr>
          <w:p w14:paraId="05AA1F0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N×T</w:t>
            </w:r>
          </w:p>
        </w:tc>
        <w:tc>
          <w:tcPr>
            <w:tcW w:w="684" w:type="pct"/>
            <w:tcBorders>
              <w:top w:val="nil"/>
              <w:left w:val="nil"/>
              <w:bottom w:val="single" w:color="auto" w:sz="8" w:space="0"/>
              <w:right w:val="nil"/>
            </w:tcBorders>
            <w:vAlign w:val="center"/>
          </w:tcPr>
          <w:p w14:paraId="6A7468F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single" w:color="auto" w:sz="8" w:space="0"/>
              <w:right w:val="nil"/>
            </w:tcBorders>
            <w:vAlign w:val="center"/>
          </w:tcPr>
          <w:p w14:paraId="0EEBB26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single" w:color="auto" w:sz="8" w:space="0"/>
              <w:right w:val="nil"/>
            </w:tcBorders>
            <w:vAlign w:val="center"/>
          </w:tcPr>
          <w:p w14:paraId="03272D9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single" w:color="auto" w:sz="8" w:space="0"/>
              <w:right w:val="nil"/>
            </w:tcBorders>
            <w:vAlign w:val="center"/>
          </w:tcPr>
          <w:p w14:paraId="110D11D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684" w:type="pct"/>
            <w:tcBorders>
              <w:top w:val="nil"/>
              <w:left w:val="nil"/>
              <w:bottom w:val="single" w:color="auto" w:sz="8" w:space="0"/>
              <w:right w:val="nil"/>
            </w:tcBorders>
            <w:vAlign w:val="center"/>
          </w:tcPr>
          <w:p w14:paraId="3D711A2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684" w:type="pct"/>
            <w:tcBorders>
              <w:top w:val="nil"/>
              <w:left w:val="nil"/>
              <w:bottom w:val="single" w:color="auto" w:sz="8" w:space="0"/>
              <w:right w:val="nil"/>
            </w:tcBorders>
            <w:vAlign w:val="center"/>
          </w:tcPr>
          <w:p w14:paraId="37042BF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r>
    </w:tbl>
    <w:p w14:paraId="509DB10D">
      <w:pPr>
        <w:widowControl/>
        <w:spacing w:after="0" w:line="360" w:lineRule="auto"/>
        <w:jc w:val="both"/>
        <w:rPr>
          <w:rFonts w:hint="default" w:ascii="Times New Roman" w:hAnsi="Times New Roman" w:eastAsia="宋体" w:cs="Times New Roman"/>
          <w:kern w:val="24"/>
          <w:sz w:val="24"/>
        </w:rPr>
      </w:pPr>
      <w:r>
        <w:rPr>
          <w:rFonts w:hint="default" w:ascii="Times New Roman" w:hAnsi="Times New Roman" w:cs="Times New Roman"/>
          <w:bCs/>
          <w:sz w:val="24"/>
          <w14:ligatures w14:val="none"/>
        </w:rPr>
        <w:t>pH, soil acidity; SOC, soil organic carbon; TN, total nitrogen; TP, total phosphorus; NO₃⁻-N, nitrate nitrogen; NH₄⁺-N, ammonium nitrogen; CT, control treatment; LN, low-N addition; HN, high-N addition.</w:t>
      </w:r>
      <w:r>
        <w:rPr>
          <w:rFonts w:hint="default" w:ascii="Times New Roman" w:hAnsi="Times New Roman" w:eastAsia="宋体" w:cs="Times New Roman"/>
          <w:kern w:val="24"/>
          <w:sz w:val="24"/>
        </w:rPr>
        <w:t xml:space="preserve"> Data are presented as the mean ± standard error (</w:t>
      </w:r>
      <w:r>
        <w:rPr>
          <w:rFonts w:hint="default" w:ascii="Times New Roman" w:hAnsi="Times New Roman" w:eastAsia="宋体" w:cs="Times New Roman"/>
          <w:i/>
          <w:iCs/>
          <w:kern w:val="24"/>
          <w:sz w:val="24"/>
        </w:rPr>
        <w:t>n</w:t>
      </w:r>
      <w:r>
        <w:rPr>
          <w:rFonts w:hint="default" w:ascii="Times New Roman" w:hAnsi="Times New Roman" w:eastAsia="宋体" w:cs="Times New Roman"/>
          <w:kern w:val="24"/>
          <w:sz w:val="24"/>
        </w:rPr>
        <w:t xml:space="preserve"> = 3).</w:t>
      </w:r>
      <w:r>
        <w:rPr>
          <w:rFonts w:hint="default" w:ascii="Times New Roman" w:hAnsi="Times New Roman" w:cs="Times New Roman"/>
          <w:bCs/>
          <w:sz w:val="24"/>
          <w14:ligatures w14:val="none"/>
        </w:rPr>
        <w:t xml:space="preserve"> Mean represents the average of data from three years of N addition. </w:t>
      </w:r>
      <w:r>
        <w:rPr>
          <w:rFonts w:hint="default" w:ascii="Times New Roman" w:hAnsi="Times New Roman" w:eastAsia="宋体" w:cs="Times New Roman"/>
          <w:kern w:val="24"/>
          <w:sz w:val="24"/>
        </w:rPr>
        <w:t>Different lowercase letters indicate significant differences among N treatments at each sampling time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Repeated-measures ANOVA was used to test the effects of N treatment (N), time (T), and their interaction (N × T). Significance levels: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ns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&gt; 0.05.</w:t>
      </w:r>
      <w:r>
        <w:rPr>
          <w:rFonts w:hint="default" w:ascii="Times New Roman" w:hAnsi="Times New Roman" w:eastAsia="宋体" w:cs="Times New Roman"/>
          <w:kern w:val="24"/>
          <w:sz w:val="24"/>
        </w:rPr>
        <w:br w:type="page"/>
      </w:r>
    </w:p>
    <w:p w14:paraId="0E59807C">
      <w:pPr>
        <w:spacing w:after="0" w:line="480" w:lineRule="auto"/>
        <w:jc w:val="both"/>
        <w:rPr>
          <w:rFonts w:hint="default" w:ascii="Times New Roman" w:hAnsi="Times New Roman" w:cs="Times New Roman"/>
          <w:b/>
          <w:bCs/>
          <w:sz w:val="24"/>
          <w:szCs w:val="28"/>
        </w:rPr>
      </w:pPr>
      <w:r>
        <w:rPr>
          <w:rFonts w:hint="default" w:ascii="Times New Roman" w:hAnsi="Times New Roman" w:cs="Times New Roman"/>
          <w:b/>
          <w:bCs/>
          <w:sz w:val="24"/>
          <w:szCs w:val="28"/>
        </w:rPr>
        <w:t xml:space="preserve">Table S2 </w:t>
      </w:r>
      <w:r>
        <w:rPr>
          <w:rFonts w:hint="default" w:ascii="Times New Roman" w:hAnsi="Times New Roman" w:cs="Times New Roman"/>
          <w:sz w:val="24"/>
          <w:szCs w:val="28"/>
        </w:rPr>
        <w:t>Effects of three consecutive years of N addition on the quantity and quality of soil DOM.</w:t>
      </w:r>
    </w:p>
    <w:tbl>
      <w:tblPr>
        <w:tblStyle w:val="5"/>
        <w:tblW w:w="5063" w:type="pct"/>
        <w:tblInd w:w="-289" w:type="dxa"/>
        <w:tblLayout w:type="fixed"/>
        <w:tblCellMar>
          <w:top w:w="0" w:type="dxa"/>
          <w:left w:w="108" w:type="dxa"/>
          <w:bottom w:w="0" w:type="dxa"/>
          <w:right w:w="108" w:type="dxa"/>
        </w:tblCellMar>
      </w:tblPr>
      <w:tblGrid>
        <w:gridCol w:w="1253"/>
        <w:gridCol w:w="1271"/>
        <w:gridCol w:w="1794"/>
        <w:gridCol w:w="1793"/>
        <w:gridCol w:w="1793"/>
        <w:gridCol w:w="1793"/>
        <w:gridCol w:w="1793"/>
        <w:gridCol w:w="1793"/>
        <w:gridCol w:w="1799"/>
      </w:tblGrid>
      <w:tr w14:paraId="1F370B37">
        <w:tblPrEx>
          <w:tblCellMar>
            <w:top w:w="0" w:type="dxa"/>
            <w:left w:w="108" w:type="dxa"/>
            <w:bottom w:w="0" w:type="dxa"/>
            <w:right w:w="108" w:type="dxa"/>
          </w:tblCellMar>
        </w:tblPrEx>
        <w:trPr>
          <w:trHeight w:val="306" w:hRule="atLeast"/>
        </w:trPr>
        <w:tc>
          <w:tcPr>
            <w:tcW w:w="1192" w:type="dxa"/>
            <w:tcBorders>
              <w:top w:val="single" w:color="auto" w:sz="8" w:space="0"/>
              <w:left w:val="nil"/>
              <w:bottom w:val="single" w:color="auto" w:sz="4" w:space="0"/>
              <w:right w:val="nil"/>
            </w:tcBorders>
            <w:vAlign w:val="center"/>
          </w:tcPr>
          <w:p w14:paraId="1AA2DAF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Year</w:t>
            </w:r>
          </w:p>
        </w:tc>
        <w:tc>
          <w:tcPr>
            <w:tcW w:w="1209" w:type="dxa"/>
            <w:tcBorders>
              <w:top w:val="single" w:color="auto" w:sz="8" w:space="0"/>
              <w:left w:val="nil"/>
              <w:bottom w:val="single" w:color="auto" w:sz="4" w:space="0"/>
              <w:right w:val="nil"/>
            </w:tcBorders>
            <w:vAlign w:val="center"/>
          </w:tcPr>
          <w:p w14:paraId="74B6AE8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Treatment</w:t>
            </w:r>
          </w:p>
        </w:tc>
        <w:tc>
          <w:tcPr>
            <w:tcW w:w="1707" w:type="dxa"/>
            <w:tcBorders>
              <w:top w:val="single" w:color="auto" w:sz="8" w:space="0"/>
              <w:left w:val="nil"/>
              <w:bottom w:val="single" w:color="auto" w:sz="4" w:space="0"/>
              <w:right w:val="nil"/>
            </w:tcBorders>
            <w:vAlign w:val="center"/>
          </w:tcPr>
          <w:p w14:paraId="1F52AD3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SUV</w:t>
            </w:r>
            <w:r>
              <w:rPr>
                <w:rFonts w:hint="default" w:ascii="Times New Roman" w:hAnsi="Times New Roman" w:eastAsia="宋体" w:cs="Times New Roman"/>
                <w:szCs w:val="22"/>
                <w:vertAlign w:val="subscript"/>
              </w:rPr>
              <w:t>254</w:t>
            </w:r>
          </w:p>
        </w:tc>
        <w:tc>
          <w:tcPr>
            <w:tcW w:w="1707" w:type="dxa"/>
            <w:tcBorders>
              <w:top w:val="single" w:color="auto" w:sz="8" w:space="0"/>
              <w:left w:val="nil"/>
              <w:bottom w:val="single" w:color="auto" w:sz="4" w:space="0"/>
              <w:right w:val="nil"/>
            </w:tcBorders>
            <w:vAlign w:val="center"/>
          </w:tcPr>
          <w:p w14:paraId="41CAE82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SUV</w:t>
            </w:r>
            <w:r>
              <w:rPr>
                <w:rFonts w:hint="default" w:ascii="Times New Roman" w:hAnsi="Times New Roman" w:eastAsia="宋体" w:cs="Times New Roman"/>
                <w:szCs w:val="22"/>
                <w:vertAlign w:val="subscript"/>
              </w:rPr>
              <w:t>260</w:t>
            </w:r>
          </w:p>
        </w:tc>
        <w:tc>
          <w:tcPr>
            <w:tcW w:w="1707" w:type="dxa"/>
            <w:tcBorders>
              <w:top w:val="single" w:color="auto" w:sz="8" w:space="0"/>
              <w:left w:val="nil"/>
              <w:bottom w:val="single" w:color="auto" w:sz="4" w:space="0"/>
              <w:right w:val="nil"/>
            </w:tcBorders>
            <w:vAlign w:val="center"/>
          </w:tcPr>
          <w:p w14:paraId="2039C2B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HIX</w:t>
            </w:r>
          </w:p>
        </w:tc>
        <w:tc>
          <w:tcPr>
            <w:tcW w:w="1707" w:type="dxa"/>
            <w:tcBorders>
              <w:top w:val="single" w:color="auto" w:sz="8" w:space="0"/>
              <w:left w:val="nil"/>
              <w:bottom w:val="single" w:color="auto" w:sz="4" w:space="0"/>
              <w:right w:val="nil"/>
            </w:tcBorders>
            <w:vAlign w:val="center"/>
          </w:tcPr>
          <w:p w14:paraId="62F0B5E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FI</w:t>
            </w:r>
          </w:p>
        </w:tc>
        <w:tc>
          <w:tcPr>
            <w:tcW w:w="1707" w:type="dxa"/>
            <w:tcBorders>
              <w:top w:val="single" w:color="auto" w:sz="8" w:space="0"/>
              <w:left w:val="nil"/>
              <w:bottom w:val="single" w:color="auto" w:sz="4" w:space="0"/>
              <w:right w:val="nil"/>
            </w:tcBorders>
            <w:vAlign w:val="center"/>
          </w:tcPr>
          <w:p w14:paraId="4780738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BIX</w:t>
            </w:r>
          </w:p>
        </w:tc>
        <w:tc>
          <w:tcPr>
            <w:tcW w:w="1707" w:type="dxa"/>
            <w:tcBorders>
              <w:top w:val="single" w:color="auto" w:sz="8" w:space="0"/>
              <w:left w:val="nil"/>
              <w:bottom w:val="single" w:color="auto" w:sz="4" w:space="0"/>
              <w:right w:val="nil"/>
            </w:tcBorders>
            <w:vAlign w:val="center"/>
          </w:tcPr>
          <w:p w14:paraId="25DCFCDA">
            <w:pPr>
              <w:widowControl/>
              <w:spacing w:after="0" w:line="240" w:lineRule="exact"/>
              <w:jc w:val="both"/>
              <w:rPr>
                <w:rFonts w:hint="default" w:ascii="Times New Roman" w:hAnsi="Times New Roman" w:eastAsia="宋体" w:cs="Times New Roman"/>
                <w:szCs w:val="22"/>
              </w:rPr>
            </w:pPr>
            <w:bookmarkStart w:id="6" w:name="OLE_LINK3"/>
            <w:r>
              <w:rPr>
                <w:rFonts w:hint="default" w:ascii="Times New Roman" w:hAnsi="Times New Roman" w:eastAsia="宋体" w:cs="Times New Roman"/>
                <w:szCs w:val="22"/>
              </w:rPr>
              <w:t>HIX:FI</w:t>
            </w:r>
            <w:bookmarkEnd w:id="6"/>
          </w:p>
        </w:tc>
        <w:tc>
          <w:tcPr>
            <w:tcW w:w="1712" w:type="dxa"/>
            <w:tcBorders>
              <w:top w:val="single" w:color="auto" w:sz="8" w:space="0"/>
              <w:left w:val="nil"/>
              <w:bottom w:val="single" w:color="auto" w:sz="4" w:space="0"/>
              <w:right w:val="nil"/>
            </w:tcBorders>
            <w:vAlign w:val="center"/>
          </w:tcPr>
          <w:p w14:paraId="29DD05D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C1:C3</w:t>
            </w:r>
          </w:p>
        </w:tc>
      </w:tr>
      <w:tr w14:paraId="04EDD062">
        <w:tblPrEx>
          <w:tblCellMar>
            <w:top w:w="0" w:type="dxa"/>
            <w:left w:w="108" w:type="dxa"/>
            <w:bottom w:w="0" w:type="dxa"/>
            <w:right w:w="108" w:type="dxa"/>
          </w:tblCellMar>
        </w:tblPrEx>
        <w:trPr>
          <w:cantSplit/>
          <w:trHeight w:val="306" w:hRule="atLeast"/>
        </w:trPr>
        <w:tc>
          <w:tcPr>
            <w:tcW w:w="1192" w:type="dxa"/>
            <w:vMerge w:val="restart"/>
            <w:tcBorders>
              <w:top w:val="single" w:color="auto" w:sz="4" w:space="0"/>
            </w:tcBorders>
            <w:vAlign w:val="center"/>
          </w:tcPr>
          <w:p w14:paraId="1DB5F03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2017</w:t>
            </w:r>
          </w:p>
        </w:tc>
        <w:tc>
          <w:tcPr>
            <w:tcW w:w="1209" w:type="dxa"/>
            <w:tcBorders>
              <w:top w:val="single" w:color="auto" w:sz="4" w:space="0"/>
            </w:tcBorders>
            <w:vAlign w:val="center"/>
          </w:tcPr>
          <w:p w14:paraId="67CDEA9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1707" w:type="dxa"/>
            <w:tcBorders>
              <w:top w:val="single" w:color="auto" w:sz="4" w:space="0"/>
            </w:tcBorders>
            <w:vAlign w:val="center"/>
          </w:tcPr>
          <w:p w14:paraId="61AC7C1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0.39±0.02 a</w:t>
            </w:r>
          </w:p>
        </w:tc>
        <w:tc>
          <w:tcPr>
            <w:tcW w:w="1707" w:type="dxa"/>
            <w:tcBorders>
              <w:top w:val="single" w:color="auto" w:sz="4" w:space="0"/>
            </w:tcBorders>
            <w:vAlign w:val="center"/>
          </w:tcPr>
          <w:p w14:paraId="3120654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0.38±0.02 b</w:t>
            </w:r>
          </w:p>
        </w:tc>
        <w:tc>
          <w:tcPr>
            <w:tcW w:w="1707" w:type="dxa"/>
            <w:tcBorders>
              <w:top w:val="single" w:color="auto" w:sz="4" w:space="0"/>
            </w:tcBorders>
            <w:vAlign w:val="center"/>
          </w:tcPr>
          <w:p w14:paraId="42DA2B1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0.82±0.08</w:t>
            </w:r>
          </w:p>
        </w:tc>
        <w:tc>
          <w:tcPr>
            <w:tcW w:w="1707" w:type="dxa"/>
            <w:tcBorders>
              <w:top w:val="single" w:color="auto" w:sz="4" w:space="0"/>
            </w:tcBorders>
            <w:vAlign w:val="center"/>
          </w:tcPr>
          <w:p w14:paraId="46B4B49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0.58±0.09</w:t>
            </w:r>
          </w:p>
        </w:tc>
        <w:tc>
          <w:tcPr>
            <w:tcW w:w="1707" w:type="dxa"/>
            <w:tcBorders>
              <w:top w:val="single" w:color="auto" w:sz="4" w:space="0"/>
            </w:tcBorders>
            <w:vAlign w:val="center"/>
          </w:tcPr>
          <w:p w14:paraId="1D81533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0.58±0.04</w:t>
            </w:r>
          </w:p>
        </w:tc>
        <w:tc>
          <w:tcPr>
            <w:tcW w:w="1707" w:type="dxa"/>
            <w:tcBorders>
              <w:top w:val="single" w:color="auto" w:sz="4" w:space="0"/>
            </w:tcBorders>
            <w:vAlign w:val="center"/>
          </w:tcPr>
          <w:p w14:paraId="0561FB3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0.51±0.06</w:t>
            </w:r>
          </w:p>
        </w:tc>
        <w:tc>
          <w:tcPr>
            <w:tcW w:w="1712" w:type="dxa"/>
            <w:tcBorders>
              <w:top w:val="single" w:color="auto" w:sz="4" w:space="0"/>
            </w:tcBorders>
            <w:vAlign w:val="center"/>
          </w:tcPr>
          <w:p w14:paraId="1AF0049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3.25±1.03</w:t>
            </w:r>
          </w:p>
        </w:tc>
      </w:tr>
      <w:tr w14:paraId="409DA140">
        <w:tblPrEx>
          <w:tblCellMar>
            <w:top w:w="0" w:type="dxa"/>
            <w:left w:w="108" w:type="dxa"/>
            <w:bottom w:w="0" w:type="dxa"/>
            <w:right w:w="108" w:type="dxa"/>
          </w:tblCellMar>
        </w:tblPrEx>
        <w:trPr>
          <w:cantSplit/>
          <w:trHeight w:val="306" w:hRule="atLeast"/>
        </w:trPr>
        <w:tc>
          <w:tcPr>
            <w:tcW w:w="1192" w:type="dxa"/>
            <w:vMerge w:val="continue"/>
            <w:vAlign w:val="center"/>
          </w:tcPr>
          <w:p w14:paraId="325FEECF">
            <w:pPr>
              <w:widowControl/>
              <w:spacing w:after="0" w:line="240" w:lineRule="exact"/>
              <w:jc w:val="both"/>
              <w:rPr>
                <w:rFonts w:hint="default" w:ascii="Times New Roman" w:hAnsi="Times New Roman" w:eastAsia="宋体" w:cs="Times New Roman"/>
                <w:szCs w:val="22"/>
              </w:rPr>
            </w:pPr>
          </w:p>
        </w:tc>
        <w:tc>
          <w:tcPr>
            <w:tcW w:w="1209" w:type="dxa"/>
            <w:vAlign w:val="center"/>
          </w:tcPr>
          <w:p w14:paraId="25593F5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1707" w:type="dxa"/>
            <w:vAlign w:val="center"/>
          </w:tcPr>
          <w:p w14:paraId="6BDE97C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0.51±0.01</w:t>
            </w:r>
          </w:p>
        </w:tc>
        <w:tc>
          <w:tcPr>
            <w:tcW w:w="1707" w:type="dxa"/>
            <w:vAlign w:val="center"/>
          </w:tcPr>
          <w:p w14:paraId="5572BF6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0.50±0.01 a</w:t>
            </w:r>
          </w:p>
        </w:tc>
        <w:tc>
          <w:tcPr>
            <w:tcW w:w="1707" w:type="dxa"/>
            <w:vAlign w:val="center"/>
          </w:tcPr>
          <w:p w14:paraId="2E26DA1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0.78±0.01</w:t>
            </w:r>
          </w:p>
        </w:tc>
        <w:tc>
          <w:tcPr>
            <w:tcW w:w="1707" w:type="dxa"/>
            <w:vAlign w:val="center"/>
          </w:tcPr>
          <w:p w14:paraId="2388A8B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0.70±0.02</w:t>
            </w:r>
          </w:p>
        </w:tc>
        <w:tc>
          <w:tcPr>
            <w:tcW w:w="1707" w:type="dxa"/>
            <w:vAlign w:val="center"/>
          </w:tcPr>
          <w:p w14:paraId="4CBDA64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0.70±0.02</w:t>
            </w:r>
          </w:p>
        </w:tc>
        <w:tc>
          <w:tcPr>
            <w:tcW w:w="1707" w:type="dxa"/>
            <w:vAlign w:val="center"/>
          </w:tcPr>
          <w:p w14:paraId="22A119A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0.44±0.01</w:t>
            </w:r>
          </w:p>
        </w:tc>
        <w:tc>
          <w:tcPr>
            <w:tcW w:w="1712" w:type="dxa"/>
            <w:vAlign w:val="center"/>
          </w:tcPr>
          <w:p w14:paraId="196130E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0.92±0.08</w:t>
            </w:r>
          </w:p>
        </w:tc>
      </w:tr>
      <w:tr w14:paraId="7F5A9437">
        <w:tblPrEx>
          <w:tblCellMar>
            <w:top w:w="0" w:type="dxa"/>
            <w:left w:w="108" w:type="dxa"/>
            <w:bottom w:w="0" w:type="dxa"/>
            <w:right w:w="108" w:type="dxa"/>
          </w:tblCellMar>
        </w:tblPrEx>
        <w:trPr>
          <w:cantSplit/>
          <w:trHeight w:val="306" w:hRule="atLeast"/>
        </w:trPr>
        <w:tc>
          <w:tcPr>
            <w:tcW w:w="1192" w:type="dxa"/>
            <w:vMerge w:val="continue"/>
            <w:vAlign w:val="center"/>
          </w:tcPr>
          <w:p w14:paraId="7A3FE8D7">
            <w:pPr>
              <w:widowControl/>
              <w:spacing w:after="0" w:line="240" w:lineRule="exact"/>
              <w:jc w:val="both"/>
              <w:rPr>
                <w:rFonts w:hint="default" w:ascii="Times New Roman" w:hAnsi="Times New Roman" w:eastAsia="宋体" w:cs="Times New Roman"/>
                <w:szCs w:val="22"/>
              </w:rPr>
            </w:pPr>
          </w:p>
        </w:tc>
        <w:tc>
          <w:tcPr>
            <w:tcW w:w="1209" w:type="dxa"/>
            <w:vAlign w:val="center"/>
          </w:tcPr>
          <w:p w14:paraId="00D4831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1707" w:type="dxa"/>
            <w:vAlign w:val="center"/>
          </w:tcPr>
          <w:p w14:paraId="73B5839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0.43±0.01 b</w:t>
            </w:r>
          </w:p>
        </w:tc>
        <w:tc>
          <w:tcPr>
            <w:tcW w:w="1707" w:type="dxa"/>
            <w:vAlign w:val="center"/>
          </w:tcPr>
          <w:p w14:paraId="1585EBD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0.42±0.01 </w:t>
            </w:r>
          </w:p>
        </w:tc>
        <w:tc>
          <w:tcPr>
            <w:tcW w:w="1707" w:type="dxa"/>
            <w:vAlign w:val="center"/>
          </w:tcPr>
          <w:p w14:paraId="4DB6182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0.78±0.08</w:t>
            </w:r>
          </w:p>
        </w:tc>
        <w:tc>
          <w:tcPr>
            <w:tcW w:w="1707" w:type="dxa"/>
            <w:vAlign w:val="center"/>
          </w:tcPr>
          <w:p w14:paraId="5DCAA4E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0.76±0.09</w:t>
            </w:r>
          </w:p>
        </w:tc>
        <w:tc>
          <w:tcPr>
            <w:tcW w:w="1707" w:type="dxa"/>
            <w:vAlign w:val="center"/>
          </w:tcPr>
          <w:p w14:paraId="422620D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0.51±0.20</w:t>
            </w:r>
          </w:p>
        </w:tc>
        <w:tc>
          <w:tcPr>
            <w:tcW w:w="1707" w:type="dxa"/>
            <w:vAlign w:val="center"/>
          </w:tcPr>
          <w:p w14:paraId="4BC6C4E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0.50±0.10</w:t>
            </w:r>
          </w:p>
        </w:tc>
        <w:tc>
          <w:tcPr>
            <w:tcW w:w="1712" w:type="dxa"/>
            <w:vAlign w:val="center"/>
          </w:tcPr>
          <w:p w14:paraId="237CA1D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1.57±0.83</w:t>
            </w:r>
          </w:p>
        </w:tc>
      </w:tr>
      <w:tr w14:paraId="08F75C9C">
        <w:tblPrEx>
          <w:tblCellMar>
            <w:top w:w="0" w:type="dxa"/>
            <w:left w:w="108" w:type="dxa"/>
            <w:bottom w:w="0" w:type="dxa"/>
            <w:right w:w="108" w:type="dxa"/>
          </w:tblCellMar>
        </w:tblPrEx>
        <w:trPr>
          <w:cantSplit/>
          <w:trHeight w:val="306" w:hRule="atLeast"/>
        </w:trPr>
        <w:tc>
          <w:tcPr>
            <w:tcW w:w="1192" w:type="dxa"/>
            <w:vMerge w:val="restart"/>
            <w:vAlign w:val="center"/>
          </w:tcPr>
          <w:p w14:paraId="50F508A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2018</w:t>
            </w:r>
          </w:p>
        </w:tc>
        <w:tc>
          <w:tcPr>
            <w:tcW w:w="1209" w:type="dxa"/>
            <w:vAlign w:val="center"/>
          </w:tcPr>
          <w:p w14:paraId="6358CBB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1707" w:type="dxa"/>
            <w:vAlign w:val="center"/>
          </w:tcPr>
          <w:p w14:paraId="608B693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0.46±0.08 b</w:t>
            </w:r>
          </w:p>
        </w:tc>
        <w:tc>
          <w:tcPr>
            <w:tcW w:w="1707" w:type="dxa"/>
            <w:vAlign w:val="center"/>
          </w:tcPr>
          <w:p w14:paraId="5F5159D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0.51±0.06 </w:t>
            </w:r>
          </w:p>
        </w:tc>
        <w:tc>
          <w:tcPr>
            <w:tcW w:w="1707" w:type="dxa"/>
            <w:vAlign w:val="center"/>
          </w:tcPr>
          <w:p w14:paraId="4EF0AA0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0.82±0.01</w:t>
            </w:r>
          </w:p>
        </w:tc>
        <w:tc>
          <w:tcPr>
            <w:tcW w:w="1707" w:type="dxa"/>
            <w:vAlign w:val="center"/>
          </w:tcPr>
          <w:p w14:paraId="01B6CFD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0.59±0.01</w:t>
            </w:r>
          </w:p>
        </w:tc>
        <w:tc>
          <w:tcPr>
            <w:tcW w:w="1707" w:type="dxa"/>
            <w:vAlign w:val="center"/>
          </w:tcPr>
          <w:p w14:paraId="5D503F0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0.59±0.01</w:t>
            </w:r>
          </w:p>
        </w:tc>
        <w:tc>
          <w:tcPr>
            <w:tcW w:w="1707" w:type="dxa"/>
            <w:vAlign w:val="center"/>
          </w:tcPr>
          <w:p w14:paraId="6A8EB3C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0.51±0.01</w:t>
            </w:r>
          </w:p>
        </w:tc>
        <w:tc>
          <w:tcPr>
            <w:tcW w:w="1712" w:type="dxa"/>
            <w:vAlign w:val="center"/>
          </w:tcPr>
          <w:p w14:paraId="7F94C28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1.52±0.15</w:t>
            </w:r>
          </w:p>
        </w:tc>
      </w:tr>
      <w:tr w14:paraId="2B67206A">
        <w:tblPrEx>
          <w:tblCellMar>
            <w:top w:w="0" w:type="dxa"/>
            <w:left w:w="108" w:type="dxa"/>
            <w:bottom w:w="0" w:type="dxa"/>
            <w:right w:w="108" w:type="dxa"/>
          </w:tblCellMar>
        </w:tblPrEx>
        <w:trPr>
          <w:cantSplit/>
          <w:trHeight w:val="306" w:hRule="atLeast"/>
        </w:trPr>
        <w:tc>
          <w:tcPr>
            <w:tcW w:w="1192" w:type="dxa"/>
            <w:vMerge w:val="continue"/>
            <w:vAlign w:val="center"/>
          </w:tcPr>
          <w:p w14:paraId="14A87C8E">
            <w:pPr>
              <w:widowControl/>
              <w:spacing w:after="0" w:line="240" w:lineRule="exact"/>
              <w:jc w:val="both"/>
              <w:rPr>
                <w:rFonts w:hint="default" w:ascii="Times New Roman" w:hAnsi="Times New Roman" w:eastAsia="宋体" w:cs="Times New Roman"/>
                <w:szCs w:val="22"/>
              </w:rPr>
            </w:pPr>
          </w:p>
        </w:tc>
        <w:tc>
          <w:tcPr>
            <w:tcW w:w="1209" w:type="dxa"/>
            <w:vAlign w:val="center"/>
          </w:tcPr>
          <w:p w14:paraId="1EBF09B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1707" w:type="dxa"/>
            <w:vAlign w:val="center"/>
          </w:tcPr>
          <w:p w14:paraId="21E35DF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0.54±0.10</w:t>
            </w:r>
          </w:p>
        </w:tc>
        <w:tc>
          <w:tcPr>
            <w:tcW w:w="1707" w:type="dxa"/>
            <w:vAlign w:val="center"/>
          </w:tcPr>
          <w:p w14:paraId="2A98629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0.52±0.10 </w:t>
            </w:r>
          </w:p>
        </w:tc>
        <w:tc>
          <w:tcPr>
            <w:tcW w:w="1707" w:type="dxa"/>
            <w:vAlign w:val="center"/>
          </w:tcPr>
          <w:p w14:paraId="330BD60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0.83±0.01</w:t>
            </w:r>
          </w:p>
        </w:tc>
        <w:tc>
          <w:tcPr>
            <w:tcW w:w="1707" w:type="dxa"/>
            <w:vAlign w:val="center"/>
          </w:tcPr>
          <w:p w14:paraId="681DF4A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0.62±0.03</w:t>
            </w:r>
          </w:p>
        </w:tc>
        <w:tc>
          <w:tcPr>
            <w:tcW w:w="1707" w:type="dxa"/>
            <w:vAlign w:val="center"/>
          </w:tcPr>
          <w:p w14:paraId="6040648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0.62±0.03</w:t>
            </w:r>
          </w:p>
        </w:tc>
        <w:tc>
          <w:tcPr>
            <w:tcW w:w="1707" w:type="dxa"/>
            <w:vAlign w:val="center"/>
          </w:tcPr>
          <w:p w14:paraId="215DFE3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0.52±0.02</w:t>
            </w:r>
          </w:p>
        </w:tc>
        <w:tc>
          <w:tcPr>
            <w:tcW w:w="1712" w:type="dxa"/>
            <w:vAlign w:val="center"/>
          </w:tcPr>
          <w:p w14:paraId="2DEE560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1.92±0.30</w:t>
            </w:r>
          </w:p>
        </w:tc>
      </w:tr>
      <w:tr w14:paraId="1C08CFB5">
        <w:tblPrEx>
          <w:tblCellMar>
            <w:top w:w="0" w:type="dxa"/>
            <w:left w:w="108" w:type="dxa"/>
            <w:bottom w:w="0" w:type="dxa"/>
            <w:right w:w="108" w:type="dxa"/>
          </w:tblCellMar>
        </w:tblPrEx>
        <w:trPr>
          <w:cantSplit/>
          <w:trHeight w:val="306" w:hRule="atLeast"/>
        </w:trPr>
        <w:tc>
          <w:tcPr>
            <w:tcW w:w="1192" w:type="dxa"/>
            <w:vMerge w:val="continue"/>
            <w:vAlign w:val="center"/>
          </w:tcPr>
          <w:p w14:paraId="2E533C21">
            <w:pPr>
              <w:widowControl/>
              <w:spacing w:after="0" w:line="240" w:lineRule="exact"/>
              <w:jc w:val="both"/>
              <w:rPr>
                <w:rFonts w:hint="default" w:ascii="Times New Roman" w:hAnsi="Times New Roman" w:eastAsia="宋体" w:cs="Times New Roman"/>
                <w:szCs w:val="22"/>
              </w:rPr>
            </w:pPr>
          </w:p>
        </w:tc>
        <w:tc>
          <w:tcPr>
            <w:tcW w:w="1209" w:type="dxa"/>
            <w:vAlign w:val="center"/>
          </w:tcPr>
          <w:p w14:paraId="4A368B9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1707" w:type="dxa"/>
            <w:vAlign w:val="center"/>
          </w:tcPr>
          <w:p w14:paraId="2996E6C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0.79±0.08 a</w:t>
            </w:r>
          </w:p>
        </w:tc>
        <w:tc>
          <w:tcPr>
            <w:tcW w:w="1707" w:type="dxa"/>
            <w:vAlign w:val="center"/>
          </w:tcPr>
          <w:p w14:paraId="1D1FDA2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 xml:space="preserve">0.49±0.06 </w:t>
            </w:r>
          </w:p>
        </w:tc>
        <w:tc>
          <w:tcPr>
            <w:tcW w:w="1707" w:type="dxa"/>
            <w:vAlign w:val="center"/>
          </w:tcPr>
          <w:p w14:paraId="6A00C1B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0.85±0.01</w:t>
            </w:r>
          </w:p>
        </w:tc>
        <w:tc>
          <w:tcPr>
            <w:tcW w:w="1707" w:type="dxa"/>
            <w:vAlign w:val="center"/>
          </w:tcPr>
          <w:p w14:paraId="3A136DA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0.56±0.02</w:t>
            </w:r>
          </w:p>
        </w:tc>
        <w:tc>
          <w:tcPr>
            <w:tcW w:w="1707" w:type="dxa"/>
            <w:vAlign w:val="center"/>
          </w:tcPr>
          <w:p w14:paraId="16619A8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0.56±0.02</w:t>
            </w:r>
          </w:p>
        </w:tc>
        <w:tc>
          <w:tcPr>
            <w:tcW w:w="1707" w:type="dxa"/>
            <w:vAlign w:val="center"/>
          </w:tcPr>
          <w:p w14:paraId="3971C2C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0.53±0.02</w:t>
            </w:r>
          </w:p>
        </w:tc>
        <w:tc>
          <w:tcPr>
            <w:tcW w:w="1712" w:type="dxa"/>
            <w:vAlign w:val="center"/>
          </w:tcPr>
          <w:p w14:paraId="5C49F35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2.24±0.41</w:t>
            </w:r>
          </w:p>
        </w:tc>
      </w:tr>
      <w:tr w14:paraId="5179DF28">
        <w:tblPrEx>
          <w:tblCellMar>
            <w:top w:w="0" w:type="dxa"/>
            <w:left w:w="108" w:type="dxa"/>
            <w:bottom w:w="0" w:type="dxa"/>
            <w:right w:w="108" w:type="dxa"/>
          </w:tblCellMar>
        </w:tblPrEx>
        <w:trPr>
          <w:cantSplit/>
          <w:trHeight w:val="306" w:hRule="atLeast"/>
        </w:trPr>
        <w:tc>
          <w:tcPr>
            <w:tcW w:w="1192" w:type="dxa"/>
            <w:vMerge w:val="restart"/>
            <w:vAlign w:val="center"/>
          </w:tcPr>
          <w:p w14:paraId="191525B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2019</w:t>
            </w:r>
          </w:p>
        </w:tc>
        <w:tc>
          <w:tcPr>
            <w:tcW w:w="1209" w:type="dxa"/>
            <w:vAlign w:val="center"/>
          </w:tcPr>
          <w:p w14:paraId="5B5420C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1707" w:type="dxa"/>
            <w:vAlign w:val="center"/>
          </w:tcPr>
          <w:p w14:paraId="457ABA4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0.09±0.02</w:t>
            </w:r>
          </w:p>
        </w:tc>
        <w:tc>
          <w:tcPr>
            <w:tcW w:w="1707" w:type="dxa"/>
            <w:vAlign w:val="center"/>
          </w:tcPr>
          <w:p w14:paraId="104907E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0.09±0.02 b</w:t>
            </w:r>
          </w:p>
        </w:tc>
        <w:tc>
          <w:tcPr>
            <w:tcW w:w="1707" w:type="dxa"/>
            <w:vAlign w:val="center"/>
          </w:tcPr>
          <w:p w14:paraId="5CC178D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0.87±0.02</w:t>
            </w:r>
          </w:p>
        </w:tc>
        <w:tc>
          <w:tcPr>
            <w:tcW w:w="1707" w:type="dxa"/>
            <w:vAlign w:val="center"/>
          </w:tcPr>
          <w:p w14:paraId="0545D25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0.54±0.01</w:t>
            </w:r>
          </w:p>
        </w:tc>
        <w:tc>
          <w:tcPr>
            <w:tcW w:w="1707" w:type="dxa"/>
            <w:vAlign w:val="center"/>
          </w:tcPr>
          <w:p w14:paraId="62A2D4E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0.54±0.01</w:t>
            </w:r>
          </w:p>
        </w:tc>
        <w:tc>
          <w:tcPr>
            <w:tcW w:w="1707" w:type="dxa"/>
            <w:vAlign w:val="center"/>
          </w:tcPr>
          <w:p w14:paraId="1BCD98F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0.55±0.02</w:t>
            </w:r>
          </w:p>
        </w:tc>
        <w:tc>
          <w:tcPr>
            <w:tcW w:w="1712" w:type="dxa"/>
            <w:vAlign w:val="center"/>
          </w:tcPr>
          <w:p w14:paraId="39717A9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1.54±0.27</w:t>
            </w:r>
          </w:p>
        </w:tc>
      </w:tr>
      <w:tr w14:paraId="20E2C358">
        <w:tblPrEx>
          <w:tblCellMar>
            <w:top w:w="0" w:type="dxa"/>
            <w:left w:w="108" w:type="dxa"/>
            <w:bottom w:w="0" w:type="dxa"/>
            <w:right w:w="108" w:type="dxa"/>
          </w:tblCellMar>
        </w:tblPrEx>
        <w:trPr>
          <w:cantSplit/>
          <w:trHeight w:val="306" w:hRule="atLeast"/>
        </w:trPr>
        <w:tc>
          <w:tcPr>
            <w:tcW w:w="1192" w:type="dxa"/>
            <w:vMerge w:val="continue"/>
            <w:vAlign w:val="center"/>
          </w:tcPr>
          <w:p w14:paraId="4B72E09D">
            <w:pPr>
              <w:widowControl/>
              <w:spacing w:after="0" w:line="240" w:lineRule="exact"/>
              <w:jc w:val="both"/>
              <w:rPr>
                <w:rFonts w:hint="default" w:ascii="Times New Roman" w:hAnsi="Times New Roman" w:eastAsia="宋体" w:cs="Times New Roman"/>
                <w:szCs w:val="22"/>
              </w:rPr>
            </w:pPr>
          </w:p>
        </w:tc>
        <w:tc>
          <w:tcPr>
            <w:tcW w:w="1209" w:type="dxa"/>
            <w:vAlign w:val="center"/>
          </w:tcPr>
          <w:p w14:paraId="111FD42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1707" w:type="dxa"/>
            <w:vAlign w:val="center"/>
          </w:tcPr>
          <w:p w14:paraId="0D19E1D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0.14±0.02</w:t>
            </w:r>
          </w:p>
        </w:tc>
        <w:tc>
          <w:tcPr>
            <w:tcW w:w="1707" w:type="dxa"/>
            <w:vAlign w:val="center"/>
          </w:tcPr>
          <w:p w14:paraId="34F8AAA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0.10±0.01</w:t>
            </w:r>
          </w:p>
        </w:tc>
        <w:tc>
          <w:tcPr>
            <w:tcW w:w="1707" w:type="dxa"/>
            <w:vAlign w:val="center"/>
          </w:tcPr>
          <w:p w14:paraId="42B7841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0.86±0.02</w:t>
            </w:r>
          </w:p>
        </w:tc>
        <w:tc>
          <w:tcPr>
            <w:tcW w:w="1707" w:type="dxa"/>
            <w:vAlign w:val="center"/>
          </w:tcPr>
          <w:p w14:paraId="15531B6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0.55±0.04</w:t>
            </w:r>
          </w:p>
        </w:tc>
        <w:tc>
          <w:tcPr>
            <w:tcW w:w="1707" w:type="dxa"/>
            <w:vAlign w:val="center"/>
          </w:tcPr>
          <w:p w14:paraId="304F2F5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0.55±0.04</w:t>
            </w:r>
          </w:p>
        </w:tc>
        <w:tc>
          <w:tcPr>
            <w:tcW w:w="1707" w:type="dxa"/>
            <w:vAlign w:val="center"/>
          </w:tcPr>
          <w:p w14:paraId="68D7C5D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0.54±0.03</w:t>
            </w:r>
          </w:p>
        </w:tc>
        <w:tc>
          <w:tcPr>
            <w:tcW w:w="1712" w:type="dxa"/>
            <w:vAlign w:val="center"/>
          </w:tcPr>
          <w:p w14:paraId="38CCB90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1.35±0.41</w:t>
            </w:r>
          </w:p>
        </w:tc>
      </w:tr>
      <w:tr w14:paraId="504A1374">
        <w:tblPrEx>
          <w:tblCellMar>
            <w:top w:w="0" w:type="dxa"/>
            <w:left w:w="108" w:type="dxa"/>
            <w:bottom w:w="0" w:type="dxa"/>
            <w:right w:w="108" w:type="dxa"/>
          </w:tblCellMar>
        </w:tblPrEx>
        <w:trPr>
          <w:cantSplit/>
          <w:trHeight w:val="306" w:hRule="atLeast"/>
        </w:trPr>
        <w:tc>
          <w:tcPr>
            <w:tcW w:w="1192" w:type="dxa"/>
            <w:vMerge w:val="continue"/>
            <w:vAlign w:val="center"/>
          </w:tcPr>
          <w:p w14:paraId="366CC83B">
            <w:pPr>
              <w:widowControl/>
              <w:spacing w:after="0" w:line="240" w:lineRule="exact"/>
              <w:jc w:val="both"/>
              <w:rPr>
                <w:rFonts w:hint="default" w:ascii="Times New Roman" w:hAnsi="Times New Roman" w:eastAsia="宋体" w:cs="Times New Roman"/>
                <w:szCs w:val="22"/>
              </w:rPr>
            </w:pPr>
          </w:p>
        </w:tc>
        <w:tc>
          <w:tcPr>
            <w:tcW w:w="1209" w:type="dxa"/>
            <w:vAlign w:val="center"/>
          </w:tcPr>
          <w:p w14:paraId="064A614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1707" w:type="dxa"/>
            <w:vAlign w:val="center"/>
          </w:tcPr>
          <w:p w14:paraId="6E83364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0.20±0.05</w:t>
            </w:r>
          </w:p>
        </w:tc>
        <w:tc>
          <w:tcPr>
            <w:tcW w:w="1707" w:type="dxa"/>
            <w:vAlign w:val="center"/>
          </w:tcPr>
          <w:p w14:paraId="3AC5952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0.19±0.05 a</w:t>
            </w:r>
          </w:p>
        </w:tc>
        <w:tc>
          <w:tcPr>
            <w:tcW w:w="1707" w:type="dxa"/>
            <w:vAlign w:val="center"/>
          </w:tcPr>
          <w:p w14:paraId="48F72FA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0.86±0.01</w:t>
            </w:r>
          </w:p>
        </w:tc>
        <w:tc>
          <w:tcPr>
            <w:tcW w:w="1707" w:type="dxa"/>
            <w:vAlign w:val="center"/>
          </w:tcPr>
          <w:p w14:paraId="4DEC5F5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0.56±0.01</w:t>
            </w:r>
          </w:p>
        </w:tc>
        <w:tc>
          <w:tcPr>
            <w:tcW w:w="1707" w:type="dxa"/>
            <w:vAlign w:val="center"/>
          </w:tcPr>
          <w:p w14:paraId="0011F9C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0.56±0.01</w:t>
            </w:r>
          </w:p>
        </w:tc>
        <w:tc>
          <w:tcPr>
            <w:tcW w:w="1707" w:type="dxa"/>
            <w:vAlign w:val="center"/>
          </w:tcPr>
          <w:p w14:paraId="4CA8F09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0.54±0.00</w:t>
            </w:r>
          </w:p>
        </w:tc>
        <w:tc>
          <w:tcPr>
            <w:tcW w:w="1712" w:type="dxa"/>
            <w:vAlign w:val="center"/>
          </w:tcPr>
          <w:p w14:paraId="082360E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1.32±0.04</w:t>
            </w:r>
          </w:p>
        </w:tc>
      </w:tr>
      <w:tr w14:paraId="47A76B4B">
        <w:tblPrEx>
          <w:tblCellMar>
            <w:top w:w="0" w:type="dxa"/>
            <w:left w:w="108" w:type="dxa"/>
            <w:bottom w:w="0" w:type="dxa"/>
            <w:right w:w="108" w:type="dxa"/>
          </w:tblCellMar>
        </w:tblPrEx>
        <w:trPr>
          <w:cantSplit/>
          <w:trHeight w:val="306" w:hRule="atLeast"/>
        </w:trPr>
        <w:tc>
          <w:tcPr>
            <w:tcW w:w="1192" w:type="dxa"/>
            <w:vMerge w:val="restart"/>
            <w:vAlign w:val="center"/>
          </w:tcPr>
          <w:p w14:paraId="44D91B3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Mean</w:t>
            </w:r>
          </w:p>
        </w:tc>
        <w:tc>
          <w:tcPr>
            <w:tcW w:w="1209" w:type="dxa"/>
            <w:vAlign w:val="center"/>
          </w:tcPr>
          <w:p w14:paraId="57F4D64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CT</w:t>
            </w:r>
          </w:p>
        </w:tc>
        <w:tc>
          <w:tcPr>
            <w:tcW w:w="1707" w:type="dxa"/>
            <w:vAlign w:val="center"/>
          </w:tcPr>
          <w:p w14:paraId="66CE4E5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0.31±0.02 b</w:t>
            </w:r>
          </w:p>
        </w:tc>
        <w:tc>
          <w:tcPr>
            <w:tcW w:w="1707" w:type="dxa"/>
            <w:vAlign w:val="center"/>
          </w:tcPr>
          <w:p w14:paraId="139F6D6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0.33±0.01</w:t>
            </w:r>
          </w:p>
        </w:tc>
        <w:tc>
          <w:tcPr>
            <w:tcW w:w="1707" w:type="dxa"/>
            <w:vAlign w:val="center"/>
          </w:tcPr>
          <w:p w14:paraId="66355C3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0.84±0.02</w:t>
            </w:r>
          </w:p>
        </w:tc>
        <w:tc>
          <w:tcPr>
            <w:tcW w:w="1707" w:type="dxa"/>
            <w:vAlign w:val="center"/>
          </w:tcPr>
          <w:p w14:paraId="28207D1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1.61±0.04</w:t>
            </w:r>
          </w:p>
        </w:tc>
        <w:tc>
          <w:tcPr>
            <w:tcW w:w="1707" w:type="dxa"/>
            <w:vAlign w:val="center"/>
          </w:tcPr>
          <w:p w14:paraId="016C52B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0.57±0.01</w:t>
            </w:r>
          </w:p>
        </w:tc>
        <w:tc>
          <w:tcPr>
            <w:tcW w:w="1707" w:type="dxa"/>
            <w:vAlign w:val="center"/>
          </w:tcPr>
          <w:p w14:paraId="33AD40F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0.53±0.01</w:t>
            </w:r>
          </w:p>
        </w:tc>
        <w:tc>
          <w:tcPr>
            <w:tcW w:w="1712" w:type="dxa"/>
            <w:vAlign w:val="center"/>
          </w:tcPr>
          <w:p w14:paraId="18A3314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2.10±0.44</w:t>
            </w:r>
          </w:p>
        </w:tc>
      </w:tr>
      <w:tr w14:paraId="45666A30">
        <w:tblPrEx>
          <w:tblCellMar>
            <w:top w:w="0" w:type="dxa"/>
            <w:left w:w="108" w:type="dxa"/>
            <w:bottom w:w="0" w:type="dxa"/>
            <w:right w:w="108" w:type="dxa"/>
          </w:tblCellMar>
        </w:tblPrEx>
        <w:trPr>
          <w:cantSplit/>
          <w:trHeight w:val="306" w:hRule="atLeast"/>
        </w:trPr>
        <w:tc>
          <w:tcPr>
            <w:tcW w:w="1192" w:type="dxa"/>
            <w:vMerge w:val="continue"/>
            <w:vAlign w:val="center"/>
          </w:tcPr>
          <w:p w14:paraId="7CCBF84B">
            <w:pPr>
              <w:widowControl/>
              <w:spacing w:after="0" w:line="240" w:lineRule="exact"/>
              <w:jc w:val="both"/>
              <w:rPr>
                <w:rFonts w:hint="default" w:ascii="Times New Roman" w:hAnsi="Times New Roman" w:eastAsia="宋体" w:cs="Times New Roman"/>
                <w:szCs w:val="22"/>
              </w:rPr>
            </w:pPr>
          </w:p>
        </w:tc>
        <w:tc>
          <w:tcPr>
            <w:tcW w:w="1209" w:type="dxa"/>
            <w:vAlign w:val="center"/>
          </w:tcPr>
          <w:p w14:paraId="380147E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LN</w:t>
            </w:r>
          </w:p>
        </w:tc>
        <w:tc>
          <w:tcPr>
            <w:tcW w:w="1707" w:type="dxa"/>
            <w:vAlign w:val="center"/>
          </w:tcPr>
          <w:p w14:paraId="242FA60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0.40±0.04</w:t>
            </w:r>
          </w:p>
        </w:tc>
        <w:tc>
          <w:tcPr>
            <w:tcW w:w="1707" w:type="dxa"/>
            <w:vAlign w:val="center"/>
          </w:tcPr>
          <w:p w14:paraId="53006CB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0.37±0.04</w:t>
            </w:r>
          </w:p>
        </w:tc>
        <w:tc>
          <w:tcPr>
            <w:tcW w:w="1707" w:type="dxa"/>
            <w:vAlign w:val="center"/>
          </w:tcPr>
          <w:p w14:paraId="5256DDE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0.82±0.01</w:t>
            </w:r>
          </w:p>
        </w:tc>
        <w:tc>
          <w:tcPr>
            <w:tcW w:w="1707" w:type="dxa"/>
            <w:vAlign w:val="center"/>
          </w:tcPr>
          <w:p w14:paraId="698CB13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1.66±0.03</w:t>
            </w:r>
          </w:p>
        </w:tc>
        <w:tc>
          <w:tcPr>
            <w:tcW w:w="1707" w:type="dxa"/>
            <w:vAlign w:val="center"/>
          </w:tcPr>
          <w:p w14:paraId="5576E524">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0.62±0.01</w:t>
            </w:r>
          </w:p>
        </w:tc>
        <w:tc>
          <w:tcPr>
            <w:tcW w:w="1707" w:type="dxa"/>
            <w:vAlign w:val="center"/>
          </w:tcPr>
          <w:p w14:paraId="4D417A5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0.50±0.01</w:t>
            </w:r>
          </w:p>
        </w:tc>
        <w:tc>
          <w:tcPr>
            <w:tcW w:w="1712" w:type="dxa"/>
            <w:vAlign w:val="center"/>
          </w:tcPr>
          <w:p w14:paraId="63FEEA1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1.40±0.18</w:t>
            </w:r>
          </w:p>
        </w:tc>
      </w:tr>
      <w:tr w14:paraId="1790D5A8">
        <w:tblPrEx>
          <w:tblCellMar>
            <w:top w:w="0" w:type="dxa"/>
            <w:left w:w="108" w:type="dxa"/>
            <w:bottom w:w="0" w:type="dxa"/>
            <w:right w:w="108" w:type="dxa"/>
          </w:tblCellMar>
        </w:tblPrEx>
        <w:trPr>
          <w:cantSplit/>
          <w:trHeight w:val="306" w:hRule="atLeast"/>
        </w:trPr>
        <w:tc>
          <w:tcPr>
            <w:tcW w:w="1192" w:type="dxa"/>
            <w:vMerge w:val="continue"/>
            <w:tcBorders>
              <w:bottom w:val="nil"/>
            </w:tcBorders>
            <w:vAlign w:val="center"/>
          </w:tcPr>
          <w:p w14:paraId="05048F61">
            <w:pPr>
              <w:widowControl/>
              <w:spacing w:after="0" w:line="240" w:lineRule="exact"/>
              <w:jc w:val="both"/>
              <w:rPr>
                <w:rFonts w:hint="default" w:ascii="Times New Roman" w:hAnsi="Times New Roman" w:eastAsia="宋体" w:cs="Times New Roman"/>
                <w:szCs w:val="22"/>
              </w:rPr>
            </w:pPr>
          </w:p>
        </w:tc>
        <w:tc>
          <w:tcPr>
            <w:tcW w:w="1209" w:type="dxa"/>
            <w:tcBorders>
              <w:bottom w:val="nil"/>
            </w:tcBorders>
            <w:vAlign w:val="center"/>
          </w:tcPr>
          <w:p w14:paraId="1AFD2AD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HN</w:t>
            </w:r>
          </w:p>
        </w:tc>
        <w:tc>
          <w:tcPr>
            <w:tcW w:w="1707" w:type="dxa"/>
            <w:tcBorders>
              <w:bottom w:val="nil"/>
            </w:tcBorders>
            <w:vAlign w:val="center"/>
          </w:tcPr>
          <w:p w14:paraId="7D61798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0.47±0.04 a</w:t>
            </w:r>
          </w:p>
        </w:tc>
        <w:tc>
          <w:tcPr>
            <w:tcW w:w="1707" w:type="dxa"/>
            <w:tcBorders>
              <w:bottom w:val="nil"/>
            </w:tcBorders>
            <w:vAlign w:val="center"/>
          </w:tcPr>
          <w:p w14:paraId="1F813BA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0.37±0.03</w:t>
            </w:r>
          </w:p>
        </w:tc>
        <w:tc>
          <w:tcPr>
            <w:tcW w:w="1707" w:type="dxa"/>
            <w:tcBorders>
              <w:bottom w:val="nil"/>
            </w:tcBorders>
            <w:vAlign w:val="center"/>
          </w:tcPr>
          <w:p w14:paraId="3BDAC4F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0.83±0.03</w:t>
            </w:r>
          </w:p>
        </w:tc>
        <w:tc>
          <w:tcPr>
            <w:tcW w:w="1707" w:type="dxa"/>
            <w:tcBorders>
              <w:bottom w:val="nil"/>
            </w:tcBorders>
            <w:vAlign w:val="center"/>
          </w:tcPr>
          <w:p w14:paraId="52C4351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1.62±0.08</w:t>
            </w:r>
          </w:p>
        </w:tc>
        <w:tc>
          <w:tcPr>
            <w:tcW w:w="1707" w:type="dxa"/>
            <w:tcBorders>
              <w:bottom w:val="nil"/>
            </w:tcBorders>
            <w:vAlign w:val="center"/>
          </w:tcPr>
          <w:p w14:paraId="4C36888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0.54±0.07</w:t>
            </w:r>
          </w:p>
        </w:tc>
        <w:tc>
          <w:tcPr>
            <w:tcW w:w="1707" w:type="dxa"/>
            <w:tcBorders>
              <w:bottom w:val="nil"/>
            </w:tcBorders>
            <w:vAlign w:val="center"/>
          </w:tcPr>
          <w:p w14:paraId="631F971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0.52±0.04</w:t>
            </w:r>
          </w:p>
        </w:tc>
        <w:tc>
          <w:tcPr>
            <w:tcW w:w="1712" w:type="dxa"/>
            <w:tcBorders>
              <w:bottom w:val="nil"/>
            </w:tcBorders>
            <w:vAlign w:val="center"/>
          </w:tcPr>
          <w:p w14:paraId="4DF3A86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1.71±0.25</w:t>
            </w:r>
          </w:p>
        </w:tc>
      </w:tr>
      <w:tr w14:paraId="7FA65F0F">
        <w:tblPrEx>
          <w:tblCellMar>
            <w:top w:w="0" w:type="dxa"/>
            <w:left w:w="108" w:type="dxa"/>
            <w:bottom w:w="0" w:type="dxa"/>
            <w:right w:w="108" w:type="dxa"/>
          </w:tblCellMar>
        </w:tblPrEx>
        <w:trPr>
          <w:cantSplit/>
          <w:trHeight w:val="306" w:hRule="atLeast"/>
        </w:trPr>
        <w:tc>
          <w:tcPr>
            <w:tcW w:w="1192" w:type="dxa"/>
            <w:vMerge w:val="restart"/>
            <w:tcBorders>
              <w:top w:val="nil"/>
              <w:left w:val="nil"/>
              <w:bottom w:val="nil"/>
              <w:right w:val="nil"/>
            </w:tcBorders>
            <w:vAlign w:val="center"/>
          </w:tcPr>
          <w:p w14:paraId="2A615E22">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Repeated measures ANOVA</w:t>
            </w:r>
          </w:p>
        </w:tc>
        <w:tc>
          <w:tcPr>
            <w:tcW w:w="1209" w:type="dxa"/>
            <w:tcBorders>
              <w:top w:val="nil"/>
              <w:left w:val="nil"/>
              <w:bottom w:val="nil"/>
              <w:right w:val="nil"/>
            </w:tcBorders>
            <w:vAlign w:val="center"/>
          </w:tcPr>
          <w:p w14:paraId="7464F87E">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w:t>
            </w:r>
          </w:p>
        </w:tc>
        <w:tc>
          <w:tcPr>
            <w:tcW w:w="1707" w:type="dxa"/>
            <w:tcBorders>
              <w:top w:val="nil"/>
              <w:left w:val="nil"/>
              <w:bottom w:val="nil"/>
              <w:right w:val="nil"/>
            </w:tcBorders>
            <w:vAlign w:val="center"/>
          </w:tcPr>
          <w:p w14:paraId="609DF82D">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1707" w:type="dxa"/>
            <w:tcBorders>
              <w:top w:val="nil"/>
              <w:left w:val="nil"/>
              <w:bottom w:val="nil"/>
              <w:right w:val="nil"/>
            </w:tcBorders>
            <w:vAlign w:val="center"/>
          </w:tcPr>
          <w:p w14:paraId="2746C0A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605A56A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04BB5283">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2159192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72268B10">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12" w:type="dxa"/>
            <w:tcBorders>
              <w:top w:val="nil"/>
              <w:left w:val="nil"/>
              <w:bottom w:val="nil"/>
              <w:right w:val="nil"/>
            </w:tcBorders>
            <w:vAlign w:val="center"/>
          </w:tcPr>
          <w:p w14:paraId="4BB1D0D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r>
      <w:tr w14:paraId="44F6C431">
        <w:tblPrEx>
          <w:tblCellMar>
            <w:top w:w="0" w:type="dxa"/>
            <w:left w:w="108" w:type="dxa"/>
            <w:bottom w:w="0" w:type="dxa"/>
            <w:right w:w="108" w:type="dxa"/>
          </w:tblCellMar>
        </w:tblPrEx>
        <w:trPr>
          <w:cantSplit/>
          <w:trHeight w:val="306" w:hRule="atLeast"/>
        </w:trPr>
        <w:tc>
          <w:tcPr>
            <w:tcW w:w="1192" w:type="dxa"/>
            <w:vMerge w:val="continue"/>
            <w:tcBorders>
              <w:top w:val="nil"/>
              <w:left w:val="nil"/>
              <w:bottom w:val="nil"/>
              <w:right w:val="nil"/>
            </w:tcBorders>
            <w:vAlign w:val="center"/>
          </w:tcPr>
          <w:p w14:paraId="2C99CC2B">
            <w:pPr>
              <w:widowControl/>
              <w:spacing w:after="0" w:line="240" w:lineRule="exact"/>
              <w:jc w:val="both"/>
              <w:rPr>
                <w:rFonts w:hint="default" w:ascii="Times New Roman" w:hAnsi="Times New Roman" w:eastAsia="宋体" w:cs="Times New Roman"/>
                <w:szCs w:val="22"/>
              </w:rPr>
            </w:pPr>
          </w:p>
        </w:tc>
        <w:tc>
          <w:tcPr>
            <w:tcW w:w="1209" w:type="dxa"/>
            <w:tcBorders>
              <w:top w:val="nil"/>
              <w:left w:val="nil"/>
              <w:bottom w:val="nil"/>
              <w:right w:val="nil"/>
            </w:tcBorders>
            <w:vAlign w:val="center"/>
          </w:tcPr>
          <w:p w14:paraId="233A621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T</w:t>
            </w:r>
          </w:p>
        </w:tc>
        <w:tc>
          <w:tcPr>
            <w:tcW w:w="1707" w:type="dxa"/>
            <w:tcBorders>
              <w:top w:val="nil"/>
              <w:left w:val="nil"/>
              <w:bottom w:val="nil"/>
              <w:right w:val="nil"/>
            </w:tcBorders>
            <w:vAlign w:val="center"/>
          </w:tcPr>
          <w:p w14:paraId="11D0F4D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1707" w:type="dxa"/>
            <w:tcBorders>
              <w:top w:val="nil"/>
              <w:left w:val="nil"/>
              <w:bottom w:val="nil"/>
              <w:right w:val="nil"/>
            </w:tcBorders>
            <w:vAlign w:val="center"/>
          </w:tcPr>
          <w:p w14:paraId="184E1E6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w:t>
            </w:r>
          </w:p>
        </w:tc>
        <w:tc>
          <w:tcPr>
            <w:tcW w:w="1707" w:type="dxa"/>
            <w:tcBorders>
              <w:top w:val="nil"/>
              <w:left w:val="nil"/>
              <w:bottom w:val="nil"/>
              <w:right w:val="nil"/>
            </w:tcBorders>
            <w:vAlign w:val="center"/>
          </w:tcPr>
          <w:p w14:paraId="07F0E24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3F26AD77">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49D993F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nil"/>
              <w:right w:val="nil"/>
            </w:tcBorders>
            <w:vAlign w:val="center"/>
          </w:tcPr>
          <w:p w14:paraId="3B0EF7A6">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12" w:type="dxa"/>
            <w:tcBorders>
              <w:top w:val="nil"/>
              <w:left w:val="nil"/>
              <w:bottom w:val="nil"/>
              <w:right w:val="nil"/>
            </w:tcBorders>
            <w:vAlign w:val="center"/>
          </w:tcPr>
          <w:p w14:paraId="483F719F">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r>
      <w:tr w14:paraId="3D6510DC">
        <w:tblPrEx>
          <w:tblCellMar>
            <w:top w:w="0" w:type="dxa"/>
            <w:left w:w="108" w:type="dxa"/>
            <w:bottom w:w="0" w:type="dxa"/>
            <w:right w:w="108" w:type="dxa"/>
          </w:tblCellMar>
        </w:tblPrEx>
        <w:trPr>
          <w:cantSplit/>
          <w:trHeight w:val="306" w:hRule="atLeast"/>
        </w:trPr>
        <w:tc>
          <w:tcPr>
            <w:tcW w:w="1192" w:type="dxa"/>
            <w:vMerge w:val="continue"/>
            <w:tcBorders>
              <w:top w:val="nil"/>
              <w:left w:val="nil"/>
              <w:bottom w:val="single" w:color="auto" w:sz="8" w:space="0"/>
              <w:right w:val="nil"/>
            </w:tcBorders>
            <w:vAlign w:val="center"/>
          </w:tcPr>
          <w:p w14:paraId="49D16710">
            <w:pPr>
              <w:widowControl/>
              <w:spacing w:after="0" w:line="240" w:lineRule="exact"/>
              <w:jc w:val="both"/>
              <w:rPr>
                <w:rFonts w:hint="default" w:ascii="Times New Roman" w:hAnsi="Times New Roman" w:eastAsia="宋体" w:cs="Times New Roman"/>
                <w:szCs w:val="22"/>
              </w:rPr>
            </w:pPr>
          </w:p>
        </w:tc>
        <w:tc>
          <w:tcPr>
            <w:tcW w:w="1209" w:type="dxa"/>
            <w:tcBorders>
              <w:top w:val="nil"/>
              <w:left w:val="nil"/>
              <w:bottom w:val="single" w:color="auto" w:sz="8" w:space="0"/>
              <w:right w:val="nil"/>
            </w:tcBorders>
            <w:vAlign w:val="center"/>
          </w:tcPr>
          <w:p w14:paraId="016BB3CC">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 × T</w:t>
            </w:r>
          </w:p>
        </w:tc>
        <w:tc>
          <w:tcPr>
            <w:tcW w:w="1707" w:type="dxa"/>
            <w:tcBorders>
              <w:top w:val="nil"/>
              <w:left w:val="nil"/>
              <w:bottom w:val="single" w:color="auto" w:sz="8" w:space="0"/>
              <w:right w:val="nil"/>
            </w:tcBorders>
            <w:vAlign w:val="center"/>
          </w:tcPr>
          <w:p w14:paraId="1BDD4A91">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single" w:color="auto" w:sz="8" w:space="0"/>
              <w:right w:val="nil"/>
            </w:tcBorders>
            <w:vAlign w:val="center"/>
          </w:tcPr>
          <w:p w14:paraId="13824BA9">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single" w:color="auto" w:sz="8" w:space="0"/>
              <w:right w:val="nil"/>
            </w:tcBorders>
            <w:vAlign w:val="center"/>
          </w:tcPr>
          <w:p w14:paraId="089D4D1B">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single" w:color="auto" w:sz="8" w:space="0"/>
              <w:right w:val="nil"/>
            </w:tcBorders>
            <w:vAlign w:val="center"/>
          </w:tcPr>
          <w:p w14:paraId="15A3B13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single" w:color="auto" w:sz="8" w:space="0"/>
              <w:right w:val="nil"/>
            </w:tcBorders>
            <w:vAlign w:val="center"/>
          </w:tcPr>
          <w:p w14:paraId="43D1F66A">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07" w:type="dxa"/>
            <w:tcBorders>
              <w:top w:val="nil"/>
              <w:left w:val="nil"/>
              <w:bottom w:val="single" w:color="auto" w:sz="8" w:space="0"/>
              <w:right w:val="nil"/>
            </w:tcBorders>
            <w:vAlign w:val="center"/>
          </w:tcPr>
          <w:p w14:paraId="68E70C85">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c>
          <w:tcPr>
            <w:tcW w:w="1712" w:type="dxa"/>
            <w:tcBorders>
              <w:top w:val="nil"/>
              <w:left w:val="nil"/>
              <w:bottom w:val="single" w:color="auto" w:sz="8" w:space="0"/>
              <w:right w:val="nil"/>
            </w:tcBorders>
            <w:vAlign w:val="center"/>
          </w:tcPr>
          <w:p w14:paraId="02D841E8">
            <w:pPr>
              <w:widowControl/>
              <w:spacing w:after="0" w:line="240" w:lineRule="exact"/>
              <w:jc w:val="both"/>
              <w:rPr>
                <w:rFonts w:hint="default" w:ascii="Times New Roman" w:hAnsi="Times New Roman" w:eastAsia="宋体" w:cs="Times New Roman"/>
                <w:szCs w:val="22"/>
              </w:rPr>
            </w:pPr>
            <w:r>
              <w:rPr>
                <w:rFonts w:hint="default" w:ascii="Times New Roman" w:hAnsi="Times New Roman" w:eastAsia="宋体" w:cs="Times New Roman"/>
                <w:szCs w:val="22"/>
              </w:rPr>
              <w:t>ns</w:t>
            </w:r>
          </w:p>
        </w:tc>
      </w:tr>
    </w:tbl>
    <w:p w14:paraId="6944AEE0">
      <w:pPr>
        <w:widowControl/>
        <w:spacing w:after="0" w:line="360" w:lineRule="auto"/>
        <w:jc w:val="both"/>
        <w:rPr>
          <w:rFonts w:hint="default" w:ascii="Times New Roman" w:hAnsi="Times New Roman" w:cs="Times New Roman"/>
          <w:bCs/>
          <w:sz w:val="24"/>
          <w14:ligatures w14:val="none"/>
        </w:rPr>
      </w:pPr>
      <w:r>
        <w:rPr>
          <w:rFonts w:hint="default" w:ascii="Times New Roman" w:hAnsi="Times New Roman" w:eastAsia="宋体" w:cs="Times New Roman"/>
          <w:sz w:val="24"/>
        </w:rPr>
        <w:t>SUV</w:t>
      </w:r>
      <w:r>
        <w:rPr>
          <w:rFonts w:hint="default" w:ascii="Times New Roman" w:hAnsi="Times New Roman" w:eastAsia="宋体" w:cs="Times New Roman"/>
          <w:sz w:val="24"/>
          <w:vertAlign w:val="subscript"/>
        </w:rPr>
        <w:t>254</w:t>
      </w:r>
      <w:r>
        <w:rPr>
          <w:rFonts w:hint="default" w:ascii="Times New Roman" w:hAnsi="Times New Roman" w:eastAsia="宋体" w:cs="Times New Roman"/>
          <w:sz w:val="24"/>
        </w:rPr>
        <w:t>, DOM aromaticity index; SUV</w:t>
      </w:r>
      <w:r>
        <w:rPr>
          <w:rFonts w:hint="default" w:ascii="Times New Roman" w:hAnsi="Times New Roman" w:eastAsia="宋体" w:cs="Times New Roman"/>
          <w:sz w:val="24"/>
          <w:vertAlign w:val="subscript"/>
        </w:rPr>
        <w:t>260</w:t>
      </w:r>
      <w:r>
        <w:rPr>
          <w:rFonts w:hint="default" w:ascii="Times New Roman" w:hAnsi="Times New Roman" w:eastAsia="宋体" w:cs="Times New Roman"/>
          <w:sz w:val="24"/>
        </w:rPr>
        <w:t>, DOM hydrophobicity index; HIX, DOM humification index; FI, DOM fluorescence index; BIX, DOM biological index;</w:t>
      </w:r>
      <w:r>
        <w:rPr>
          <w:rFonts w:hint="default" w:ascii="Times New Roman" w:hAnsi="Times New Roman" w:eastAsia="宋体" w:cs="Times New Roman"/>
          <w:kern w:val="24"/>
          <w:sz w:val="24"/>
        </w:rPr>
        <w:t xml:space="preserve"> C1, humic-like substances; C3, aromatic protein-like substances</w:t>
      </w:r>
      <w:bookmarkStart w:id="7" w:name="_Hlk200297625"/>
      <w:r>
        <w:rPr>
          <w:rFonts w:hint="default" w:ascii="Times New Roman" w:hAnsi="Times New Roman" w:eastAsia="宋体" w:cs="Times New Roman"/>
          <w:kern w:val="24"/>
          <w:sz w:val="24"/>
        </w:rPr>
        <w:t>;</w:t>
      </w:r>
      <w:bookmarkEnd w:id="7"/>
      <w:r>
        <w:rPr>
          <w:rFonts w:hint="default" w:ascii="Times New Roman" w:hAnsi="Times New Roman" w:cs="Times New Roman"/>
          <w:bCs/>
          <w:sz w:val="24"/>
          <w14:ligatures w14:val="none"/>
        </w:rPr>
        <w:t xml:space="preserve"> CT, control treatment; LN, low-N addition; HN, high-N addition.</w:t>
      </w:r>
      <w:r>
        <w:rPr>
          <w:rFonts w:hint="default" w:ascii="Times New Roman" w:hAnsi="Times New Roman" w:eastAsia="宋体" w:cs="Times New Roman"/>
          <w:kern w:val="24"/>
          <w:sz w:val="24"/>
        </w:rPr>
        <w:t xml:space="preserve"> Data are presented as the mean ± standard error (</w:t>
      </w:r>
      <w:r>
        <w:rPr>
          <w:rFonts w:hint="default" w:ascii="Times New Roman" w:hAnsi="Times New Roman" w:eastAsia="宋体" w:cs="Times New Roman"/>
          <w:i/>
          <w:iCs/>
          <w:kern w:val="24"/>
          <w:sz w:val="24"/>
        </w:rPr>
        <w:t>n</w:t>
      </w:r>
      <w:r>
        <w:rPr>
          <w:rFonts w:hint="default" w:ascii="Times New Roman" w:hAnsi="Times New Roman" w:eastAsia="宋体" w:cs="Times New Roman"/>
          <w:kern w:val="24"/>
          <w:sz w:val="24"/>
        </w:rPr>
        <w:t xml:space="preserve"> = 3).</w:t>
      </w:r>
      <w:r>
        <w:rPr>
          <w:rFonts w:hint="default" w:ascii="Times New Roman" w:hAnsi="Times New Roman" w:cs="Times New Roman"/>
          <w:bCs/>
          <w:sz w:val="24"/>
          <w14:ligatures w14:val="none"/>
        </w:rPr>
        <w:t xml:space="preserve"> Mean represents the average of data from three years of N addition. </w:t>
      </w:r>
      <w:r>
        <w:rPr>
          <w:rFonts w:hint="default" w:ascii="Times New Roman" w:hAnsi="Times New Roman" w:eastAsia="宋体" w:cs="Times New Roman"/>
          <w:kern w:val="24"/>
          <w:sz w:val="24"/>
        </w:rPr>
        <w:t>Different lowercase letters indicate significant differences among N treatments at each sampling time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Repeated-measures ANOVA was used to test the effects of N treatment (N), time (T), and their interaction (N × T). Significance levels: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ns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&gt; 0.05.</w:t>
      </w:r>
    </w:p>
    <w:p w14:paraId="0AF5A7E3">
      <w:pPr>
        <w:widowControl/>
        <w:spacing w:after="0" w:line="360" w:lineRule="auto"/>
        <w:jc w:val="both"/>
        <w:rPr>
          <w:rFonts w:hint="default" w:ascii="Times New Roman" w:hAnsi="Times New Roman" w:cs="Times New Roman"/>
          <w:b/>
          <w:sz w:val="24"/>
          <w14:ligatures w14:val="none"/>
        </w:rPr>
        <w:sectPr>
          <w:pgSz w:w="16838" w:h="11906" w:orient="landscape"/>
          <w:pgMar w:top="1440" w:right="1080" w:bottom="1440" w:left="1080" w:header="851" w:footer="992" w:gutter="0"/>
          <w:lnNumType w:countBy="1" w:restart="continuous"/>
          <w:cols w:space="0" w:num="1"/>
          <w:docGrid w:type="lines" w:linePitch="340" w:charSpace="0"/>
        </w:sectPr>
      </w:pPr>
    </w:p>
    <w:p w14:paraId="0D366125">
      <w:pPr>
        <w:spacing w:after="0" w:line="480" w:lineRule="auto"/>
        <w:jc w:val="both"/>
        <w:rPr>
          <w:rFonts w:hint="default" w:ascii="Times New Roman" w:hAnsi="Times New Roman" w:cs="Times New Roman"/>
          <w:sz w:val="24"/>
          <w:szCs w:val="28"/>
        </w:rPr>
      </w:pPr>
      <w:r>
        <w:rPr>
          <w:rFonts w:hint="default" w:ascii="Times New Roman" w:hAnsi="Times New Roman" w:cs="Times New Roman"/>
          <w:b/>
          <w:bCs/>
          <w:sz w:val="24"/>
          <w:szCs w:val="28"/>
        </w:rPr>
        <w:t xml:space="preserve">Table S3 </w:t>
      </w:r>
      <w:r>
        <w:rPr>
          <w:rFonts w:hint="default" w:ascii="Times New Roman" w:hAnsi="Times New Roman" w:cs="Times New Roman"/>
          <w:sz w:val="24"/>
          <w:szCs w:val="28"/>
        </w:rPr>
        <w:t>Definitions of microbial life-history strategies used in this study.</w:t>
      </w:r>
    </w:p>
    <w:tbl>
      <w:tblPr>
        <w:tblStyle w:val="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3"/>
        <w:gridCol w:w="2287"/>
        <w:gridCol w:w="1425"/>
        <w:gridCol w:w="3764"/>
      </w:tblGrid>
      <w:tr w14:paraId="1B18B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30" w:type="dxa"/>
            <w:gridSpan w:val="2"/>
            <w:tcBorders>
              <w:top w:val="single" w:color="auto" w:sz="8" w:space="0"/>
              <w:bottom w:val="single" w:color="auto" w:sz="4" w:space="0"/>
            </w:tcBorders>
            <w:vAlign w:val="center"/>
          </w:tcPr>
          <w:p w14:paraId="7A398C53">
            <w:pPr>
              <w:spacing w:after="0" w:line="276" w:lineRule="auto"/>
              <w:jc w:val="both"/>
              <w:rPr>
                <w:rFonts w:hint="default" w:ascii="Times New Roman" w:hAnsi="Times New Roman" w:eastAsia="宋体" w:cs="Times New Roman"/>
                <w:kern w:val="0"/>
                <w:szCs w:val="22"/>
                <w14:ligatures w14:val="none"/>
              </w:rPr>
            </w:pPr>
            <w:bookmarkStart w:id="8" w:name="_Hlk108184935"/>
            <w:bookmarkEnd w:id="8"/>
            <w:r>
              <w:rPr>
                <w:rFonts w:hint="default" w:ascii="Times New Roman" w:hAnsi="Times New Roman" w:cs="Times New Roman"/>
                <w:kern w:val="0"/>
                <w:szCs w:val="22"/>
                <w14:ligatures w14:val="none"/>
              </w:rPr>
              <w:t>Microbial taxa</w:t>
            </w:r>
            <w:r>
              <w:rPr>
                <w:rFonts w:hint="default" w:ascii="Times New Roman" w:hAnsi="Times New Roman" w:eastAsia="宋体" w:cs="Times New Roman"/>
                <w:kern w:val="0"/>
                <w:szCs w:val="22"/>
                <w14:ligatures w14:val="none"/>
              </w:rPr>
              <w:t xml:space="preserve"> (Phylum)</w:t>
            </w:r>
          </w:p>
        </w:tc>
        <w:tc>
          <w:tcPr>
            <w:tcW w:w="1425" w:type="dxa"/>
            <w:tcBorders>
              <w:top w:val="single" w:color="auto" w:sz="8" w:space="0"/>
              <w:bottom w:val="single" w:color="auto" w:sz="4" w:space="0"/>
            </w:tcBorders>
            <w:noWrap/>
            <w:vAlign w:val="center"/>
          </w:tcPr>
          <w:p w14:paraId="0CC93BB9">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cs="Times New Roman"/>
                <w:kern w:val="0"/>
                <w:szCs w:val="22"/>
                <w14:ligatures w14:val="none"/>
              </w:rPr>
              <w:t>L</w:t>
            </w:r>
            <w:r>
              <w:rPr>
                <w:rFonts w:hint="default" w:ascii="Times New Roman" w:hAnsi="Times New Roman" w:cs="Times New Roman"/>
                <w:bCs/>
                <w:kern w:val="0"/>
                <w:szCs w:val="22"/>
                <w14:ligatures w14:val="none"/>
              </w:rPr>
              <w:t>ife-history strategies</w:t>
            </w:r>
          </w:p>
        </w:tc>
        <w:tc>
          <w:tcPr>
            <w:tcW w:w="3764" w:type="dxa"/>
            <w:tcBorders>
              <w:top w:val="single" w:color="auto" w:sz="8" w:space="0"/>
              <w:bottom w:val="single" w:color="auto" w:sz="4" w:space="0"/>
            </w:tcBorders>
            <w:noWrap/>
            <w:vAlign w:val="center"/>
          </w:tcPr>
          <w:p w14:paraId="1F04ED85">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kern w:val="0"/>
                <w:szCs w:val="22"/>
                <w14:ligatures w14:val="none"/>
              </w:rPr>
              <w:t>References</w:t>
            </w:r>
          </w:p>
        </w:tc>
      </w:tr>
      <w:tr w14:paraId="29005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5" w:hRule="atLeast"/>
          <w:jc w:val="center"/>
        </w:trPr>
        <w:tc>
          <w:tcPr>
            <w:tcW w:w="1043" w:type="dxa"/>
            <w:vMerge w:val="restart"/>
            <w:tcBorders>
              <w:top w:val="single" w:color="auto" w:sz="4" w:space="0"/>
            </w:tcBorders>
            <w:vAlign w:val="center"/>
          </w:tcPr>
          <w:p w14:paraId="1EDCAE42">
            <w:pPr>
              <w:spacing w:after="0" w:line="276" w:lineRule="auto"/>
              <w:jc w:val="both"/>
              <w:rPr>
                <w:rFonts w:hint="default" w:ascii="Times New Roman" w:hAnsi="Times New Roman" w:eastAsia="宋体" w:cs="Times New Roman"/>
                <w:kern w:val="0"/>
                <w:szCs w:val="22"/>
                <w14:ligatures w14:val="none"/>
              </w:rPr>
            </w:pPr>
            <w:bookmarkStart w:id="9" w:name="OLE_LINK14"/>
            <w:r>
              <w:rPr>
                <w:rFonts w:hint="default" w:ascii="Times New Roman" w:hAnsi="Times New Roman" w:eastAsia="宋体" w:cs="Times New Roman"/>
                <w:kern w:val="0"/>
                <w:szCs w:val="22"/>
                <w14:ligatures w14:val="none"/>
              </w:rPr>
              <w:t>Bacteria</w:t>
            </w:r>
          </w:p>
        </w:tc>
        <w:tc>
          <w:tcPr>
            <w:tcW w:w="2287" w:type="dxa"/>
            <w:tcBorders>
              <w:top w:val="single" w:color="auto" w:sz="4" w:space="0"/>
            </w:tcBorders>
            <w:noWrap/>
            <w:vAlign w:val="center"/>
          </w:tcPr>
          <w:p w14:paraId="1315CE48">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Proteobacteria</w:t>
            </w:r>
          </w:p>
        </w:tc>
        <w:tc>
          <w:tcPr>
            <w:tcW w:w="1425" w:type="dxa"/>
            <w:tcBorders>
              <w:top w:val="single" w:color="auto" w:sz="4" w:space="0"/>
            </w:tcBorders>
            <w:noWrap/>
            <w:vAlign w:val="center"/>
          </w:tcPr>
          <w:p w14:paraId="46974B64">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tcBorders>
              <w:top w:val="single" w:color="auto" w:sz="4" w:space="0"/>
            </w:tcBorders>
            <w:noWrap/>
            <w:vAlign w:val="center"/>
          </w:tcPr>
          <w:p w14:paraId="35340DC0">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bookmarkEnd w:id="9"/>
      <w:tr w14:paraId="596CB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jc w:val="center"/>
        </w:trPr>
        <w:tc>
          <w:tcPr>
            <w:tcW w:w="1043" w:type="dxa"/>
            <w:vMerge w:val="continue"/>
            <w:vAlign w:val="center"/>
          </w:tcPr>
          <w:p w14:paraId="0C33F777">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40A9395E">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Firmicutes</w:t>
            </w:r>
          </w:p>
        </w:tc>
        <w:tc>
          <w:tcPr>
            <w:tcW w:w="1425" w:type="dxa"/>
            <w:noWrap/>
            <w:vAlign w:val="center"/>
          </w:tcPr>
          <w:p w14:paraId="370A9A46">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2CCD4214">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Li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2021;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Zhang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w:t>
            </w:r>
          </w:p>
        </w:tc>
      </w:tr>
      <w:tr w14:paraId="3C7B1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8" w:hRule="atLeast"/>
          <w:jc w:val="center"/>
        </w:trPr>
        <w:tc>
          <w:tcPr>
            <w:tcW w:w="1043" w:type="dxa"/>
            <w:vMerge w:val="continue"/>
            <w:vAlign w:val="center"/>
          </w:tcPr>
          <w:p w14:paraId="3B2E4F8C">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7AAE7E7B">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Actinobacteria</w:t>
            </w:r>
          </w:p>
        </w:tc>
        <w:tc>
          <w:tcPr>
            <w:tcW w:w="1425" w:type="dxa"/>
            <w:noWrap/>
            <w:vAlign w:val="center"/>
          </w:tcPr>
          <w:p w14:paraId="13371F9C">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44C45EF1">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78FA7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jc w:val="center"/>
        </w:trPr>
        <w:tc>
          <w:tcPr>
            <w:tcW w:w="1043" w:type="dxa"/>
            <w:vMerge w:val="continue"/>
            <w:vAlign w:val="center"/>
          </w:tcPr>
          <w:p w14:paraId="58490C56">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056B346F">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Bacteroidetes</w:t>
            </w:r>
          </w:p>
        </w:tc>
        <w:tc>
          <w:tcPr>
            <w:tcW w:w="1425" w:type="dxa"/>
            <w:noWrap/>
            <w:vAlign w:val="center"/>
          </w:tcPr>
          <w:p w14:paraId="7CC73D18">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027FB975">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Li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2021; 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3BECE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jc w:val="center"/>
        </w:trPr>
        <w:tc>
          <w:tcPr>
            <w:tcW w:w="1043" w:type="dxa"/>
            <w:vMerge w:val="continue"/>
            <w:vAlign w:val="center"/>
          </w:tcPr>
          <w:p w14:paraId="3C540D45">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7F8DE927">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Gemmatimonadetes</w:t>
            </w:r>
          </w:p>
        </w:tc>
        <w:tc>
          <w:tcPr>
            <w:tcW w:w="1425" w:type="dxa"/>
            <w:noWrap/>
            <w:vAlign w:val="center"/>
          </w:tcPr>
          <w:p w14:paraId="02367C40">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7F49591F">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5330C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043" w:type="dxa"/>
            <w:vMerge w:val="continue"/>
            <w:vAlign w:val="center"/>
          </w:tcPr>
          <w:p w14:paraId="0B044A7F">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3EAA9BE4">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Planctomycetes</w:t>
            </w:r>
          </w:p>
        </w:tc>
        <w:tc>
          <w:tcPr>
            <w:tcW w:w="1425" w:type="dxa"/>
            <w:noWrap/>
            <w:vAlign w:val="center"/>
          </w:tcPr>
          <w:p w14:paraId="322B44AF">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K</w:t>
            </w:r>
            <w:r>
              <w:rPr>
                <w:rFonts w:hint="default" w:ascii="Times New Roman" w:hAnsi="Times New Roman" w:eastAsia="宋体" w:cs="Times New Roman"/>
                <w:kern w:val="0"/>
                <w:szCs w:val="22"/>
                <w14:ligatures w14:val="none"/>
              </w:rPr>
              <w:t>-strategies</w:t>
            </w:r>
          </w:p>
        </w:tc>
        <w:tc>
          <w:tcPr>
            <w:tcW w:w="3764" w:type="dxa"/>
            <w:noWrap/>
            <w:vAlign w:val="center"/>
          </w:tcPr>
          <w:p w14:paraId="40F6B2A9">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Li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2021;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w:t>
            </w:r>
          </w:p>
        </w:tc>
      </w:tr>
      <w:tr w14:paraId="6A90B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jc w:val="center"/>
        </w:trPr>
        <w:tc>
          <w:tcPr>
            <w:tcW w:w="1043" w:type="dxa"/>
            <w:vMerge w:val="continue"/>
            <w:tcBorders>
              <w:bottom w:val="nil"/>
            </w:tcBorders>
            <w:vAlign w:val="center"/>
          </w:tcPr>
          <w:p w14:paraId="10B5CD64">
            <w:pPr>
              <w:spacing w:after="0" w:line="276" w:lineRule="auto"/>
              <w:jc w:val="both"/>
              <w:rPr>
                <w:rFonts w:hint="default" w:ascii="Times New Roman" w:hAnsi="Times New Roman" w:eastAsia="宋体" w:cs="Times New Roman"/>
                <w:kern w:val="0"/>
                <w:szCs w:val="22"/>
                <w14:ligatures w14:val="none"/>
              </w:rPr>
            </w:pPr>
          </w:p>
        </w:tc>
        <w:tc>
          <w:tcPr>
            <w:tcW w:w="2287" w:type="dxa"/>
            <w:tcBorders>
              <w:bottom w:val="nil"/>
            </w:tcBorders>
            <w:noWrap/>
            <w:vAlign w:val="center"/>
          </w:tcPr>
          <w:p w14:paraId="29952881">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Verrucomicrobia</w:t>
            </w:r>
          </w:p>
        </w:tc>
        <w:tc>
          <w:tcPr>
            <w:tcW w:w="1425" w:type="dxa"/>
            <w:tcBorders>
              <w:bottom w:val="nil"/>
            </w:tcBorders>
            <w:noWrap/>
            <w:vAlign w:val="center"/>
          </w:tcPr>
          <w:p w14:paraId="5A3FB906">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K</w:t>
            </w:r>
            <w:r>
              <w:rPr>
                <w:rFonts w:hint="default" w:ascii="Times New Roman" w:hAnsi="Times New Roman" w:eastAsia="宋体" w:cs="Times New Roman"/>
                <w:kern w:val="0"/>
                <w:szCs w:val="22"/>
                <w14:ligatures w14:val="none"/>
              </w:rPr>
              <w:t>-strategies</w:t>
            </w:r>
          </w:p>
        </w:tc>
        <w:tc>
          <w:tcPr>
            <w:tcW w:w="3764" w:type="dxa"/>
            <w:tcBorders>
              <w:bottom w:val="nil"/>
            </w:tcBorders>
            <w:noWrap/>
            <w:vAlign w:val="center"/>
          </w:tcPr>
          <w:p w14:paraId="59AA050D">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2F71A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043" w:type="dxa"/>
            <w:vMerge w:val="restart"/>
            <w:tcBorders>
              <w:top w:val="nil"/>
            </w:tcBorders>
            <w:vAlign w:val="center"/>
          </w:tcPr>
          <w:p w14:paraId="4CC22367">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kern w:val="0"/>
                <w:szCs w:val="22"/>
                <w14:ligatures w14:val="none"/>
              </w:rPr>
              <w:t>Fungi</w:t>
            </w:r>
          </w:p>
        </w:tc>
        <w:tc>
          <w:tcPr>
            <w:tcW w:w="2287" w:type="dxa"/>
            <w:tcBorders>
              <w:top w:val="nil"/>
            </w:tcBorders>
            <w:noWrap/>
            <w:vAlign w:val="center"/>
          </w:tcPr>
          <w:p w14:paraId="4ED4F817">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Ascomycota</w:t>
            </w:r>
          </w:p>
        </w:tc>
        <w:tc>
          <w:tcPr>
            <w:tcW w:w="1425" w:type="dxa"/>
            <w:tcBorders>
              <w:top w:val="nil"/>
            </w:tcBorders>
            <w:noWrap/>
            <w:vAlign w:val="center"/>
          </w:tcPr>
          <w:p w14:paraId="5B3E63BE">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tcBorders>
              <w:top w:val="nil"/>
            </w:tcBorders>
            <w:noWrap/>
            <w:vAlign w:val="center"/>
          </w:tcPr>
          <w:p w14:paraId="0385649E">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Li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2021; 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6F9B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1043" w:type="dxa"/>
            <w:vMerge w:val="continue"/>
            <w:vAlign w:val="center"/>
          </w:tcPr>
          <w:p w14:paraId="36185F5C">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600F2D4D">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Glomeromycota</w:t>
            </w:r>
          </w:p>
        </w:tc>
        <w:tc>
          <w:tcPr>
            <w:tcW w:w="1425" w:type="dxa"/>
            <w:noWrap/>
            <w:vAlign w:val="center"/>
          </w:tcPr>
          <w:p w14:paraId="4149DDDB">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49D0F034">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Wang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Wu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w:t>
            </w:r>
          </w:p>
        </w:tc>
      </w:tr>
      <w:tr w14:paraId="7F8E0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043" w:type="dxa"/>
            <w:vMerge w:val="continue"/>
            <w:vAlign w:val="center"/>
          </w:tcPr>
          <w:p w14:paraId="46069515">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05922651">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Mucoromycota</w:t>
            </w:r>
          </w:p>
        </w:tc>
        <w:tc>
          <w:tcPr>
            <w:tcW w:w="1425" w:type="dxa"/>
            <w:noWrap/>
            <w:vAlign w:val="center"/>
          </w:tcPr>
          <w:p w14:paraId="52D4A32D">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r</w:t>
            </w:r>
            <w:r>
              <w:rPr>
                <w:rFonts w:hint="default" w:ascii="Times New Roman" w:hAnsi="Times New Roman" w:eastAsia="宋体" w:cs="Times New Roman"/>
                <w:kern w:val="0"/>
                <w:szCs w:val="22"/>
                <w14:ligatures w14:val="none"/>
              </w:rPr>
              <w:t>-strategies</w:t>
            </w:r>
          </w:p>
        </w:tc>
        <w:tc>
          <w:tcPr>
            <w:tcW w:w="3764" w:type="dxa"/>
            <w:noWrap/>
            <w:vAlign w:val="center"/>
          </w:tcPr>
          <w:p w14:paraId="4284E691">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Bhople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Bonfante </w:t>
            </w:r>
            <w:r>
              <w:rPr>
                <w:rFonts w:hint="eastAsia" w:ascii="Times New Roman" w:hAnsi="Times New Roman" w:eastAsia="宋体" w:cs="Times New Roman"/>
                <w:color w:val="0070C0"/>
                <w:kern w:val="0"/>
                <w:szCs w:val="22"/>
                <w:lang w:eastAsia="zh-CN"/>
                <w14:ligatures w14:val="none"/>
              </w:rPr>
              <w:t>and</w:t>
            </w:r>
            <w:r>
              <w:rPr>
                <w:rFonts w:hint="default" w:ascii="Times New Roman" w:hAnsi="Times New Roman" w:eastAsia="宋体" w:cs="Times New Roman"/>
                <w:color w:val="0070C0"/>
                <w:kern w:val="0"/>
                <w:szCs w:val="22"/>
                <w14:ligatures w14:val="none"/>
              </w:rPr>
              <w:t xml:space="preserve"> Venice 2020</w:t>
            </w:r>
          </w:p>
        </w:tc>
      </w:tr>
      <w:tr w14:paraId="7BA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9" w:hRule="atLeast"/>
          <w:jc w:val="center"/>
        </w:trPr>
        <w:tc>
          <w:tcPr>
            <w:tcW w:w="1043" w:type="dxa"/>
            <w:vMerge w:val="continue"/>
            <w:vAlign w:val="center"/>
          </w:tcPr>
          <w:p w14:paraId="07B2B774">
            <w:pPr>
              <w:spacing w:after="0" w:line="276" w:lineRule="auto"/>
              <w:jc w:val="both"/>
              <w:rPr>
                <w:rFonts w:hint="default" w:ascii="Times New Roman" w:hAnsi="Times New Roman" w:eastAsia="宋体" w:cs="Times New Roman"/>
                <w:kern w:val="0"/>
                <w:szCs w:val="22"/>
                <w14:ligatures w14:val="none"/>
              </w:rPr>
            </w:pPr>
          </w:p>
        </w:tc>
        <w:tc>
          <w:tcPr>
            <w:tcW w:w="2287" w:type="dxa"/>
            <w:noWrap/>
            <w:vAlign w:val="center"/>
          </w:tcPr>
          <w:p w14:paraId="6E3486E0">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Basidiomycota</w:t>
            </w:r>
          </w:p>
        </w:tc>
        <w:tc>
          <w:tcPr>
            <w:tcW w:w="1425" w:type="dxa"/>
            <w:noWrap/>
            <w:vAlign w:val="center"/>
          </w:tcPr>
          <w:p w14:paraId="70271FE1">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K</w:t>
            </w:r>
            <w:r>
              <w:rPr>
                <w:rFonts w:hint="default" w:ascii="Times New Roman" w:hAnsi="Times New Roman" w:eastAsia="宋体" w:cs="Times New Roman"/>
                <w:kern w:val="0"/>
                <w:szCs w:val="22"/>
                <w14:ligatures w14:val="none"/>
              </w:rPr>
              <w:t>-strategies</w:t>
            </w:r>
          </w:p>
        </w:tc>
        <w:tc>
          <w:tcPr>
            <w:tcW w:w="3764" w:type="dxa"/>
            <w:noWrap/>
            <w:vAlign w:val="center"/>
          </w:tcPr>
          <w:p w14:paraId="27FEF925">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Hua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Li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2021; 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Liu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 Tang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2025; Yang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2023;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r w14:paraId="6FDF3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043" w:type="dxa"/>
            <w:vMerge w:val="continue"/>
            <w:tcBorders>
              <w:bottom w:val="single" w:color="auto" w:sz="8" w:space="0"/>
            </w:tcBorders>
            <w:vAlign w:val="center"/>
          </w:tcPr>
          <w:p w14:paraId="14837398">
            <w:pPr>
              <w:spacing w:after="0" w:line="276" w:lineRule="auto"/>
              <w:jc w:val="both"/>
              <w:rPr>
                <w:rFonts w:hint="default" w:ascii="Times New Roman" w:hAnsi="Times New Roman" w:eastAsia="宋体" w:cs="Times New Roman"/>
                <w:kern w:val="0"/>
                <w:szCs w:val="22"/>
                <w14:ligatures w14:val="none"/>
              </w:rPr>
            </w:pPr>
          </w:p>
        </w:tc>
        <w:tc>
          <w:tcPr>
            <w:tcW w:w="2287" w:type="dxa"/>
            <w:tcBorders>
              <w:bottom w:val="single" w:color="auto" w:sz="8" w:space="0"/>
            </w:tcBorders>
            <w:noWrap/>
            <w:vAlign w:val="center"/>
          </w:tcPr>
          <w:p w14:paraId="11F64F7C">
            <w:pPr>
              <w:spacing w:after="0" w:line="276" w:lineRule="auto"/>
              <w:jc w:val="both"/>
              <w:rPr>
                <w:rFonts w:hint="default" w:ascii="Times New Roman" w:hAnsi="Times New Roman" w:eastAsia="宋体" w:cs="Times New Roman"/>
                <w:i/>
                <w:iCs/>
                <w:kern w:val="0"/>
                <w:szCs w:val="22"/>
                <w14:ligatures w14:val="none"/>
              </w:rPr>
            </w:pPr>
            <w:r>
              <w:rPr>
                <w:rFonts w:hint="default" w:ascii="Times New Roman" w:hAnsi="Times New Roman" w:eastAsia="宋体" w:cs="Times New Roman"/>
                <w:i/>
                <w:iCs/>
                <w:kern w:val="0"/>
                <w:szCs w:val="22"/>
                <w14:ligatures w14:val="none"/>
              </w:rPr>
              <w:t>Mortierellomycota</w:t>
            </w:r>
          </w:p>
        </w:tc>
        <w:tc>
          <w:tcPr>
            <w:tcW w:w="1425" w:type="dxa"/>
            <w:tcBorders>
              <w:bottom w:val="single" w:color="auto" w:sz="8" w:space="0"/>
            </w:tcBorders>
            <w:noWrap/>
            <w:vAlign w:val="center"/>
          </w:tcPr>
          <w:p w14:paraId="3154038B">
            <w:pPr>
              <w:spacing w:after="0" w:line="276" w:lineRule="auto"/>
              <w:jc w:val="both"/>
              <w:rPr>
                <w:rFonts w:hint="default" w:ascii="Times New Roman" w:hAnsi="Times New Roman" w:eastAsia="宋体" w:cs="Times New Roman"/>
                <w:kern w:val="0"/>
                <w:szCs w:val="22"/>
                <w14:ligatures w14:val="none"/>
              </w:rPr>
            </w:pPr>
            <w:r>
              <w:rPr>
                <w:rFonts w:hint="default" w:ascii="Times New Roman" w:hAnsi="Times New Roman" w:eastAsia="宋体" w:cs="Times New Roman"/>
                <w:i/>
                <w:iCs/>
                <w:kern w:val="0"/>
                <w:szCs w:val="22"/>
                <w14:ligatures w14:val="none"/>
              </w:rPr>
              <w:t>K</w:t>
            </w:r>
            <w:r>
              <w:rPr>
                <w:rFonts w:hint="default" w:ascii="Times New Roman" w:hAnsi="Times New Roman" w:eastAsia="宋体" w:cs="Times New Roman"/>
                <w:kern w:val="0"/>
                <w:szCs w:val="22"/>
                <w14:ligatures w14:val="none"/>
              </w:rPr>
              <w:t>-strategies</w:t>
            </w:r>
          </w:p>
        </w:tc>
        <w:tc>
          <w:tcPr>
            <w:tcW w:w="3764" w:type="dxa"/>
            <w:tcBorders>
              <w:bottom w:val="single" w:color="auto" w:sz="8" w:space="0"/>
            </w:tcBorders>
            <w:noWrap/>
            <w:vAlign w:val="center"/>
          </w:tcPr>
          <w:p w14:paraId="7F18A783">
            <w:pPr>
              <w:spacing w:after="0" w:line="276" w:lineRule="auto"/>
              <w:jc w:val="both"/>
              <w:rPr>
                <w:rFonts w:hint="default" w:ascii="Times New Roman" w:hAnsi="Times New Roman" w:eastAsia="宋体" w:cs="Times New Roman"/>
                <w:color w:val="0070C0"/>
                <w:kern w:val="0"/>
                <w:szCs w:val="22"/>
                <w14:ligatures w14:val="none"/>
              </w:rPr>
            </w:pPr>
            <w:r>
              <w:rPr>
                <w:rFonts w:hint="default" w:ascii="Times New Roman" w:hAnsi="Times New Roman" w:eastAsia="宋体" w:cs="Times New Roman"/>
                <w:color w:val="0070C0"/>
                <w:kern w:val="0"/>
                <w:szCs w:val="22"/>
                <w14:ligatures w14:val="none"/>
              </w:rPr>
              <w:t xml:space="preserve">Wang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Wu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2022; Zhou </w:t>
            </w:r>
            <w:r>
              <w:rPr>
                <w:rFonts w:hint="eastAsia" w:ascii="Times New Roman" w:hAnsi="Times New Roman" w:eastAsia="宋体" w:cs="Times New Roman"/>
                <w:bCs/>
                <w:color w:val="0070C0"/>
                <w:szCs w:val="22"/>
                <w:shd w:val="clear" w:color="auto" w:fill="FFFFFF"/>
                <w:lang w:eastAsia="zh-CN"/>
                <w14:ligatures w14:val="none"/>
              </w:rPr>
              <w:t>et al.</w:t>
            </w:r>
            <w:r>
              <w:rPr>
                <w:rFonts w:hint="default" w:ascii="Times New Roman" w:hAnsi="Times New Roman" w:eastAsia="宋体" w:cs="Times New Roman"/>
                <w:color w:val="0070C0"/>
                <w:kern w:val="0"/>
                <w:szCs w:val="22"/>
                <w14:ligatures w14:val="none"/>
              </w:rPr>
              <w:t xml:space="preserve"> 2024</w:t>
            </w:r>
          </w:p>
        </w:tc>
      </w:tr>
    </w:tbl>
    <w:p w14:paraId="61A95AE9">
      <w:pPr>
        <w:jc w:val="both"/>
        <w:rPr>
          <w:rFonts w:hint="default" w:ascii="Times New Roman" w:hAnsi="Times New Roman" w:cs="Times New Roman"/>
          <w:b/>
          <w:sz w:val="20"/>
          <w:szCs w:val="20"/>
        </w:rPr>
      </w:pPr>
      <w:r>
        <w:rPr>
          <w:rFonts w:hint="default" w:ascii="Times New Roman" w:hAnsi="Times New Roman" w:cs="Times New Roman"/>
          <w:b/>
          <w:sz w:val="20"/>
          <w:szCs w:val="20"/>
        </w:rPr>
        <w:br w:type="page"/>
      </w:r>
    </w:p>
    <w:p w14:paraId="391195A8">
      <w:pPr>
        <w:spacing w:after="0" w:line="480" w:lineRule="auto"/>
        <w:jc w:val="both"/>
        <w:rPr>
          <w:rFonts w:hint="default" w:ascii="Times New Roman" w:hAnsi="Times New Roman" w:cs="Times New Roman"/>
          <w:sz w:val="24"/>
          <w:szCs w:val="28"/>
        </w:rPr>
      </w:pPr>
      <w:r>
        <w:rPr>
          <w:rFonts w:hint="default" w:ascii="Times New Roman" w:hAnsi="Times New Roman" w:cs="Times New Roman"/>
          <w:b/>
          <w:bCs/>
          <w:sz w:val="24"/>
          <w:szCs w:val="28"/>
        </w:rPr>
        <w:t>Table S4</w:t>
      </w:r>
      <w:r>
        <w:rPr>
          <w:rFonts w:hint="default" w:ascii="Times New Roman" w:hAnsi="Times New Roman" w:cs="Times New Roman"/>
          <w:sz w:val="24"/>
          <w:szCs w:val="28"/>
        </w:rPr>
        <w:t xml:space="preserve"> Effects of nitrogen addition (N), time (T), and their interaction (N × T) on the relative abundance of bacterial and fungal taxa.</w:t>
      </w:r>
    </w:p>
    <w:tbl>
      <w:tblPr>
        <w:tblStyle w:val="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03"/>
        <w:gridCol w:w="2043"/>
        <w:gridCol w:w="1591"/>
        <w:gridCol w:w="1592"/>
        <w:gridCol w:w="1593"/>
      </w:tblGrid>
      <w:tr w14:paraId="1E44D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197" w:type="pct"/>
            <w:gridSpan w:val="2"/>
            <w:tcBorders>
              <w:top w:val="single" w:color="000000" w:sz="8" w:space="0"/>
              <w:bottom w:val="single" w:color="000000" w:sz="4" w:space="0"/>
            </w:tcBorders>
            <w:vAlign w:val="center"/>
          </w:tcPr>
          <w:p w14:paraId="72A70EEB">
            <w:pPr>
              <w:spacing w:after="0" w:line="276" w:lineRule="auto"/>
              <w:jc w:val="both"/>
              <w:rPr>
                <w:rFonts w:hint="default" w:ascii="Times New Roman" w:hAnsi="Times New Roman" w:cs="Times New Roman"/>
                <w:kern w:val="0"/>
                <w:szCs w:val="22"/>
                <w14:ligatures w14:val="none"/>
              </w:rPr>
            </w:pPr>
            <w:bookmarkStart w:id="10" w:name="_Hlk200288104"/>
            <w:r>
              <w:rPr>
                <w:rFonts w:hint="default" w:ascii="Times New Roman" w:hAnsi="Times New Roman" w:cs="Times New Roman"/>
                <w:kern w:val="0"/>
                <w:szCs w:val="22"/>
                <w14:ligatures w14:val="none"/>
              </w:rPr>
              <w:t>Microbial taxa</w:t>
            </w:r>
          </w:p>
        </w:tc>
        <w:tc>
          <w:tcPr>
            <w:tcW w:w="933" w:type="pct"/>
            <w:tcBorders>
              <w:top w:val="single" w:color="000000" w:sz="8" w:space="0"/>
              <w:bottom w:val="single" w:color="000000" w:sz="4" w:space="0"/>
            </w:tcBorders>
            <w:vAlign w:val="center"/>
          </w:tcPr>
          <w:p w14:paraId="0DF432C1">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w:t>
            </w:r>
          </w:p>
        </w:tc>
        <w:tc>
          <w:tcPr>
            <w:tcW w:w="934" w:type="pct"/>
            <w:tcBorders>
              <w:top w:val="single" w:color="000000" w:sz="8" w:space="0"/>
              <w:bottom w:val="single" w:color="000000" w:sz="4" w:space="0"/>
            </w:tcBorders>
            <w:vAlign w:val="center"/>
          </w:tcPr>
          <w:p w14:paraId="6C4BC072">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T</w:t>
            </w:r>
          </w:p>
        </w:tc>
        <w:tc>
          <w:tcPr>
            <w:tcW w:w="934" w:type="pct"/>
            <w:tcBorders>
              <w:top w:val="single" w:color="000000" w:sz="8" w:space="0"/>
              <w:bottom w:val="single" w:color="000000" w:sz="4" w:space="0"/>
            </w:tcBorders>
            <w:vAlign w:val="center"/>
          </w:tcPr>
          <w:p w14:paraId="3122C74E">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N×T</w:t>
            </w:r>
          </w:p>
        </w:tc>
      </w:tr>
      <w:bookmarkEnd w:id="10"/>
      <w:tr w14:paraId="3E057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restart"/>
            <w:tcBorders>
              <w:top w:val="single" w:color="000000" w:sz="4" w:space="0"/>
            </w:tcBorders>
            <w:vAlign w:val="center"/>
          </w:tcPr>
          <w:p w14:paraId="523CEAD0">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eastAsia="宋体" w:cs="Times New Roman"/>
                <w:kern w:val="0"/>
                <w:szCs w:val="22"/>
                <w14:ligatures w14:val="none"/>
              </w:rPr>
              <w:t>Bacteria</w:t>
            </w:r>
          </w:p>
        </w:tc>
        <w:tc>
          <w:tcPr>
            <w:tcW w:w="1198" w:type="pct"/>
            <w:tcBorders>
              <w:top w:val="single" w:color="000000" w:sz="4" w:space="0"/>
            </w:tcBorders>
            <w:vAlign w:val="center"/>
          </w:tcPr>
          <w:p w14:paraId="060900F6">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Proteobacteria</w:t>
            </w:r>
          </w:p>
        </w:tc>
        <w:tc>
          <w:tcPr>
            <w:tcW w:w="933" w:type="pct"/>
            <w:tcBorders>
              <w:top w:val="single" w:color="000000" w:sz="4" w:space="0"/>
            </w:tcBorders>
            <w:vAlign w:val="center"/>
          </w:tcPr>
          <w:p w14:paraId="22769737">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top w:val="single" w:color="000000" w:sz="4" w:space="0"/>
            </w:tcBorders>
            <w:vAlign w:val="center"/>
          </w:tcPr>
          <w:p w14:paraId="3A93D526">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top w:val="single" w:color="000000" w:sz="4" w:space="0"/>
            </w:tcBorders>
            <w:vAlign w:val="center"/>
          </w:tcPr>
          <w:p w14:paraId="5464E72C">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46928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71CEF967">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2C42E406">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Firmicutes</w:t>
            </w:r>
          </w:p>
        </w:tc>
        <w:tc>
          <w:tcPr>
            <w:tcW w:w="933" w:type="pct"/>
            <w:vAlign w:val="center"/>
          </w:tcPr>
          <w:p w14:paraId="1D327A8C">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34940176">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2D08D2FA">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5B57A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7DAF2051">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4277CD72">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Actinobacteria</w:t>
            </w:r>
          </w:p>
        </w:tc>
        <w:tc>
          <w:tcPr>
            <w:tcW w:w="933" w:type="pct"/>
            <w:vAlign w:val="center"/>
          </w:tcPr>
          <w:p w14:paraId="0911585F">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7977F2B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09A6B418">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5F1F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4BED1868">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61CE36E7">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Planctomycetes</w:t>
            </w:r>
          </w:p>
        </w:tc>
        <w:tc>
          <w:tcPr>
            <w:tcW w:w="933" w:type="pct"/>
            <w:vAlign w:val="center"/>
          </w:tcPr>
          <w:p w14:paraId="3F1D360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5EAF6D68">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0B05231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6206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4CDEB81E">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174A3649">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Chloroflexi</w:t>
            </w:r>
          </w:p>
        </w:tc>
        <w:tc>
          <w:tcPr>
            <w:tcW w:w="933" w:type="pct"/>
            <w:vAlign w:val="center"/>
          </w:tcPr>
          <w:p w14:paraId="15114AC4">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536DF62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3C8A064C">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39B67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73DB370D">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3BDBE622">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Acidobacteria</w:t>
            </w:r>
          </w:p>
        </w:tc>
        <w:tc>
          <w:tcPr>
            <w:tcW w:w="933" w:type="pct"/>
            <w:vAlign w:val="center"/>
          </w:tcPr>
          <w:p w14:paraId="7E187C4A">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0C65303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20F6DE2F">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7CD3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2869C24C">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7C4FA7A3">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Verrucomicrobia</w:t>
            </w:r>
          </w:p>
        </w:tc>
        <w:tc>
          <w:tcPr>
            <w:tcW w:w="933" w:type="pct"/>
            <w:vAlign w:val="center"/>
          </w:tcPr>
          <w:p w14:paraId="16DF03B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049F3651">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6AF36DEE">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37307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tcBorders>
              <w:bottom w:val="nil"/>
            </w:tcBorders>
            <w:vAlign w:val="center"/>
          </w:tcPr>
          <w:p w14:paraId="380E697D">
            <w:pPr>
              <w:spacing w:after="0" w:line="276" w:lineRule="auto"/>
              <w:jc w:val="both"/>
              <w:rPr>
                <w:rFonts w:hint="default" w:ascii="Times New Roman" w:hAnsi="Times New Roman" w:cs="Times New Roman"/>
                <w:kern w:val="0"/>
                <w:szCs w:val="22"/>
                <w14:ligatures w14:val="none"/>
              </w:rPr>
            </w:pPr>
          </w:p>
        </w:tc>
        <w:tc>
          <w:tcPr>
            <w:tcW w:w="1198" w:type="pct"/>
            <w:tcBorders>
              <w:bottom w:val="nil"/>
            </w:tcBorders>
            <w:vAlign w:val="center"/>
          </w:tcPr>
          <w:p w14:paraId="1BF1B921">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Others</w:t>
            </w:r>
          </w:p>
        </w:tc>
        <w:tc>
          <w:tcPr>
            <w:tcW w:w="933" w:type="pct"/>
            <w:tcBorders>
              <w:bottom w:val="nil"/>
            </w:tcBorders>
            <w:vAlign w:val="center"/>
          </w:tcPr>
          <w:p w14:paraId="2357DCD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bottom w:val="nil"/>
            </w:tcBorders>
            <w:vAlign w:val="center"/>
          </w:tcPr>
          <w:p w14:paraId="7CC0D4C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bottom w:val="nil"/>
            </w:tcBorders>
            <w:vAlign w:val="center"/>
          </w:tcPr>
          <w:p w14:paraId="0CAF2BD0">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4BA5F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restart"/>
            <w:tcBorders>
              <w:top w:val="nil"/>
            </w:tcBorders>
            <w:vAlign w:val="center"/>
          </w:tcPr>
          <w:p w14:paraId="5A715687">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eastAsia="宋体" w:cs="Times New Roman"/>
                <w:kern w:val="0"/>
                <w:szCs w:val="22"/>
                <w14:ligatures w14:val="none"/>
              </w:rPr>
              <w:t>Fungi</w:t>
            </w:r>
          </w:p>
        </w:tc>
        <w:tc>
          <w:tcPr>
            <w:tcW w:w="1198" w:type="pct"/>
            <w:tcBorders>
              <w:top w:val="nil"/>
            </w:tcBorders>
            <w:vAlign w:val="center"/>
          </w:tcPr>
          <w:p w14:paraId="49116012">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Ascomycota</w:t>
            </w:r>
          </w:p>
        </w:tc>
        <w:tc>
          <w:tcPr>
            <w:tcW w:w="933" w:type="pct"/>
            <w:tcBorders>
              <w:top w:val="nil"/>
            </w:tcBorders>
            <w:vAlign w:val="center"/>
          </w:tcPr>
          <w:p w14:paraId="3A9F630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tcBorders>
              <w:top w:val="nil"/>
            </w:tcBorders>
            <w:vAlign w:val="center"/>
          </w:tcPr>
          <w:p w14:paraId="0FA64714">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top w:val="nil"/>
            </w:tcBorders>
            <w:vAlign w:val="center"/>
          </w:tcPr>
          <w:p w14:paraId="79018DB3">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464E4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392DA7D7">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278CBB5F">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Basidiomycota</w:t>
            </w:r>
          </w:p>
        </w:tc>
        <w:tc>
          <w:tcPr>
            <w:tcW w:w="933" w:type="pct"/>
            <w:vAlign w:val="center"/>
          </w:tcPr>
          <w:p w14:paraId="5CFD044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719AE12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5DBD6811">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E44F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4383FBE1">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3962C287">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Mortierellomycota</w:t>
            </w:r>
          </w:p>
        </w:tc>
        <w:tc>
          <w:tcPr>
            <w:tcW w:w="933" w:type="pct"/>
            <w:vAlign w:val="center"/>
          </w:tcPr>
          <w:p w14:paraId="1CCD7C14">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121DC63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1B4AC3C4">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E94A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562FB996">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7FEF9AB6">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Glomeromycota</w:t>
            </w:r>
          </w:p>
        </w:tc>
        <w:tc>
          <w:tcPr>
            <w:tcW w:w="933" w:type="pct"/>
            <w:vAlign w:val="center"/>
          </w:tcPr>
          <w:p w14:paraId="260F358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30861866">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2362C10C">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6859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4703C765">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7705541E">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Rozellomycota</w:t>
            </w:r>
          </w:p>
        </w:tc>
        <w:tc>
          <w:tcPr>
            <w:tcW w:w="933" w:type="pct"/>
            <w:vAlign w:val="center"/>
          </w:tcPr>
          <w:p w14:paraId="2278E85A">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13769C70">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485C4310">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286CC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vAlign w:val="center"/>
          </w:tcPr>
          <w:p w14:paraId="1DEB969A">
            <w:pPr>
              <w:spacing w:after="0" w:line="276" w:lineRule="auto"/>
              <w:jc w:val="both"/>
              <w:rPr>
                <w:rFonts w:hint="default" w:ascii="Times New Roman" w:hAnsi="Times New Roman" w:cs="Times New Roman"/>
                <w:kern w:val="0"/>
                <w:szCs w:val="22"/>
                <w14:ligatures w14:val="none"/>
              </w:rPr>
            </w:pPr>
          </w:p>
        </w:tc>
        <w:tc>
          <w:tcPr>
            <w:tcW w:w="1198" w:type="pct"/>
            <w:vAlign w:val="center"/>
          </w:tcPr>
          <w:p w14:paraId="71FD4D36">
            <w:pPr>
              <w:spacing w:after="0" w:line="276" w:lineRule="auto"/>
              <w:jc w:val="both"/>
              <w:rPr>
                <w:rFonts w:hint="default" w:ascii="Times New Roman" w:hAnsi="Times New Roman" w:cs="Times New Roman"/>
                <w:i/>
                <w:iCs/>
                <w:kern w:val="0"/>
                <w:szCs w:val="22"/>
                <w14:ligatures w14:val="none"/>
              </w:rPr>
            </w:pPr>
            <w:r>
              <w:rPr>
                <w:rFonts w:hint="default" w:ascii="Times New Roman" w:hAnsi="Times New Roman" w:cs="Times New Roman"/>
                <w:i/>
                <w:iCs/>
                <w:kern w:val="0"/>
                <w:szCs w:val="22"/>
                <w14:ligatures w14:val="none"/>
              </w:rPr>
              <w:t>Mucoromycota</w:t>
            </w:r>
          </w:p>
        </w:tc>
        <w:tc>
          <w:tcPr>
            <w:tcW w:w="933" w:type="pct"/>
            <w:vAlign w:val="center"/>
          </w:tcPr>
          <w:p w14:paraId="1D880475">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vAlign w:val="center"/>
          </w:tcPr>
          <w:p w14:paraId="061FCF74">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vAlign w:val="center"/>
          </w:tcPr>
          <w:p w14:paraId="0D664B8B">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r w14:paraId="13724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999" w:type="pct"/>
            <w:vMerge w:val="continue"/>
            <w:tcBorders>
              <w:bottom w:val="single" w:color="auto" w:sz="8" w:space="0"/>
            </w:tcBorders>
            <w:vAlign w:val="center"/>
          </w:tcPr>
          <w:p w14:paraId="6F5C58A9">
            <w:pPr>
              <w:spacing w:after="0" w:line="276" w:lineRule="auto"/>
              <w:jc w:val="both"/>
              <w:rPr>
                <w:rFonts w:hint="default" w:ascii="Times New Roman" w:hAnsi="Times New Roman" w:cs="Times New Roman"/>
                <w:kern w:val="0"/>
                <w:szCs w:val="22"/>
                <w14:ligatures w14:val="none"/>
              </w:rPr>
            </w:pPr>
          </w:p>
        </w:tc>
        <w:tc>
          <w:tcPr>
            <w:tcW w:w="1198" w:type="pct"/>
            <w:tcBorders>
              <w:bottom w:val="single" w:color="auto" w:sz="8" w:space="0"/>
            </w:tcBorders>
            <w:vAlign w:val="center"/>
          </w:tcPr>
          <w:p w14:paraId="44C24E98">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Others</w:t>
            </w:r>
          </w:p>
        </w:tc>
        <w:tc>
          <w:tcPr>
            <w:tcW w:w="933" w:type="pct"/>
            <w:tcBorders>
              <w:bottom w:val="single" w:color="auto" w:sz="8" w:space="0"/>
            </w:tcBorders>
            <w:vAlign w:val="center"/>
          </w:tcPr>
          <w:p w14:paraId="6D4DF927">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c>
          <w:tcPr>
            <w:tcW w:w="934" w:type="pct"/>
            <w:tcBorders>
              <w:bottom w:val="single" w:color="auto" w:sz="8" w:space="0"/>
            </w:tcBorders>
            <w:vAlign w:val="center"/>
          </w:tcPr>
          <w:p w14:paraId="635C4880">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w:t>
            </w:r>
          </w:p>
        </w:tc>
        <w:tc>
          <w:tcPr>
            <w:tcW w:w="934" w:type="pct"/>
            <w:tcBorders>
              <w:bottom w:val="single" w:color="auto" w:sz="8" w:space="0"/>
            </w:tcBorders>
            <w:vAlign w:val="center"/>
          </w:tcPr>
          <w:p w14:paraId="66562FBD">
            <w:pPr>
              <w:spacing w:after="0" w:line="276" w:lineRule="auto"/>
              <w:jc w:val="both"/>
              <w:rPr>
                <w:rFonts w:hint="default" w:ascii="Times New Roman" w:hAnsi="Times New Roman" w:cs="Times New Roman"/>
                <w:kern w:val="0"/>
                <w:szCs w:val="22"/>
                <w14:ligatures w14:val="none"/>
              </w:rPr>
            </w:pPr>
            <w:r>
              <w:rPr>
                <w:rFonts w:hint="default" w:ascii="Times New Roman" w:hAnsi="Times New Roman" w:cs="Times New Roman"/>
                <w:kern w:val="0"/>
                <w:szCs w:val="22"/>
                <w14:ligatures w14:val="none"/>
              </w:rPr>
              <w:t>ns</w:t>
            </w:r>
          </w:p>
        </w:tc>
      </w:tr>
    </w:tbl>
    <w:p w14:paraId="22E66D0F">
      <w:pPr>
        <w:widowControl/>
        <w:spacing w:after="0" w:line="360" w:lineRule="auto"/>
        <w:jc w:val="both"/>
        <w:rPr>
          <w:rFonts w:hint="default" w:ascii="Times New Roman" w:hAnsi="Times New Roman" w:eastAsia="宋体" w:cs="Times New Roman"/>
          <w:kern w:val="24"/>
          <w:sz w:val="24"/>
        </w:rPr>
      </w:pPr>
      <w:r>
        <w:rPr>
          <w:rFonts w:hint="default" w:ascii="Times New Roman" w:hAnsi="Times New Roman" w:eastAsia="宋体" w:cs="Times New Roman"/>
          <w:kern w:val="24"/>
          <w:sz w:val="24"/>
        </w:rPr>
        <w:t xml:space="preserve">Repeated-measures ANOVA was used to test the effects of N treatment (N), time (T), and their interaction (N × T). Significance levels: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ns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&gt; 0.05.</w:t>
      </w:r>
      <w:r>
        <w:rPr>
          <w:rFonts w:hint="default" w:ascii="Times New Roman" w:hAnsi="Times New Roman" w:eastAsia="宋体" w:cs="Times New Roman"/>
          <w:kern w:val="24"/>
          <w:sz w:val="24"/>
        </w:rPr>
        <w:br w:type="page"/>
      </w:r>
    </w:p>
    <w:p w14:paraId="7CF2A3AD">
      <w:pPr>
        <w:pStyle w:val="2"/>
        <w:spacing w:before="0" w:after="0" w:line="360" w:lineRule="auto"/>
        <w:jc w:val="both"/>
        <w:rPr>
          <w:rFonts w:hint="default" w:ascii="Times New Roman" w:hAnsi="Times New Roman" w:cs="Times New Roman" w:eastAsiaTheme="minorEastAsia"/>
        </w:rPr>
      </w:pPr>
      <w:r>
        <w:rPr>
          <w:rFonts w:hint="default" w:ascii="Times New Roman" w:hAnsi="Times New Roman" w:eastAsia="宋体" w:cs="Times New Roman"/>
        </w:rPr>
        <w:t>Figure</w:t>
      </w:r>
    </w:p>
    <w:p w14:paraId="037E0BC7">
      <w:pPr>
        <w:spacing w:line="360" w:lineRule="auto"/>
        <w:jc w:val="both"/>
        <w:rPr>
          <w:rFonts w:hint="default" w:ascii="Times New Roman" w:hAnsi="Times New Roman" w:cs="Times New Roman"/>
          <w:b/>
          <w:sz w:val="20"/>
          <w:szCs w:val="20"/>
          <w14:ligatures w14:val="none"/>
        </w:rPr>
      </w:pPr>
      <w:r>
        <w:rPr>
          <w:rFonts w:hint="default" w:ascii="Times New Roman" w:hAnsi="Times New Roman" w:cs="Times New Roman"/>
          <w:b/>
          <w:sz w:val="20"/>
          <w:szCs w:val="20"/>
          <w14:ligatures w14:val="none"/>
        </w:rPr>
        <w:drawing>
          <wp:inline distT="0" distB="0" distL="114300" distR="114300">
            <wp:extent cx="5262245" cy="1278255"/>
            <wp:effectExtent l="0" t="0" r="8255" b="444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8"/>
                    <a:stretch>
                      <a:fillRect/>
                    </a:stretch>
                  </pic:blipFill>
                  <pic:spPr>
                    <a:xfrm>
                      <a:off x="0" y="0"/>
                      <a:ext cx="5262245" cy="1278255"/>
                    </a:xfrm>
                    <a:prstGeom prst="rect">
                      <a:avLst/>
                    </a:prstGeom>
                  </pic:spPr>
                </pic:pic>
              </a:graphicData>
            </a:graphic>
          </wp:inline>
        </w:drawing>
      </w:r>
    </w:p>
    <w:p w14:paraId="7586701C">
      <w:pPr>
        <w:spacing w:line="360" w:lineRule="auto"/>
        <w:jc w:val="both"/>
        <w:rPr>
          <w:rFonts w:hint="default" w:ascii="Times New Roman" w:hAnsi="Times New Roman" w:eastAsia="宋体" w:cs="Times New Roman"/>
          <w:bCs/>
          <w:kern w:val="0"/>
          <w:sz w:val="24"/>
          <w:lang w:bidi="ar"/>
        </w:rPr>
      </w:pPr>
      <w:r>
        <w:rPr>
          <w:rFonts w:hint="default" w:ascii="Times New Roman" w:hAnsi="Times New Roman" w:eastAsia="宋体" w:cs="Times New Roman"/>
          <w:b/>
          <w:kern w:val="0"/>
          <w:sz w:val="24"/>
          <w:lang w:bidi="ar"/>
        </w:rPr>
        <w:t xml:space="preserve">Fig. S1 </w:t>
      </w:r>
      <w:r>
        <w:rPr>
          <w:rFonts w:hint="default" w:ascii="Times New Roman" w:hAnsi="Times New Roman" w:eastAsia="宋体" w:cs="Times New Roman"/>
          <w:bCs/>
          <w:kern w:val="0"/>
          <w:sz w:val="24"/>
          <w:lang w:bidi="ar"/>
        </w:rPr>
        <w:t xml:space="preserve">Effects of three consecutive years of nitrogen (N) addition on soil microbial biomass: </w:t>
      </w:r>
      <w:r>
        <w:rPr>
          <w:rFonts w:hint="default" w:ascii="Times New Roman" w:hAnsi="Times New Roman" w:cs="Times New Roman"/>
          <w:b/>
          <w:kern w:val="0"/>
          <w:sz w:val="24"/>
        </w:rPr>
        <w:t>(</w:t>
      </w:r>
      <w:r>
        <w:rPr>
          <w:rFonts w:hint="default" w:ascii="Times New Roman" w:hAnsi="Times New Roman" w:eastAsia="宋体" w:cs="Times New Roman"/>
          <w:b/>
          <w:kern w:val="0"/>
          <w:sz w:val="24"/>
          <w:lang w:bidi="ar"/>
        </w:rPr>
        <w:t>a</w:t>
      </w:r>
      <w:r>
        <w:rPr>
          <w:rFonts w:hint="default" w:ascii="Times New Roman" w:hAnsi="Times New Roman" w:cs="Times New Roman"/>
          <w:b/>
          <w:kern w:val="0"/>
          <w:sz w:val="24"/>
        </w:rPr>
        <w:t>)</w:t>
      </w:r>
      <w:r>
        <w:rPr>
          <w:rFonts w:hint="default" w:ascii="Times New Roman" w:hAnsi="Times New Roman" w:eastAsia="宋体" w:cs="Times New Roman"/>
          <w:bCs/>
          <w:kern w:val="0"/>
          <w:sz w:val="24"/>
          <w:lang w:bidi="ar"/>
        </w:rPr>
        <w:t xml:space="preserve"> microbial biomass carbon (MBC), </w:t>
      </w:r>
      <w:r>
        <w:rPr>
          <w:rFonts w:hint="default" w:ascii="Times New Roman" w:hAnsi="Times New Roman" w:cs="Times New Roman"/>
          <w:b/>
          <w:kern w:val="0"/>
          <w:sz w:val="24"/>
        </w:rPr>
        <w:t>(</w:t>
      </w:r>
      <w:r>
        <w:rPr>
          <w:rFonts w:hint="default" w:ascii="Times New Roman" w:hAnsi="Times New Roman" w:eastAsia="宋体" w:cs="Times New Roman"/>
          <w:b/>
          <w:kern w:val="0"/>
          <w:sz w:val="24"/>
          <w:lang w:bidi="ar"/>
        </w:rPr>
        <w:t>b</w:t>
      </w:r>
      <w:r>
        <w:rPr>
          <w:rFonts w:hint="default" w:ascii="Times New Roman" w:hAnsi="Times New Roman" w:cs="Times New Roman"/>
          <w:b/>
          <w:kern w:val="0"/>
          <w:sz w:val="24"/>
        </w:rPr>
        <w:t>)</w:t>
      </w:r>
      <w:r>
        <w:rPr>
          <w:rFonts w:hint="default" w:ascii="Times New Roman" w:hAnsi="Times New Roman" w:eastAsia="宋体" w:cs="Times New Roman"/>
          <w:bCs/>
          <w:kern w:val="0"/>
          <w:sz w:val="24"/>
          <w:lang w:bidi="ar"/>
        </w:rPr>
        <w:t xml:space="preserve"> microbial biomass nitrogen (MBN), and </w:t>
      </w:r>
      <w:r>
        <w:rPr>
          <w:rFonts w:hint="default" w:ascii="Times New Roman" w:hAnsi="Times New Roman" w:cs="Times New Roman"/>
          <w:b/>
          <w:kern w:val="0"/>
          <w:sz w:val="24"/>
        </w:rPr>
        <w:t>(</w:t>
      </w:r>
      <w:r>
        <w:rPr>
          <w:rFonts w:hint="default" w:ascii="Times New Roman" w:hAnsi="Times New Roman" w:eastAsia="宋体" w:cs="Times New Roman"/>
          <w:b/>
          <w:kern w:val="0"/>
          <w:sz w:val="24"/>
          <w:lang w:bidi="ar"/>
        </w:rPr>
        <w:t>c</w:t>
      </w:r>
      <w:r>
        <w:rPr>
          <w:rFonts w:hint="default" w:ascii="Times New Roman" w:hAnsi="Times New Roman" w:cs="Times New Roman"/>
          <w:b/>
          <w:kern w:val="0"/>
          <w:sz w:val="24"/>
        </w:rPr>
        <w:t>)</w:t>
      </w:r>
      <w:r>
        <w:rPr>
          <w:rFonts w:hint="default" w:ascii="Times New Roman" w:hAnsi="Times New Roman" w:eastAsia="宋体" w:cs="Times New Roman"/>
          <w:bCs/>
          <w:kern w:val="0"/>
          <w:sz w:val="24"/>
          <w:lang w:bidi="ar"/>
        </w:rPr>
        <w:t xml:space="preserve"> microbial biomass phosphorus (MBP).</w:t>
      </w:r>
      <w:r>
        <w:rPr>
          <w:rFonts w:hint="default" w:ascii="Times New Roman" w:hAnsi="Times New Roman" w:eastAsia="宋体" w:cs="Times New Roman"/>
          <w:kern w:val="24"/>
          <w:sz w:val="24"/>
        </w:rPr>
        <w:t xml:space="preserve"> Data are presented as the mean ± standard error (</w:t>
      </w:r>
      <w:r>
        <w:rPr>
          <w:rFonts w:hint="default" w:ascii="Times New Roman" w:hAnsi="Times New Roman" w:eastAsia="宋体" w:cs="Times New Roman"/>
          <w:i/>
          <w:iCs/>
          <w:kern w:val="24"/>
          <w:sz w:val="24"/>
        </w:rPr>
        <w:t>n</w:t>
      </w:r>
      <w:r>
        <w:rPr>
          <w:rFonts w:hint="default" w:ascii="Times New Roman" w:hAnsi="Times New Roman" w:eastAsia="宋体" w:cs="Times New Roman"/>
          <w:kern w:val="24"/>
          <w:sz w:val="24"/>
        </w:rPr>
        <w:t xml:space="preserve"> = 3).</w:t>
      </w:r>
      <w:bookmarkStart w:id="11" w:name="OLE_LINK57"/>
      <w:r>
        <w:rPr>
          <w:rFonts w:hint="default" w:ascii="Times New Roman" w:hAnsi="Times New Roman" w:eastAsia="宋体" w:cs="Times New Roman"/>
          <w:kern w:val="24"/>
          <w:sz w:val="24"/>
        </w:rPr>
        <w:t xml:space="preserve"> Bar charts display three-year mean values. Different lowercase letters indicate significant differences among N treatments at each sampling time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Repeated-measures ANOVA was used to test the effects of N treatment (N), time (T), and their interaction (N × T). Significance levels: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0.01, *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&lt; 0.05, ns </w:t>
      </w:r>
      <w:r>
        <w:rPr>
          <w:rFonts w:hint="default" w:ascii="Times New Roman" w:hAnsi="Times New Roman" w:eastAsia="宋体" w:cs="Times New Roman"/>
          <w:i/>
          <w:iCs/>
          <w:kern w:val="24"/>
          <w:sz w:val="24"/>
        </w:rPr>
        <w:t>p</w:t>
      </w:r>
      <w:r>
        <w:rPr>
          <w:rFonts w:hint="default" w:ascii="Times New Roman" w:hAnsi="Times New Roman" w:eastAsia="宋体" w:cs="Times New Roman"/>
          <w:kern w:val="24"/>
          <w:sz w:val="24"/>
        </w:rPr>
        <w:t xml:space="preserve"> &gt; 0.05.</w:t>
      </w:r>
      <w:bookmarkEnd w:id="11"/>
      <w:r>
        <w:rPr>
          <w:rFonts w:hint="default" w:ascii="Times New Roman" w:hAnsi="Times New Roman" w:eastAsia="宋体" w:cs="Times New Roman"/>
          <w:bCs/>
          <w:sz w:val="24"/>
        </w:rPr>
        <w:t xml:space="preserve"> </w:t>
      </w:r>
      <w:r>
        <w:rPr>
          <w:rFonts w:hint="default" w:ascii="Times New Roman" w:hAnsi="Times New Roman" w:eastAsia="宋体" w:cs="Times New Roman"/>
          <w:bCs/>
          <w:kern w:val="0"/>
          <w:sz w:val="24"/>
          <w:lang w:bidi="ar"/>
        </w:rPr>
        <w:t>CT, control treatment; LN, low-N addition; HN, high-N addition.</w:t>
      </w:r>
      <w:r>
        <w:rPr>
          <w:rFonts w:hint="default" w:ascii="Times New Roman" w:hAnsi="Times New Roman" w:eastAsia="宋体" w:cs="Times New Roman"/>
          <w:bCs/>
          <w:kern w:val="0"/>
          <w:sz w:val="24"/>
          <w:lang w:bidi="ar"/>
        </w:rPr>
        <w:br w:type="page"/>
      </w:r>
    </w:p>
    <w:p w14:paraId="0836000D">
      <w:pPr>
        <w:pStyle w:val="2"/>
        <w:spacing w:before="0" w:after="0" w:line="360" w:lineRule="auto"/>
        <w:jc w:val="both"/>
        <w:rPr>
          <w:rFonts w:hint="default" w:ascii="Times New Roman" w:hAnsi="Times New Roman" w:eastAsia="宋体" w:cs="Times New Roman"/>
        </w:rPr>
      </w:pPr>
      <w:r>
        <w:rPr>
          <w:rFonts w:hint="default" w:ascii="Times New Roman" w:hAnsi="Times New Roman" w:eastAsia="宋体" w:cs="Times New Roman"/>
        </w:rPr>
        <w:t>References</w:t>
      </w:r>
    </w:p>
    <w:p w14:paraId="08B72559">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Bhople P, Samad A, Sisic A, Antonielli L, Sessitsch A, Keiblinger K, Djukic I, Zehetner F, Zechmeister-Boltenstern S, Joergensen RG, Murugan R (2022) Variations in fungal community structure along elevation gradients in contrasting austrian alpine ecosystems. Appl Soil Ecol 177:104508</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//doi.org/10.1016/j.apsoil.2022.104508</w:t>
      </w:r>
    </w:p>
    <w:p w14:paraId="7520769C">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Bonfante P, Venice F (2020) </w:t>
      </w:r>
      <w:r>
        <w:rPr>
          <w:rFonts w:hint="default" w:ascii="Times New Roman" w:hAnsi="Times New Roman" w:cs="Times New Roman"/>
          <w:i/>
          <w:iCs/>
          <w:color w:val="auto"/>
          <w:kern w:val="0"/>
          <w:sz w:val="22"/>
          <w:szCs w:val="22"/>
          <w:u w:val="none"/>
          <w14:ligatures w14:val="none"/>
        </w:rPr>
        <w:t>Mucoromycota</w:t>
      </w:r>
      <w:r>
        <w:rPr>
          <w:rFonts w:hint="default" w:ascii="Times New Roman" w:hAnsi="Times New Roman" w:cs="Times New Roman"/>
          <w:color w:val="auto"/>
          <w:kern w:val="0"/>
          <w:sz w:val="22"/>
          <w:szCs w:val="22"/>
          <w:u w:val="none"/>
          <w14:ligatures w14:val="none"/>
        </w:rPr>
        <w:t xml:space="preserve">: </w:t>
      </w:r>
      <w:r>
        <w:rPr>
          <w:rFonts w:hint="eastAsia" w:ascii="Times New Roman" w:hAnsi="Times New Roman" w:cs="Times New Roman"/>
          <w:color w:val="auto"/>
          <w:kern w:val="0"/>
          <w:sz w:val="22"/>
          <w:szCs w:val="22"/>
          <w:u w:val="none"/>
          <w:lang w:val="en-US" w:eastAsia="zh-CN"/>
          <w14:ligatures w14:val="none"/>
        </w:rPr>
        <w:t>g</w:t>
      </w:r>
      <w:r>
        <w:rPr>
          <w:rFonts w:hint="default" w:ascii="Times New Roman" w:hAnsi="Times New Roman" w:cs="Times New Roman"/>
          <w:color w:val="auto"/>
          <w:kern w:val="0"/>
          <w:sz w:val="22"/>
          <w:szCs w:val="22"/>
          <w:u w:val="none"/>
          <w14:ligatures w14:val="none"/>
        </w:rPr>
        <w:t>oing to the roots of plant-interacting fungi. Fungal Biol Rev 34:100-113</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//doi.org/10.1016/j.fbr.2019.12.003</w:t>
      </w:r>
    </w:p>
    <w:p w14:paraId="5309A2AC">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Brookes PC, Powlson DS, Jenkinson DS (1984) Phosphorus in the soil microbial biomass. Soil Biol Biochem 16:169-175. </w:t>
      </w:r>
      <w:r>
        <w:rPr>
          <w:rFonts w:hint="default" w:ascii="Times New Roman" w:hAnsi="Times New Roman" w:cs="Times New Roman"/>
          <w:color w:val="auto"/>
          <w:kern w:val="0"/>
          <w:sz w:val="22"/>
          <w:szCs w:val="22"/>
          <w:u w:val="none"/>
          <w14:ligatures w14:val="none"/>
        </w:rPr>
        <w:fldChar w:fldCharType="begin"/>
      </w:r>
      <w:r>
        <w:rPr>
          <w:rFonts w:hint="default" w:ascii="Times New Roman" w:hAnsi="Times New Roman" w:cs="Times New Roman"/>
          <w:color w:val="auto"/>
          <w:kern w:val="0"/>
          <w:sz w:val="22"/>
          <w:szCs w:val="22"/>
          <w:u w:val="none"/>
          <w14:ligatures w14:val="none"/>
        </w:rPr>
        <w:instrText xml:space="preserve"> HYPERLINK "https://doi.org/10.1016/0038-0717(84)90108-1" </w:instrText>
      </w:r>
      <w:r>
        <w:rPr>
          <w:rFonts w:hint="default" w:ascii="Times New Roman" w:hAnsi="Times New Roman" w:cs="Times New Roman"/>
          <w:color w:val="auto"/>
          <w:kern w:val="0"/>
          <w:sz w:val="22"/>
          <w:szCs w:val="22"/>
          <w:u w:val="none"/>
          <w14:ligatures w14:val="none"/>
        </w:rPr>
        <w:fldChar w:fldCharType="separate"/>
      </w:r>
      <w:r>
        <w:rPr>
          <w:rStyle w:val="9"/>
          <w:rFonts w:hint="default" w:ascii="Times New Roman" w:hAnsi="Times New Roman" w:cs="Times New Roman"/>
          <w:color w:val="auto"/>
          <w:kern w:val="0"/>
          <w:sz w:val="22"/>
          <w:szCs w:val="22"/>
          <w:u w:val="none"/>
          <w14:ligatures w14:val="none"/>
        </w:rPr>
        <w:t>https://doi.org/10.1016/0038-0717(84)90108-1</w:t>
      </w:r>
      <w:r>
        <w:rPr>
          <w:rFonts w:hint="default" w:ascii="Times New Roman" w:hAnsi="Times New Roman" w:cs="Times New Roman"/>
          <w:color w:val="auto"/>
          <w:kern w:val="0"/>
          <w:sz w:val="22"/>
          <w:szCs w:val="22"/>
          <w:u w:val="none"/>
          <w14:ligatures w14:val="none"/>
        </w:rPr>
        <w:fldChar w:fldCharType="end"/>
      </w:r>
    </w:p>
    <w:p w14:paraId="519DC281">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Chen W, Westerhoff P, Leenheer JA, Booksh K (2003) Fluorescence excitation-emission matrix regional integration to quantify spectra for dissolved organic matter. Environ Sci Technol 37:5701-5710. </w:t>
      </w:r>
      <w:r>
        <w:rPr>
          <w:rFonts w:hint="default" w:ascii="Times New Roman" w:hAnsi="Times New Roman" w:cs="Times New Roman"/>
          <w:color w:val="auto"/>
          <w:sz w:val="22"/>
          <w:szCs w:val="22"/>
          <w:u w:val="none"/>
        </w:rPr>
        <w:fldChar w:fldCharType="begin"/>
      </w:r>
      <w:r>
        <w:rPr>
          <w:rFonts w:hint="default" w:ascii="Times New Roman" w:hAnsi="Times New Roman" w:cs="Times New Roman"/>
          <w:color w:val="auto"/>
          <w:sz w:val="22"/>
          <w:szCs w:val="22"/>
          <w:u w:val="none"/>
        </w:rPr>
        <w:instrText xml:space="preserve"> HYPERLINK "https://doi.org/10.1021/es034354c" </w:instrText>
      </w:r>
      <w:r>
        <w:rPr>
          <w:rFonts w:hint="default" w:ascii="Times New Roman" w:hAnsi="Times New Roman" w:cs="Times New Roman"/>
          <w:color w:val="auto"/>
          <w:sz w:val="22"/>
          <w:szCs w:val="22"/>
          <w:u w:val="none"/>
        </w:rPr>
        <w:fldChar w:fldCharType="separate"/>
      </w:r>
      <w:r>
        <w:rPr>
          <w:rStyle w:val="9"/>
          <w:rFonts w:hint="default" w:ascii="Times New Roman" w:hAnsi="Times New Roman" w:cs="Times New Roman"/>
          <w:color w:val="auto"/>
          <w:kern w:val="0"/>
          <w:sz w:val="22"/>
          <w:szCs w:val="22"/>
          <w:u w:val="none"/>
          <w14:ligatures w14:val="none"/>
        </w:rPr>
        <w:t>https://doi.org/10.1021/es034354c</w:t>
      </w:r>
      <w:r>
        <w:rPr>
          <w:rStyle w:val="9"/>
          <w:rFonts w:hint="default" w:ascii="Times New Roman" w:hAnsi="Times New Roman" w:cs="Times New Roman"/>
          <w:color w:val="auto"/>
          <w:kern w:val="0"/>
          <w:sz w:val="22"/>
          <w:szCs w:val="22"/>
          <w:u w:val="none"/>
          <w14:ligatures w14:val="none"/>
        </w:rPr>
        <w:fldChar w:fldCharType="end"/>
      </w:r>
    </w:p>
    <w:p w14:paraId="64641A53">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Cory RM, McKnight DM (2005) Fluorescence spectroscopy reveals ubiquitous presence of oxidized and reduced quinones in dissolved organic matter. Environ Sci Technol 39:8142-8149. </w:t>
      </w:r>
      <w:r>
        <w:rPr>
          <w:rFonts w:hint="default" w:ascii="Times New Roman" w:hAnsi="Times New Roman" w:cs="Times New Roman"/>
          <w:color w:val="auto"/>
          <w:kern w:val="0"/>
          <w:sz w:val="22"/>
          <w:szCs w:val="22"/>
          <w:u w:val="none"/>
          <w14:ligatures w14:val="none"/>
        </w:rPr>
        <w:fldChar w:fldCharType="begin"/>
      </w:r>
      <w:r>
        <w:rPr>
          <w:rFonts w:hint="default" w:ascii="Times New Roman" w:hAnsi="Times New Roman" w:cs="Times New Roman"/>
          <w:color w:val="auto"/>
          <w:kern w:val="0"/>
          <w:sz w:val="22"/>
          <w:szCs w:val="22"/>
          <w:u w:val="none"/>
          <w14:ligatures w14:val="none"/>
        </w:rPr>
        <w:instrText xml:space="preserve"> HYPERLINK "https://doi.org/10.1021/es0506962" </w:instrText>
      </w:r>
      <w:r>
        <w:rPr>
          <w:rFonts w:hint="default" w:ascii="Times New Roman" w:hAnsi="Times New Roman" w:cs="Times New Roman"/>
          <w:color w:val="auto"/>
          <w:kern w:val="0"/>
          <w:sz w:val="22"/>
          <w:szCs w:val="22"/>
          <w:u w:val="none"/>
          <w14:ligatures w14:val="none"/>
        </w:rPr>
        <w:fldChar w:fldCharType="separate"/>
      </w:r>
      <w:r>
        <w:rPr>
          <w:rStyle w:val="9"/>
          <w:rFonts w:hint="default" w:ascii="Times New Roman" w:hAnsi="Times New Roman" w:cs="Times New Roman"/>
          <w:color w:val="auto"/>
          <w:kern w:val="0"/>
          <w:sz w:val="22"/>
          <w:szCs w:val="22"/>
          <w:u w:val="none"/>
          <w14:ligatures w14:val="none"/>
        </w:rPr>
        <w:t>https://doi.org/10.1021/es0506962</w:t>
      </w:r>
      <w:r>
        <w:rPr>
          <w:rFonts w:hint="default" w:ascii="Times New Roman" w:hAnsi="Times New Roman" w:cs="Times New Roman"/>
          <w:color w:val="auto"/>
          <w:kern w:val="0"/>
          <w:sz w:val="22"/>
          <w:szCs w:val="22"/>
          <w:u w:val="none"/>
          <w14:ligatures w14:val="none"/>
        </w:rPr>
        <w:fldChar w:fldCharType="end"/>
      </w:r>
    </w:p>
    <w:p w14:paraId="4CD0122D">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Hua PL, Zhang W, Kuzyakov Y, Xiao LM, Xiao D, Xu L, Chen HS, Zhao J, Wang KL (2023) Linking bacterial life strategies with soil organic matter accrual by karst vegetation restoration. Soil Biol Biochem 177:108925</w:t>
      </w:r>
      <w:r>
        <w:rPr>
          <w:rFonts w:hint="eastAsia" w:ascii="Times New Roman" w:hAnsi="Times New Roman" w:cs="Times New Roman"/>
          <w:color w:val="auto"/>
          <w:kern w:val="0"/>
          <w:sz w:val="22"/>
          <w:szCs w:val="22"/>
          <w:u w:val="none"/>
          <w:lang w:val="en-US" w:eastAsia="zh-CN"/>
          <w14:ligatures w14:val="none"/>
        </w:rPr>
        <w:t>.</w:t>
      </w:r>
      <w:r>
        <w:rPr>
          <w:rFonts w:hint="default" w:ascii="Times New Roman" w:hAnsi="Times New Roman" w:cs="Times New Roman"/>
          <w:color w:val="auto"/>
          <w:kern w:val="0"/>
          <w:sz w:val="22"/>
          <w:szCs w:val="22"/>
          <w:u w:val="none"/>
          <w14:ligatures w14:val="none"/>
        </w:rPr>
        <w:t xml:space="preserve"> </w:t>
      </w:r>
      <w:r>
        <w:rPr>
          <w:rFonts w:hint="default" w:ascii="Times New Roman" w:hAnsi="Times New Roman" w:cs="Times New Roman"/>
          <w:color w:val="auto"/>
          <w:kern w:val="0"/>
          <w:sz w:val="22"/>
          <w:szCs w:val="22"/>
          <w:u w:val="none"/>
          <w14:ligatures w14:val="none"/>
        </w:rPr>
        <w:fldChar w:fldCharType="begin"/>
      </w:r>
      <w:r>
        <w:rPr>
          <w:rFonts w:hint="default" w:ascii="Times New Roman" w:hAnsi="Times New Roman" w:cs="Times New Roman"/>
          <w:color w:val="auto"/>
          <w:kern w:val="0"/>
          <w:sz w:val="22"/>
          <w:szCs w:val="22"/>
          <w:u w:val="none"/>
          <w14:ligatures w14:val="none"/>
        </w:rPr>
        <w:instrText xml:space="preserve"> HYPERLINK "https://doi.org/10.1016/j.soilbio.2022.108925" </w:instrText>
      </w:r>
      <w:r>
        <w:rPr>
          <w:rFonts w:hint="default" w:ascii="Times New Roman" w:hAnsi="Times New Roman" w:cs="Times New Roman"/>
          <w:color w:val="auto"/>
          <w:kern w:val="0"/>
          <w:sz w:val="22"/>
          <w:szCs w:val="22"/>
          <w:u w:val="none"/>
          <w14:ligatures w14:val="none"/>
        </w:rPr>
        <w:fldChar w:fldCharType="separate"/>
      </w:r>
      <w:r>
        <w:rPr>
          <w:rStyle w:val="9"/>
          <w:rFonts w:hint="default" w:ascii="Times New Roman" w:hAnsi="Times New Roman" w:cs="Times New Roman"/>
          <w:color w:val="auto"/>
          <w:kern w:val="0"/>
          <w:sz w:val="22"/>
          <w:szCs w:val="22"/>
          <w:u w:val="none"/>
          <w14:ligatures w14:val="none"/>
        </w:rPr>
        <w:t>https://doi.org/10.1016/j.soilbio.2022.108925</w:t>
      </w:r>
      <w:r>
        <w:rPr>
          <w:rFonts w:hint="default" w:ascii="Times New Roman" w:hAnsi="Times New Roman" w:cs="Times New Roman"/>
          <w:color w:val="auto"/>
          <w:kern w:val="0"/>
          <w:sz w:val="22"/>
          <w:szCs w:val="22"/>
          <w:u w:val="none"/>
          <w14:ligatures w14:val="none"/>
        </w:rPr>
        <w:fldChar w:fldCharType="end"/>
      </w:r>
    </w:p>
    <w:p w14:paraId="26BE7F6B">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Huguet A, Vacher L, Saubusse S, Etcheber H, Abril G, Relexans S, Ibalot F, Parlanti E (2010) New insights into the size distribution of fluorescent dissolved organic matter in estuarine waters. Org Geochem 41:595-610.</w:t>
      </w:r>
      <w:r>
        <w:rPr>
          <w:rFonts w:hint="eastAsia" w:ascii="Times New Roman" w:hAnsi="Times New Roman" w:cs="Times New Roman"/>
          <w:color w:val="auto"/>
          <w:kern w:val="0"/>
          <w:sz w:val="22"/>
          <w:szCs w:val="22"/>
          <w:u w:val="none"/>
          <w:lang w:eastAsia="zh-CN"/>
          <w14:ligatures w14:val="none"/>
        </w:rPr>
        <w:t xml:space="preserve"> https:</w:t>
      </w:r>
      <w:r>
        <w:rPr>
          <w:rFonts w:hint="default" w:ascii="Times New Roman" w:hAnsi="Times New Roman" w:cs="Times New Roman"/>
          <w:color w:val="auto"/>
          <w:kern w:val="0"/>
          <w:sz w:val="22"/>
          <w:szCs w:val="22"/>
          <w:u w:val="none"/>
          <w14:ligatures w14:val="none"/>
        </w:rPr>
        <w:t>//doi.org/10.1016/j.orggeochem.2010.02.006</w:t>
      </w:r>
    </w:p>
    <w:p w14:paraId="65562CC0">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Li H, Yang S, Semenov MV, Yao F, Ye J, Bu RC, Ma RA, Lin JJ, Kurganova I, Wang XG, Deng Y, Kravchenko I, Jiang Y, Kuzyakov Y (2021) Temperature sensitivity of </w:t>
      </w:r>
      <w:r>
        <w:rPr>
          <w:rFonts w:hint="eastAsia" w:ascii="Times New Roman" w:hAnsi="Times New Roman" w:cs="Times New Roman"/>
          <w:color w:val="auto"/>
          <w:kern w:val="0"/>
          <w:sz w:val="22"/>
          <w:szCs w:val="22"/>
          <w:u w:val="none"/>
          <w:lang w:val="en-US" w:eastAsia="zh-CN"/>
          <w14:ligatures w14:val="none"/>
        </w:rPr>
        <w:t>SOM</w:t>
      </w:r>
      <w:r>
        <w:rPr>
          <w:rFonts w:hint="default" w:ascii="Times New Roman" w:hAnsi="Times New Roman" w:cs="Times New Roman"/>
          <w:color w:val="auto"/>
          <w:kern w:val="0"/>
          <w:sz w:val="22"/>
          <w:szCs w:val="22"/>
          <w:u w:val="none"/>
          <w14:ligatures w14:val="none"/>
        </w:rPr>
        <w:t xml:space="preserve"> decomposition is linked with a </w:t>
      </w:r>
      <w:r>
        <w:rPr>
          <w:rFonts w:hint="eastAsia" w:ascii="Times New Roman" w:hAnsi="Times New Roman" w:cs="Times New Roman"/>
          <w:i/>
          <w:iCs/>
          <w:color w:val="auto"/>
          <w:kern w:val="0"/>
          <w:sz w:val="22"/>
          <w:szCs w:val="22"/>
          <w:u w:val="none"/>
          <w:lang w:val="en-US" w:eastAsia="zh-CN"/>
          <w14:ligatures w14:val="none"/>
        </w:rPr>
        <w:t>K</w:t>
      </w:r>
      <w:r>
        <w:rPr>
          <w:rFonts w:hint="default" w:ascii="Times New Roman" w:hAnsi="Times New Roman" w:cs="Times New Roman"/>
          <w:i/>
          <w:iCs/>
          <w:color w:val="auto"/>
          <w:kern w:val="0"/>
          <w:sz w:val="22"/>
          <w:szCs w:val="22"/>
          <w:u w:val="none"/>
          <w14:ligatures w14:val="none"/>
        </w:rPr>
        <w:t>-</w:t>
      </w:r>
      <w:r>
        <w:rPr>
          <w:rFonts w:hint="default" w:ascii="Times New Roman" w:hAnsi="Times New Roman" w:cs="Times New Roman"/>
          <w:color w:val="auto"/>
          <w:kern w:val="0"/>
          <w:sz w:val="22"/>
          <w:szCs w:val="22"/>
          <w:u w:val="none"/>
          <w14:ligatures w14:val="none"/>
        </w:rPr>
        <w:t>selected microbial community. Glob Chang Biol 27:2763-2779</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//doi.org/10.1111/gcb.15593</w:t>
      </w:r>
    </w:p>
    <w:p w14:paraId="35FFAAE0">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Liu T, Wu XH, Li HW, Ning C, Li Y, Zhang XY, He JS, Filimonenko E, Chen S, Chen XY, Gibson DJ, Kuzyakov Y, Yan WD (2022) Soil quality and </w:t>
      </w:r>
      <w:r>
        <w:rPr>
          <w:rFonts w:hint="default" w:ascii="Times New Roman" w:hAnsi="Times New Roman" w:cs="Times New Roman"/>
          <w:i/>
          <w:iCs/>
          <w:color w:val="auto"/>
          <w:kern w:val="0"/>
          <w:sz w:val="22"/>
          <w:szCs w:val="22"/>
          <w:u w:val="none"/>
          <w14:ligatures w14:val="none"/>
        </w:rPr>
        <w:t>r-</w:t>
      </w:r>
      <w:r>
        <w:rPr>
          <w:rFonts w:hint="default" w:ascii="Times New Roman" w:hAnsi="Times New Roman" w:cs="Times New Roman"/>
          <w:i/>
          <w:iCs/>
          <w:color w:val="auto"/>
          <w:kern w:val="0"/>
          <w:sz w:val="22"/>
          <w:szCs w:val="22"/>
          <w:u w:val="none"/>
          <w:lang w:val="en-US" w:eastAsia="zh-CN"/>
          <w14:ligatures w14:val="none"/>
        </w:rPr>
        <w:t>K</w:t>
      </w:r>
      <w:r>
        <w:rPr>
          <w:rFonts w:hint="default" w:ascii="Times New Roman" w:hAnsi="Times New Roman" w:cs="Times New Roman"/>
          <w:color w:val="auto"/>
          <w:kern w:val="0"/>
          <w:sz w:val="22"/>
          <w:szCs w:val="22"/>
          <w:u w:val="none"/>
          <w14:ligatures w14:val="none"/>
        </w:rPr>
        <w:t xml:space="preserve"> fungal communities in plantations after conversion from subtropical forest. Catena 219:106584</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//doi.org/10.1016/j.catena.2022.106584</w:t>
      </w:r>
    </w:p>
    <w:p w14:paraId="2C4B2725">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Liu T, Tong DD, Chen S, Ning C, Zhang XY, Filimonenko E, Aloufi AS, Cai WY, Farooq A, Liu GQ, Kuzyakov Y, Yan WD (2024) Fertilization shapes microbial life strategies, carbon and nitrogen metabolic functions in </w:t>
      </w:r>
      <w:r>
        <w:rPr>
          <w:rFonts w:hint="default" w:ascii="Times New Roman" w:hAnsi="Times New Roman" w:cs="Times New Roman"/>
          <w:i/>
          <w:iCs/>
          <w:color w:val="auto"/>
          <w:kern w:val="0"/>
          <w:sz w:val="22"/>
          <w:szCs w:val="22"/>
          <w:u w:val="none"/>
          <w14:ligatures w14:val="none"/>
        </w:rPr>
        <w:t>camellia</w:t>
      </w:r>
      <w:r>
        <w:rPr>
          <w:rFonts w:hint="default" w:ascii="Times New Roman" w:hAnsi="Times New Roman" w:cs="Times New Roman"/>
          <w:color w:val="auto"/>
          <w:kern w:val="0"/>
          <w:sz w:val="22"/>
          <w:szCs w:val="22"/>
          <w:u w:val="none"/>
          <w14:ligatures w14:val="none"/>
        </w:rPr>
        <w:t xml:space="preserve"> </w:t>
      </w:r>
      <w:r>
        <w:rPr>
          <w:rFonts w:hint="default" w:ascii="Times New Roman" w:hAnsi="Times New Roman" w:cs="Times New Roman"/>
          <w:i w:val="0"/>
          <w:iCs w:val="0"/>
          <w:color w:val="auto"/>
          <w:kern w:val="0"/>
          <w:sz w:val="22"/>
          <w:szCs w:val="22"/>
          <w:u w:val="none"/>
          <w14:ligatures w14:val="none"/>
        </w:rPr>
        <w:t>oleifera</w:t>
      </w:r>
      <w:r>
        <w:rPr>
          <w:rFonts w:hint="default" w:ascii="Times New Roman" w:hAnsi="Times New Roman" w:cs="Times New Roman"/>
          <w:color w:val="auto"/>
          <w:kern w:val="0"/>
          <w:sz w:val="22"/>
          <w:szCs w:val="22"/>
          <w:u w:val="none"/>
          <w14:ligatures w14:val="none"/>
        </w:rPr>
        <w:t xml:space="preserve"> soil. J Environ Manag 370:122896</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//doi.org/10.1016/j.jenvman.2024.122896</w:t>
      </w:r>
    </w:p>
    <w:p w14:paraId="6E4F9069">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Murphy KR, Butler KD, Spencer RGM, Stedmon CA, Boehme JR, Aiken GR (2010) Measurement of dissolved organic matter fluorescence in aquatic environments: </w:t>
      </w:r>
      <w:r>
        <w:rPr>
          <w:rFonts w:hint="eastAsia" w:ascii="Times New Roman" w:hAnsi="Times New Roman" w:cs="Times New Roman"/>
          <w:color w:val="auto"/>
          <w:kern w:val="0"/>
          <w:sz w:val="22"/>
          <w:szCs w:val="22"/>
          <w:u w:val="none"/>
          <w:lang w:val="en-US" w:eastAsia="zh-CN"/>
          <w14:ligatures w14:val="none"/>
        </w:rPr>
        <w:t>a</w:t>
      </w:r>
      <w:r>
        <w:rPr>
          <w:rFonts w:hint="default" w:ascii="Times New Roman" w:hAnsi="Times New Roman" w:cs="Times New Roman"/>
          <w:color w:val="auto"/>
          <w:kern w:val="0"/>
          <w:sz w:val="22"/>
          <w:szCs w:val="22"/>
          <w:u w:val="none"/>
          <w14:ligatures w14:val="none"/>
        </w:rPr>
        <w:t>n interlaboratory comparison. Environ Sci Technol 44:9405-9412</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//doi.org/10.1021/es102362t</w:t>
      </w:r>
    </w:p>
    <w:p w14:paraId="428C5235">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Murphy KR, Stedmon CA, Graeber D, Bro R (2013) </w:t>
      </w:r>
      <w:r>
        <w:rPr>
          <w:rFonts w:hint="default" w:ascii="Times New Roman" w:hAnsi="Times New Roman"/>
        </w:rPr>
        <w:t>Fluorescence spectroscopy and multi-way techniques. Parafac.</w:t>
      </w:r>
      <w:r>
        <w:rPr>
          <w:rFonts w:hint="default" w:ascii="Times New Roman" w:hAnsi="Times New Roman" w:cs="Times New Roman"/>
          <w:color w:val="auto"/>
          <w:kern w:val="0"/>
          <w:sz w:val="22"/>
          <w:szCs w:val="22"/>
          <w:u w:val="none"/>
          <w14:ligatures w14:val="none"/>
        </w:rPr>
        <w:t xml:space="preserve"> Anal Methods 5:6557-6566</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//doi.org/10.1039/c3ay41160e</w:t>
      </w:r>
    </w:p>
    <w:p w14:paraId="788E968D">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Ohno T (2002) Fluorescence inner-filtering correction for determining the humification index of dissolved organic matter. Environ Sci Technol 36:742-746</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//doi.org/10.1021/es0155276</w:t>
      </w:r>
    </w:p>
    <w:p w14:paraId="07FE26EB">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Ohno T, Amirbahman A, Bro R (2008) Parallel factor analysis of excitation-emission matrix fluorescence spectra of water soluble soil organic matter as basis for the determination of conditional metal binding parameters. Environ Sci Technol 42:186-192.</w:t>
      </w:r>
      <w:r>
        <w:rPr>
          <w:rFonts w:hint="eastAsia" w:ascii="Times New Roman" w:hAnsi="Times New Roman" w:cs="Times New Roman"/>
          <w:color w:val="auto"/>
          <w:kern w:val="0"/>
          <w:sz w:val="22"/>
          <w:szCs w:val="22"/>
          <w:u w:val="none"/>
          <w:lang w:eastAsia="zh-CN"/>
          <w14:ligatures w14:val="none"/>
        </w:rPr>
        <w:t xml:space="preserve"> https:</w:t>
      </w:r>
      <w:r>
        <w:rPr>
          <w:rFonts w:hint="default" w:ascii="Times New Roman" w:hAnsi="Times New Roman" w:cs="Times New Roman"/>
          <w:color w:val="auto"/>
          <w:kern w:val="0"/>
          <w:sz w:val="22"/>
          <w:szCs w:val="22"/>
          <w:u w:val="none"/>
          <w14:ligatures w14:val="none"/>
        </w:rPr>
        <w:t>//doi.org/10.1021/es071855f</w:t>
      </w:r>
    </w:p>
    <w:p w14:paraId="606B70B4">
      <w:pPr>
        <w:keepNext w:val="0"/>
        <w:keepLines w:val="0"/>
        <w:pageBreakBefore w:val="0"/>
        <w:widowControl/>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Stedmon C</w:t>
      </w:r>
      <w:r>
        <w:rPr>
          <w:rFonts w:hint="eastAsia" w:ascii="Times New Roman" w:hAnsi="Times New Roman" w:cs="Times New Roman"/>
          <w:color w:val="auto"/>
          <w:kern w:val="0"/>
          <w:sz w:val="22"/>
          <w:szCs w:val="22"/>
          <w:u w:val="none"/>
          <w:lang w:val="en-US" w:eastAsia="zh-CN"/>
          <w14:ligatures w14:val="none"/>
        </w:rPr>
        <w:t>A</w:t>
      </w:r>
      <w:r>
        <w:rPr>
          <w:rFonts w:hint="default" w:ascii="Times New Roman" w:hAnsi="Times New Roman" w:cs="Times New Roman"/>
          <w:color w:val="auto"/>
          <w:kern w:val="0"/>
          <w:sz w:val="22"/>
          <w:szCs w:val="22"/>
          <w:u w:val="none"/>
          <w14:ligatures w14:val="none"/>
        </w:rPr>
        <w:t>, Markager S, Bro R (2003) Tracing dissolved organic matter in aquatic environments using a new approach to fluorescence spectroscopy. Mar Chem 82:239-254</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//doi.org/10.1016/s0304-4203(03)00072-0</w:t>
      </w:r>
    </w:p>
    <w:p w14:paraId="5A6134B6">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 xml:space="preserve">Stedmon CA, Bro R (2008) Characterizing dissolved organic matter fluorescence with parallel factor analysis: </w:t>
      </w:r>
      <w:r>
        <w:rPr>
          <w:rFonts w:hint="default" w:ascii="Times New Roman" w:hAnsi="Times New Roman" w:cs="Times New Roman"/>
          <w:color w:val="auto"/>
          <w:kern w:val="0"/>
          <w:sz w:val="22"/>
          <w:szCs w:val="22"/>
          <w:u w:val="none"/>
          <w:lang w:val="en-US" w:eastAsia="zh-CN"/>
          <w14:ligatures w14:val="none"/>
        </w:rPr>
        <w:t>a</w:t>
      </w:r>
      <w:r>
        <w:rPr>
          <w:rFonts w:hint="default" w:ascii="Times New Roman" w:hAnsi="Times New Roman" w:cs="Times New Roman"/>
          <w:color w:val="auto"/>
          <w:kern w:val="0"/>
          <w:sz w:val="22"/>
          <w:szCs w:val="22"/>
          <w:u w:val="none"/>
          <w14:ligatures w14:val="none"/>
        </w:rPr>
        <w:t xml:space="preserve"> tutorial. Limnol Oceanogr Methods 6:572-579. </w:t>
      </w:r>
      <w:r>
        <w:rPr>
          <w:rFonts w:hint="default" w:ascii="Times New Roman" w:hAnsi="Times New Roman" w:cs="Times New Roman"/>
          <w:color w:val="auto"/>
          <w:kern w:val="0"/>
          <w:sz w:val="22"/>
          <w:szCs w:val="22"/>
          <w:u w:val="none"/>
          <w14:ligatures w14:val="none"/>
        </w:rPr>
        <w:fldChar w:fldCharType="begin"/>
      </w:r>
      <w:r>
        <w:rPr>
          <w:rFonts w:hint="default" w:ascii="Times New Roman" w:hAnsi="Times New Roman" w:cs="Times New Roman"/>
          <w:color w:val="auto"/>
          <w:kern w:val="0"/>
          <w:sz w:val="22"/>
          <w:szCs w:val="22"/>
          <w:u w:val="none"/>
          <w14:ligatures w14:val="none"/>
        </w:rPr>
        <w:instrText xml:space="preserve"> HYPERLINK "https://doi.org/10.4319/lom.2008.6.572" </w:instrText>
      </w:r>
      <w:r>
        <w:rPr>
          <w:rFonts w:hint="default" w:ascii="Times New Roman" w:hAnsi="Times New Roman" w:cs="Times New Roman"/>
          <w:color w:val="auto"/>
          <w:kern w:val="0"/>
          <w:sz w:val="22"/>
          <w:szCs w:val="22"/>
          <w:u w:val="none"/>
          <w14:ligatures w14:val="none"/>
        </w:rPr>
        <w:fldChar w:fldCharType="separate"/>
      </w:r>
      <w:r>
        <w:rPr>
          <w:rStyle w:val="9"/>
          <w:rFonts w:hint="default" w:ascii="Times New Roman" w:hAnsi="Times New Roman" w:cs="Times New Roman"/>
          <w:color w:val="auto"/>
          <w:kern w:val="0"/>
          <w:sz w:val="22"/>
          <w:szCs w:val="22"/>
          <w:u w:val="none"/>
          <w14:ligatures w14:val="none"/>
        </w:rPr>
        <w:t>https://doi.org/10.4319/lom.2008.6.572</w:t>
      </w:r>
      <w:r>
        <w:rPr>
          <w:rFonts w:hint="default" w:ascii="Times New Roman" w:hAnsi="Times New Roman" w:cs="Times New Roman"/>
          <w:color w:val="auto"/>
          <w:kern w:val="0"/>
          <w:sz w:val="22"/>
          <w:szCs w:val="22"/>
          <w:u w:val="none"/>
          <w14:ligatures w14:val="none"/>
        </w:rPr>
        <w:fldChar w:fldCharType="end"/>
      </w:r>
    </w:p>
    <w:p w14:paraId="5E300980">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Tang XP, Lv SF, Wang TY, Chen X, Sun TR, Xia YY, Yuan N, Zhou YF, Zhou GM, Shi YJ, Xu L (2025) Microbial traits affect soil organic carbon stability in degraded moso bamboo forests. Plant Soil 510:127-147</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//doi.org/10.1007/s11104-024-06908-z</w:t>
      </w:r>
    </w:p>
    <w:p w14:paraId="73E9561A">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Turner BL, Wright SJ (2014) The response of microbial biomass and hydrolytic enzymes to a decade of nitrogen, phosphorus, and potassium addition in a lowland tropical rain forest. Biogeochemistry 117:115-130</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//doi.org/10.1007/s10533-013-9848-y</w:t>
      </w:r>
    </w:p>
    <w:p w14:paraId="59992525">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Vance ED, Brookes PC, Jenkinson DS (1987) An extraction method for measuring soil microbial biomass</w:t>
      </w:r>
      <w:r>
        <w:rPr>
          <w:rFonts w:hint="eastAsia" w:ascii="Times New Roman" w:hAnsi="Times New Roman" w:cs="Times New Roman"/>
          <w:color w:val="auto"/>
          <w:kern w:val="0"/>
          <w:sz w:val="22"/>
          <w:szCs w:val="22"/>
          <w:u w:val="none"/>
          <w:lang w:val="en-US" w:eastAsia="zh-CN"/>
          <w14:ligatures w14:val="none"/>
        </w:rPr>
        <w:t xml:space="preserve"> C</w:t>
      </w:r>
      <w:r>
        <w:rPr>
          <w:rFonts w:hint="default" w:ascii="Times New Roman" w:hAnsi="Times New Roman" w:cs="Times New Roman"/>
          <w:color w:val="auto"/>
          <w:kern w:val="0"/>
          <w:sz w:val="22"/>
          <w:szCs w:val="22"/>
          <w:u w:val="none"/>
          <w14:ligatures w14:val="none"/>
        </w:rPr>
        <w:t>. Soil Biol Biochem 19:703-707.</w:t>
      </w:r>
      <w:r>
        <w:rPr>
          <w:rFonts w:hint="eastAsia" w:ascii="Times New Roman" w:hAnsi="Times New Roman" w:cs="Times New Roman"/>
          <w:color w:val="auto"/>
          <w:kern w:val="0"/>
          <w:sz w:val="22"/>
          <w:szCs w:val="22"/>
          <w:u w:val="none"/>
          <w:lang w:eastAsia="zh-CN"/>
          <w14:ligatures w14:val="none"/>
        </w:rPr>
        <w:t xml:space="preserve"> https:</w:t>
      </w:r>
      <w:r>
        <w:rPr>
          <w:rFonts w:hint="default" w:ascii="Times New Roman" w:hAnsi="Times New Roman" w:cs="Times New Roman"/>
          <w:color w:val="auto"/>
          <w:kern w:val="0"/>
          <w:sz w:val="22"/>
          <w:szCs w:val="22"/>
          <w:u w:val="none"/>
          <w14:ligatures w14:val="none"/>
        </w:rPr>
        <w:t>//doi.org/10.1016/0038-0717(87)90052-6</w:t>
      </w:r>
    </w:p>
    <w:p w14:paraId="6332E677">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Wang MM, Guo XW, Zhang S, Xiao LJ, Mishra U, Yang YH, Zhu B, Wang GC, Mao XL, Qian T, Jiang T, Shi Z, Luo ZK (2022) Global soil profiles indicate depth-dependent soil carbon losses under a warmer climate. Nat Commun 13:5514</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//doi.org/10.1038/s41467-022-33278-w</w:t>
      </w:r>
    </w:p>
    <w:p w14:paraId="32C03DE5">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Wu LW, Zhang Y, Guo X, Ning DL, Zhou XS, Feng JJ, Yuan MTM, Liu S, Guo JJ, Gao ZP, Ma J, Kuang JL, Jian SY, Han S, Yang ZF, Ouyang Y, Fu Y, Xiao NJ, Liu XJ, Wu LY, Zhou AF, Yang YF, Tiedje JM, Zhou JZ (2022) Reduction of microbial diversity in grassland soil is driven by long-term climate warming. Nat Microbiol 7:1054–1062.</w:t>
      </w:r>
      <w:r>
        <w:rPr>
          <w:rFonts w:hint="eastAsia" w:ascii="Times New Roman" w:hAnsi="Times New Roman" w:cs="Times New Roman"/>
          <w:color w:val="auto"/>
          <w:kern w:val="0"/>
          <w:sz w:val="22"/>
          <w:szCs w:val="22"/>
          <w:u w:val="none"/>
          <w:lang w:eastAsia="zh-CN"/>
          <w14:ligatures w14:val="none"/>
        </w:rPr>
        <w:t xml:space="preserve"> https:</w:t>
      </w:r>
      <w:r>
        <w:rPr>
          <w:rFonts w:hint="default" w:ascii="Times New Roman" w:hAnsi="Times New Roman" w:cs="Times New Roman"/>
          <w:color w:val="auto"/>
          <w:kern w:val="0"/>
          <w:sz w:val="22"/>
          <w:szCs w:val="22"/>
          <w:u w:val="none"/>
          <w14:ligatures w14:val="none"/>
        </w:rPr>
        <w:t>//doi.org/10.1038/s41564-022-01147-3</w:t>
      </w:r>
    </w:p>
    <w:p w14:paraId="14134BCB">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Yang Y, Dou YX, Wang BR, Xue ZJ, Wang YQ, An SS, Chang SX (2023) Deciphering factors driving soil microbial life-history strategies in restored grasslands. Imeta 2:e66</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//doi.org/10.1002/imt2.66</w:t>
      </w:r>
    </w:p>
    <w:p w14:paraId="434F56CE">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kern w:val="0"/>
          <w:sz w:val="22"/>
          <w:szCs w:val="22"/>
          <w:u w:val="none"/>
          <w14:ligatures w14:val="none"/>
        </w:rPr>
      </w:pPr>
      <w:r>
        <w:rPr>
          <w:rFonts w:hint="default" w:ascii="Times New Roman" w:hAnsi="Times New Roman" w:cs="Times New Roman"/>
          <w:color w:val="auto"/>
          <w:kern w:val="0"/>
          <w:sz w:val="22"/>
          <w:szCs w:val="22"/>
          <w:u w:val="none"/>
          <w14:ligatures w14:val="none"/>
        </w:rPr>
        <w:t>Zhang H, Jiang N, Wang H, Zhang SY, Zhao JN, Liu HM, Zhang HF, Yang DL (2025) Importance of plant community composition and aboveground biomass in shaping microbial communities following long-term nitrogen and phosphorus addition in a temperate steppe ecosystem. Plant Soil 509:543-560</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//doi.org/10.1007/s11104-024-06881-7</w:t>
      </w:r>
    </w:p>
    <w:p w14:paraId="58F5AF71">
      <w:pPr>
        <w:keepNext w:val="0"/>
        <w:keepLines w:val="0"/>
        <w:pageBreakBefore w:val="0"/>
        <w:kinsoku/>
        <w:wordWrap/>
        <w:overflowPunct/>
        <w:topLinePunct w:val="0"/>
        <w:autoSpaceDE/>
        <w:autoSpaceDN/>
        <w:bidi w:val="0"/>
        <w:adjustRightInd/>
        <w:snapToGrid/>
        <w:spacing w:after="0" w:line="480" w:lineRule="auto"/>
        <w:ind w:left="0" w:hanging="440" w:hangingChars="200"/>
        <w:jc w:val="both"/>
        <w:textAlignment w:val="auto"/>
        <w:rPr>
          <w:rFonts w:hint="default" w:ascii="Times New Roman" w:hAnsi="Times New Roman" w:cs="Times New Roman"/>
          <w:color w:val="auto"/>
          <w:u w:val="none"/>
        </w:rPr>
      </w:pPr>
      <w:r>
        <w:rPr>
          <w:rFonts w:hint="default" w:ascii="Times New Roman" w:hAnsi="Times New Roman" w:cs="Times New Roman"/>
          <w:color w:val="auto"/>
          <w:kern w:val="0"/>
          <w:sz w:val="22"/>
          <w:szCs w:val="22"/>
          <w:u w:val="none"/>
          <w14:ligatures w14:val="none"/>
        </w:rPr>
        <w:t xml:space="preserve">Zhou J, Liu Y, Liu CY, Zamanian K, Feng WH, Steiner SK, Shi LL, Guillaume T, Kumar A (2024) Necromass responses to warming: </w:t>
      </w:r>
      <w:r>
        <w:rPr>
          <w:rFonts w:hint="default" w:ascii="Times New Roman" w:hAnsi="Times New Roman" w:cs="Times New Roman"/>
          <w:color w:val="auto"/>
          <w:kern w:val="0"/>
          <w:sz w:val="22"/>
          <w:szCs w:val="22"/>
          <w:u w:val="none"/>
          <w:lang w:val="en-US" w:eastAsia="zh-CN"/>
          <w14:ligatures w14:val="none"/>
        </w:rPr>
        <w:t>a</w:t>
      </w:r>
      <w:r>
        <w:rPr>
          <w:rFonts w:hint="default" w:ascii="Times New Roman" w:hAnsi="Times New Roman" w:cs="Times New Roman"/>
          <w:color w:val="auto"/>
          <w:kern w:val="0"/>
          <w:sz w:val="22"/>
          <w:szCs w:val="22"/>
          <w:u w:val="none"/>
          <w14:ligatures w14:val="none"/>
        </w:rPr>
        <w:t xml:space="preserve"> faster microbial turnover in favor of soil carbon stabilisation. Sci Total Environ 954:176651-176651</w:t>
      </w:r>
      <w:r>
        <w:rPr>
          <w:rFonts w:hint="eastAsia" w:ascii="Times New Roman" w:hAnsi="Times New Roman" w:cs="Times New Roman"/>
          <w:color w:val="auto"/>
          <w:kern w:val="0"/>
          <w:sz w:val="22"/>
          <w:szCs w:val="22"/>
          <w:u w:val="none"/>
          <w:lang w:eastAsia="zh-CN"/>
          <w14:ligatures w14:val="none"/>
        </w:rPr>
        <w:t>. https:</w:t>
      </w:r>
      <w:r>
        <w:rPr>
          <w:rFonts w:hint="default" w:ascii="Times New Roman" w:hAnsi="Times New Roman" w:cs="Times New Roman"/>
          <w:color w:val="auto"/>
          <w:kern w:val="0"/>
          <w:sz w:val="22"/>
          <w:szCs w:val="22"/>
          <w:u w:val="none"/>
          <w14:ligatures w14:val="none"/>
        </w:rPr>
        <w:t>//doi.org/10.1016/j.scitotenv.2024.176651</w:t>
      </w:r>
    </w:p>
    <w:sectPr>
      <w:footerReference r:id="rId6" w:type="default"/>
      <w:pgSz w:w="11906" w:h="16838"/>
      <w:pgMar w:top="1440" w:right="1800" w:bottom="1440" w:left="1800" w:header="851" w:footer="992" w:gutter="0"/>
      <w:lnNumType w:countBy="1" w:restart="continuous"/>
      <w:cols w:space="0" w:num="1"/>
      <w:docGrid w:type="lines" w:linePitch="34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
    <w:altName w:val="Verdana"/>
    <w:panose1 w:val="02010601000101010101"/>
    <w:charset w:val="00"/>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2A46F">
    <w:pPr>
      <w:pStyle w:val="3"/>
      <w:jc w:val="right"/>
    </w:pPr>
  </w:p>
  <w:p w14:paraId="2B0B2D3D">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D10A8">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F98"/>
    <w:rsid w:val="00120F98"/>
    <w:rsid w:val="00257266"/>
    <w:rsid w:val="002E3A47"/>
    <w:rsid w:val="00793012"/>
    <w:rsid w:val="00797069"/>
    <w:rsid w:val="00865EE6"/>
    <w:rsid w:val="009257B1"/>
    <w:rsid w:val="00B436AB"/>
    <w:rsid w:val="00C573E8"/>
    <w:rsid w:val="00EA14F6"/>
    <w:rsid w:val="00FA5EA9"/>
    <w:rsid w:val="02A617B1"/>
    <w:rsid w:val="02D768EE"/>
    <w:rsid w:val="05581F66"/>
    <w:rsid w:val="077920A0"/>
    <w:rsid w:val="0A2F5653"/>
    <w:rsid w:val="179D1406"/>
    <w:rsid w:val="18235BA0"/>
    <w:rsid w:val="182C5309"/>
    <w:rsid w:val="1DEB53BB"/>
    <w:rsid w:val="1EFC0D39"/>
    <w:rsid w:val="2B8B3632"/>
    <w:rsid w:val="2E106686"/>
    <w:rsid w:val="2F355B48"/>
    <w:rsid w:val="2F590841"/>
    <w:rsid w:val="32C03AAF"/>
    <w:rsid w:val="37600592"/>
    <w:rsid w:val="3B331317"/>
    <w:rsid w:val="3BA26E11"/>
    <w:rsid w:val="3D485F44"/>
    <w:rsid w:val="48485464"/>
    <w:rsid w:val="492B03C7"/>
    <w:rsid w:val="4B4734B2"/>
    <w:rsid w:val="4C780D32"/>
    <w:rsid w:val="4C9C7084"/>
    <w:rsid w:val="4CDF1709"/>
    <w:rsid w:val="4DEC3331"/>
    <w:rsid w:val="5631541D"/>
    <w:rsid w:val="5A0107CA"/>
    <w:rsid w:val="5A745EDA"/>
    <w:rsid w:val="5B0D45A0"/>
    <w:rsid w:val="5BED75C8"/>
    <w:rsid w:val="5CAC7619"/>
    <w:rsid w:val="5F442D0A"/>
    <w:rsid w:val="5F67515A"/>
    <w:rsid w:val="62202420"/>
    <w:rsid w:val="68FC420F"/>
    <w:rsid w:val="69062479"/>
    <w:rsid w:val="6A5A06B4"/>
    <w:rsid w:val="6B706E29"/>
    <w:rsid w:val="6D336195"/>
    <w:rsid w:val="6E723284"/>
    <w:rsid w:val="772675C4"/>
    <w:rsid w:val="7CE3278B"/>
    <w:rsid w:val="7F050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qFormat/>
    <w:uiPriority w:val="9"/>
    <w:pPr>
      <w:keepNext/>
      <w:keepLines/>
      <w:spacing w:before="240" w:after="220" w:line="480" w:lineRule="auto"/>
      <w:outlineLvl w:val="0"/>
    </w:pPr>
    <w:rPr>
      <w:rFonts w:ascii="Times New Roman" w:hAnsi="Times New Roman" w:eastAsia="Times New Roman"/>
      <w:b/>
      <w:bCs/>
      <w:kern w:val="44"/>
      <w:sz w:val="24"/>
      <w:szCs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uto"/>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96607D"/>
      <w:u w:val="single"/>
    </w:rPr>
  </w:style>
  <w:style w:type="character" w:styleId="9">
    <w:name w:val="Hyperlink"/>
    <w:basedOn w:val="7"/>
    <w:qFormat/>
    <w:uiPriority w:val="0"/>
    <w:rPr>
      <w:color w:val="0000FF"/>
      <w:u w:val="single"/>
    </w:rPr>
  </w:style>
  <w:style w:type="paragraph" w:customStyle="1" w:styleId="10">
    <w:name w:val="EndNote Bibliography"/>
    <w:basedOn w:val="1"/>
    <w:link w:val="11"/>
    <w:qFormat/>
    <w:uiPriority w:val="0"/>
    <w:pPr>
      <w:spacing w:line="240" w:lineRule="auto"/>
    </w:pPr>
    <w:rPr>
      <w:rFonts w:hint="eastAsia" w:ascii="等线" w:hAnsi="等线" w:eastAsia="等线" w:cs="Times New Roman"/>
    </w:rPr>
  </w:style>
  <w:style w:type="character" w:customStyle="1" w:styleId="11">
    <w:name w:val="EndNote Bibliography 字符"/>
    <w:basedOn w:val="7"/>
    <w:link w:val="10"/>
    <w:qFormat/>
    <w:uiPriority w:val="0"/>
    <w:rPr>
      <w:rFonts w:hint="eastAsia" w:ascii="等线" w:hAnsi="等线" w:eastAsia="等线" w:cs="等线"/>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tif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2319</Words>
  <Characters>13350</Characters>
  <Lines>607</Lines>
  <Paragraphs>470</Paragraphs>
  <TotalTime>0</TotalTime>
  <ScaleCrop>false</ScaleCrop>
  <LinksUpToDate>false</LinksUpToDate>
  <CharactersWithSpaces>15275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2025-08-02T14:22:00Z</dcterms:created>
  <dc:creator>16489</dc:creator>
  <cp:lastModifiedBy>小婷 付</cp:lastModifiedBy>
  <dcterms:modified xsi:type="dcterms:W3CDTF">2025-09-15T12:02:50Z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eyJoZGlkIjoiZjAyODQ5MWJmY2UzMDA1ZGE2Y2Y3ZDgzNGE0MjI5MmIiLCJ1c2VySWQiOiI5MTU2NDE4NTgifQ==</vt:lpwstr>
  </property>
  <property fmtid="{D5CDD505-2E9C-101B-9397-08002B2CF9AE}" pid="4" name="ICV">
    <vt:lpwstr>C4659D4EFC2E4AC18107AF294FCA40C8_12</vt:lpwstr>
  </property>
</Properties>
</file>