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CE024" w14:textId="77777777" w:rsidR="00A404C9" w:rsidRPr="00A404C9" w:rsidRDefault="00A404C9" w:rsidP="00A404C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32"/>
        </w:rPr>
      </w:pPr>
      <w:r w:rsidRPr="00A404C9">
        <w:rPr>
          <w:rFonts w:ascii="Times New Roman" w:hAnsi="Times New Roman" w:cs="Times New Roman"/>
          <w:b/>
          <w:bCs/>
          <w:sz w:val="24"/>
          <w:szCs w:val="32"/>
        </w:rPr>
        <w:t>Supplementary Materials</w:t>
      </w:r>
    </w:p>
    <w:p w14:paraId="535B319F" w14:textId="77777777" w:rsidR="00A404C9" w:rsidRPr="00A404C9" w:rsidRDefault="00A404C9" w:rsidP="00A404C9">
      <w:pPr>
        <w:spacing w:line="360" w:lineRule="auto"/>
        <w:rPr>
          <w:rFonts w:ascii="Times New Roman" w:hAnsi="Times New Roman" w:cs="Times New Roman"/>
          <w:sz w:val="24"/>
        </w:rPr>
      </w:pPr>
      <w:r w:rsidRPr="00A404C9">
        <w:rPr>
          <w:rFonts w:ascii="Times New Roman" w:hAnsi="Times New Roman" w:cs="Times New Roman"/>
          <w:sz w:val="24"/>
        </w:rPr>
        <w:t>Figure S1. Subgroup analysis of the association between RCII and risk of MAFLD.</w:t>
      </w:r>
    </w:p>
    <w:p w14:paraId="4001DF90" w14:textId="77777777" w:rsidR="00A404C9" w:rsidRPr="00A404C9" w:rsidRDefault="00A404C9" w:rsidP="00A404C9">
      <w:pPr>
        <w:spacing w:line="360" w:lineRule="auto"/>
        <w:rPr>
          <w:rFonts w:ascii="Times New Roman" w:hAnsi="Times New Roman" w:cs="Times New Roman"/>
          <w:sz w:val="24"/>
        </w:rPr>
      </w:pPr>
      <w:r w:rsidRPr="00A404C9">
        <w:rPr>
          <w:rFonts w:ascii="Times New Roman" w:hAnsi="Times New Roman" w:cs="Times New Roman"/>
          <w:sz w:val="24"/>
        </w:rPr>
        <w:t>Figure S2. Subgroup analysis of the association between RCII and all-cause mortality risk in patients with MAFLD.</w:t>
      </w:r>
    </w:p>
    <w:p w14:paraId="3DA3D70F" w14:textId="77777777" w:rsidR="00A404C9" w:rsidRPr="00A404C9" w:rsidRDefault="00A404C9" w:rsidP="00A404C9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A404C9">
        <w:rPr>
          <w:rFonts w:ascii="Times New Roman" w:eastAsia="宋体" w:hAnsi="Times New Roman" w:cs="Times New Roman"/>
          <w:sz w:val="24"/>
        </w:rPr>
        <w:t>Figure S3. Subgroup analysis of the association between RCII and cardiovascular mortality risk in patients with MAFLD.</w:t>
      </w:r>
    </w:p>
    <w:p w14:paraId="7024BE03" w14:textId="77777777" w:rsidR="00A404C9" w:rsidRPr="00A404C9" w:rsidRDefault="00A404C9" w:rsidP="00A404C9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A404C9">
        <w:rPr>
          <w:rFonts w:ascii="Times New Roman" w:eastAsia="宋体" w:hAnsi="Times New Roman" w:cs="Times New Roman"/>
          <w:sz w:val="24"/>
        </w:rPr>
        <w:t>Figure S4. Subgroup analysis of the association between RCII and premature mortality risk in patients with MAFLD.</w:t>
      </w:r>
    </w:p>
    <w:p w14:paraId="3BC54FCE" w14:textId="5A3DC5D2" w:rsidR="00A404C9" w:rsidRPr="00A404C9" w:rsidRDefault="00A404C9" w:rsidP="00A404C9">
      <w:pPr>
        <w:spacing w:line="360" w:lineRule="auto"/>
        <w:rPr>
          <w:rFonts w:ascii="Times New Roman" w:hAnsi="Times New Roman" w:cs="Times New Roman"/>
          <w:sz w:val="24"/>
        </w:rPr>
      </w:pPr>
      <w:r w:rsidRPr="00A404C9">
        <w:rPr>
          <w:rFonts w:ascii="Times New Roman" w:hAnsi="Times New Roman" w:cs="Times New Roman"/>
          <w:sz w:val="24"/>
        </w:rPr>
        <w:t>Figure S</w:t>
      </w:r>
      <w:r w:rsidRPr="00A404C9">
        <w:rPr>
          <w:rFonts w:ascii="Times New Roman" w:hAnsi="Times New Roman" w:cs="Times New Roman" w:hint="eastAsia"/>
          <w:sz w:val="24"/>
        </w:rPr>
        <w:t>5</w:t>
      </w:r>
      <w:r w:rsidRPr="00A404C9">
        <w:rPr>
          <w:rFonts w:ascii="Times New Roman" w:hAnsi="Times New Roman" w:cs="Times New Roman"/>
          <w:sz w:val="24"/>
        </w:rPr>
        <w:t>. Mendelian randomization analysis of the causal association between total cholesterol and MAFLD.</w:t>
      </w:r>
    </w:p>
    <w:p w14:paraId="022EF6AB" w14:textId="6CBB8F06" w:rsidR="00A404C9" w:rsidRPr="00A404C9" w:rsidRDefault="00A404C9" w:rsidP="00A404C9">
      <w:pPr>
        <w:spacing w:line="360" w:lineRule="auto"/>
        <w:rPr>
          <w:rFonts w:ascii="Times New Roman" w:hAnsi="Times New Roman" w:cs="Times New Roman"/>
          <w:sz w:val="24"/>
        </w:rPr>
      </w:pPr>
      <w:r w:rsidRPr="00A404C9">
        <w:rPr>
          <w:rFonts w:ascii="Times New Roman" w:hAnsi="Times New Roman" w:cs="Times New Roman"/>
          <w:sz w:val="24"/>
        </w:rPr>
        <w:t>Figure S</w:t>
      </w:r>
      <w:r w:rsidRPr="00A404C9">
        <w:rPr>
          <w:rFonts w:ascii="Times New Roman" w:hAnsi="Times New Roman" w:cs="Times New Roman" w:hint="eastAsia"/>
          <w:sz w:val="24"/>
        </w:rPr>
        <w:t>6</w:t>
      </w:r>
      <w:r w:rsidRPr="00A404C9">
        <w:rPr>
          <w:rFonts w:ascii="Times New Roman" w:hAnsi="Times New Roman" w:cs="Times New Roman"/>
          <w:sz w:val="24"/>
        </w:rPr>
        <w:t>. Mendelian randomization analysis of the causal association between LDL-C and MAFLD</w:t>
      </w:r>
    </w:p>
    <w:p w14:paraId="35A96221" w14:textId="13116E0D" w:rsidR="00A404C9" w:rsidRPr="00A404C9" w:rsidRDefault="00A404C9" w:rsidP="00A404C9">
      <w:pPr>
        <w:spacing w:line="360" w:lineRule="auto"/>
        <w:rPr>
          <w:rFonts w:ascii="Times New Roman" w:hAnsi="Times New Roman" w:cs="Times New Roman"/>
          <w:sz w:val="24"/>
        </w:rPr>
      </w:pPr>
      <w:r w:rsidRPr="00A404C9">
        <w:rPr>
          <w:rFonts w:ascii="Times New Roman" w:hAnsi="Times New Roman" w:cs="Times New Roman"/>
          <w:sz w:val="24"/>
        </w:rPr>
        <w:t>Figure S</w:t>
      </w:r>
      <w:r w:rsidRPr="00A404C9">
        <w:rPr>
          <w:rFonts w:ascii="Times New Roman" w:hAnsi="Times New Roman" w:cs="Times New Roman" w:hint="eastAsia"/>
          <w:sz w:val="24"/>
        </w:rPr>
        <w:t>7</w:t>
      </w:r>
      <w:r w:rsidRPr="00A404C9">
        <w:rPr>
          <w:rFonts w:ascii="Times New Roman" w:hAnsi="Times New Roman" w:cs="Times New Roman"/>
          <w:sz w:val="24"/>
        </w:rPr>
        <w:t>. Mendelian randomization analysis of the causal association between HDL-C and MAFLD</w:t>
      </w:r>
    </w:p>
    <w:p w14:paraId="61B5CC57" w14:textId="301B56AB" w:rsidR="00A404C9" w:rsidRPr="00A404C9" w:rsidRDefault="00A404C9" w:rsidP="00A404C9">
      <w:pPr>
        <w:spacing w:line="360" w:lineRule="auto"/>
        <w:rPr>
          <w:rFonts w:ascii="Times New Roman" w:hAnsi="Times New Roman" w:cs="Times New Roman"/>
          <w:sz w:val="24"/>
        </w:rPr>
      </w:pPr>
      <w:r w:rsidRPr="00A404C9">
        <w:rPr>
          <w:rFonts w:ascii="Times New Roman" w:hAnsi="Times New Roman" w:cs="Times New Roman"/>
          <w:sz w:val="24"/>
        </w:rPr>
        <w:t>Figure S</w:t>
      </w:r>
      <w:r w:rsidRPr="00A404C9">
        <w:rPr>
          <w:rFonts w:ascii="Times New Roman" w:hAnsi="Times New Roman" w:cs="Times New Roman" w:hint="eastAsia"/>
          <w:sz w:val="24"/>
        </w:rPr>
        <w:t>8</w:t>
      </w:r>
      <w:r w:rsidRPr="00A404C9">
        <w:rPr>
          <w:rFonts w:ascii="Times New Roman" w:hAnsi="Times New Roman" w:cs="Times New Roman"/>
          <w:sz w:val="24"/>
        </w:rPr>
        <w:t>. Mendelian randomization analysis of the causal association between CRP and MAFLD.</w:t>
      </w:r>
    </w:p>
    <w:p w14:paraId="491ED7A2" w14:textId="77777777" w:rsidR="00A404C9" w:rsidRPr="00A404C9" w:rsidRDefault="00A404C9" w:rsidP="00A404C9">
      <w:pPr>
        <w:spacing w:line="360" w:lineRule="auto"/>
        <w:rPr>
          <w:rFonts w:ascii="Times New Roman" w:hAnsi="Times New Roman" w:cs="Times New Roman"/>
          <w:sz w:val="24"/>
        </w:rPr>
      </w:pPr>
      <w:r w:rsidRPr="00A404C9">
        <w:rPr>
          <w:rFonts w:ascii="Times New Roman" w:hAnsi="Times New Roman" w:cs="Times New Roman"/>
          <w:sz w:val="24"/>
        </w:rPr>
        <w:t>Figure S9. Key variables associated with MAFLD identified by the Boruta algorithm</w:t>
      </w:r>
    </w:p>
    <w:p w14:paraId="27D4786C" w14:textId="77777777" w:rsidR="00A404C9" w:rsidRPr="00A404C9" w:rsidRDefault="00A404C9" w:rsidP="00A404C9">
      <w:pPr>
        <w:spacing w:line="360" w:lineRule="auto"/>
        <w:rPr>
          <w:rFonts w:ascii="Times New Roman" w:hAnsi="Times New Roman" w:cs="Times New Roman"/>
          <w:sz w:val="24"/>
        </w:rPr>
      </w:pPr>
      <w:r w:rsidRPr="00A404C9">
        <w:rPr>
          <w:rFonts w:ascii="Times New Roman" w:eastAsia="宋体" w:hAnsi="Times New Roman" w:cs="Times New Roman"/>
          <w:sz w:val="24"/>
        </w:rPr>
        <w:t xml:space="preserve">Table S1. Estimated </w:t>
      </w:r>
      <w:r w:rsidRPr="00A404C9">
        <w:rPr>
          <w:rFonts w:ascii="Times New Roman" w:eastAsia="宋体" w:hAnsi="Times New Roman" w:cs="Times New Roman" w:hint="eastAsia"/>
          <w:sz w:val="24"/>
        </w:rPr>
        <w:t>m</w:t>
      </w:r>
      <w:r w:rsidRPr="00A404C9">
        <w:rPr>
          <w:rFonts w:ascii="Times New Roman" w:eastAsia="宋体" w:hAnsi="Times New Roman" w:cs="Times New Roman"/>
          <w:sz w:val="24"/>
        </w:rPr>
        <w:t xml:space="preserve">ediation </w:t>
      </w:r>
      <w:r w:rsidRPr="00A404C9">
        <w:rPr>
          <w:rFonts w:ascii="Times New Roman" w:eastAsia="宋体" w:hAnsi="Times New Roman" w:cs="Times New Roman" w:hint="eastAsia"/>
          <w:sz w:val="24"/>
        </w:rPr>
        <w:t>e</w:t>
      </w:r>
      <w:r w:rsidRPr="00A404C9">
        <w:rPr>
          <w:rFonts w:ascii="Times New Roman" w:eastAsia="宋体" w:hAnsi="Times New Roman" w:cs="Times New Roman"/>
          <w:sz w:val="24"/>
        </w:rPr>
        <w:t xml:space="preserve">ffects of FPG on the </w:t>
      </w:r>
      <w:r w:rsidRPr="00A404C9">
        <w:rPr>
          <w:rFonts w:ascii="Times New Roman" w:eastAsia="宋体" w:hAnsi="Times New Roman" w:cs="Times New Roman" w:hint="eastAsia"/>
          <w:sz w:val="24"/>
        </w:rPr>
        <w:t>a</w:t>
      </w:r>
      <w:r w:rsidRPr="00A404C9">
        <w:rPr>
          <w:rFonts w:ascii="Times New Roman" w:eastAsia="宋体" w:hAnsi="Times New Roman" w:cs="Times New Roman"/>
          <w:sz w:val="24"/>
        </w:rPr>
        <w:t xml:space="preserve">ssociations </w:t>
      </w:r>
      <w:r w:rsidRPr="00A404C9">
        <w:rPr>
          <w:rFonts w:ascii="Times New Roman" w:eastAsia="宋体" w:hAnsi="Times New Roman" w:cs="Times New Roman" w:hint="eastAsia"/>
          <w:sz w:val="24"/>
        </w:rPr>
        <w:t>b</w:t>
      </w:r>
      <w:r w:rsidRPr="00A404C9">
        <w:rPr>
          <w:rFonts w:ascii="Times New Roman" w:eastAsia="宋体" w:hAnsi="Times New Roman" w:cs="Times New Roman"/>
          <w:sz w:val="24"/>
        </w:rPr>
        <w:t xml:space="preserve">etween RCII and MAFLD or </w:t>
      </w:r>
      <w:r w:rsidRPr="00A404C9">
        <w:rPr>
          <w:rFonts w:ascii="Times New Roman" w:eastAsia="宋体" w:hAnsi="Times New Roman" w:cs="Times New Roman" w:hint="eastAsia"/>
          <w:sz w:val="24"/>
        </w:rPr>
        <w:t>related m</w:t>
      </w:r>
      <w:r w:rsidRPr="00A404C9">
        <w:rPr>
          <w:rFonts w:ascii="Times New Roman" w:eastAsia="宋体" w:hAnsi="Times New Roman" w:cs="Times New Roman"/>
          <w:sz w:val="24"/>
        </w:rPr>
        <w:t xml:space="preserve">ortality </w:t>
      </w:r>
      <w:r w:rsidRPr="00A404C9">
        <w:rPr>
          <w:rFonts w:ascii="Times New Roman" w:eastAsia="宋体" w:hAnsi="Times New Roman" w:cs="Times New Roman" w:hint="eastAsia"/>
          <w:sz w:val="24"/>
        </w:rPr>
        <w:t>o</w:t>
      </w:r>
      <w:r w:rsidRPr="00A404C9">
        <w:rPr>
          <w:rFonts w:ascii="Times New Roman" w:eastAsia="宋体" w:hAnsi="Times New Roman" w:cs="Times New Roman"/>
          <w:sz w:val="24"/>
        </w:rPr>
        <w:t>utcomes</w:t>
      </w:r>
    </w:p>
    <w:p w14:paraId="169118BB" w14:textId="77777777" w:rsidR="00A404C9" w:rsidRDefault="00A404C9" w:rsidP="00A404C9">
      <w:pPr>
        <w:jc w:val="left"/>
        <w:rPr>
          <w:rFonts w:ascii="Times New Roman" w:hAnsi="Times New Roman" w:cs="Times New Roman"/>
        </w:rPr>
      </w:pPr>
    </w:p>
    <w:p w14:paraId="2B52E0C3" w14:textId="77777777" w:rsidR="00A404C9" w:rsidRDefault="00A404C9" w:rsidP="00A404C9">
      <w:pPr>
        <w:jc w:val="left"/>
        <w:rPr>
          <w:rFonts w:ascii="Times New Roman" w:hAnsi="Times New Roman" w:cs="Times New Roman"/>
        </w:rPr>
        <w:sectPr w:rsidR="00A404C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51E0281" w14:textId="77777777" w:rsidR="00A404C9" w:rsidRDefault="00A404C9" w:rsidP="00A404C9">
      <w:pPr>
        <w:jc w:val="left"/>
        <w:rPr>
          <w:rFonts w:ascii="Times New Roman" w:hAnsi="Times New Roman" w:cs="Times New Roman"/>
        </w:rPr>
      </w:pPr>
    </w:p>
    <w:p w14:paraId="227979CF" w14:textId="576E7F7F" w:rsidR="002B5959" w:rsidRDefault="002B5959" w:rsidP="00A404C9">
      <w:pPr>
        <w:jc w:val="left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114300" distR="114300" wp14:anchorId="706CA1A2" wp14:editId="1281C2B5">
            <wp:extent cx="5271135" cy="4255770"/>
            <wp:effectExtent l="0" t="0" r="12065" b="11430"/>
            <wp:docPr id="9" name="图片 8" descr="Figure S1_forest_sub_group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Figure S1_forest_sub_group_0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1EA82" w14:textId="63C7AEC6" w:rsidR="00DA4CE3" w:rsidRDefault="00000000" w:rsidP="002B5959">
      <w:pPr>
        <w:rPr>
          <w:rFonts w:ascii="Times New Roman" w:eastAsia="等线" w:hAnsi="Times New Roman" w:cs="Times New Roman"/>
          <w:color w:val="000000"/>
          <w:sz w:val="22"/>
          <w:szCs w:val="22"/>
        </w:rPr>
      </w:pPr>
      <w:r w:rsidRPr="00DA4CE3">
        <w:rPr>
          <w:rFonts w:ascii="Times New Roman" w:hAnsi="Times New Roman" w:cs="Times New Roman"/>
          <w:sz w:val="22"/>
          <w:szCs w:val="22"/>
        </w:rPr>
        <w:t>Figure S1. Subgroup analysis of the association between RCII and risk of MAFLD.</w:t>
      </w:r>
      <w:r w:rsidR="00DA4CE3" w:rsidRPr="00DA4CE3">
        <w:rPr>
          <w:rFonts w:ascii="Times New Roman" w:hAnsi="Times New Roman" w:cs="Times New Roman"/>
          <w:sz w:val="22"/>
          <w:szCs w:val="22"/>
        </w:rPr>
        <w:t xml:space="preserve"> </w:t>
      </w:r>
      <w:r w:rsidR="00DA4CE3" w:rsidRPr="00DA4CE3">
        <w:rPr>
          <w:rFonts w:ascii="Times New Roman" w:eastAsia="等线" w:hAnsi="Times New Roman" w:cs="Times New Roman"/>
          <w:color w:val="000000"/>
          <w:sz w:val="22"/>
          <w:szCs w:val="22"/>
        </w:rPr>
        <w:t>RCII</w:t>
      </w:r>
      <w:r w:rsidR="00DA4CE3" w:rsidRPr="00DA4CE3">
        <w:rPr>
          <w:rFonts w:ascii="Times New Roman" w:eastAsia="等线" w:hAnsi="Times New Roman" w:cs="Times New Roman"/>
          <w:color w:val="000000"/>
          <w:sz w:val="22"/>
          <w:szCs w:val="22"/>
        </w:rPr>
        <w:t xml:space="preserve">, </w:t>
      </w:r>
      <w:r w:rsidR="00DA4CE3" w:rsidRPr="00DA4CE3">
        <w:rPr>
          <w:rFonts w:ascii="Times New Roman" w:eastAsia="等线" w:hAnsi="Times New Roman" w:cs="Times New Roman"/>
          <w:color w:val="000000"/>
          <w:sz w:val="22"/>
          <w:szCs w:val="22"/>
        </w:rPr>
        <w:t>Residual cholesterol-inflammation index</w:t>
      </w:r>
      <w:r w:rsidR="00DA4CE3" w:rsidRPr="00DA4CE3">
        <w:rPr>
          <w:rFonts w:ascii="Times New Roman" w:eastAsia="等线" w:hAnsi="Times New Roman" w:cs="Times New Roman"/>
          <w:color w:val="000000"/>
          <w:sz w:val="22"/>
          <w:szCs w:val="22"/>
        </w:rPr>
        <w:t xml:space="preserve">; </w:t>
      </w:r>
      <w:r w:rsidR="00DA4CE3" w:rsidRPr="00DA4CE3">
        <w:rPr>
          <w:rFonts w:ascii="Times New Roman" w:hAnsi="Times New Roman" w:cs="Times New Roman"/>
          <w:sz w:val="22"/>
          <w:szCs w:val="22"/>
        </w:rPr>
        <w:t>MAFLD</w:t>
      </w:r>
      <w:r w:rsidR="00DA4CE3" w:rsidRPr="00DA4CE3">
        <w:rPr>
          <w:rFonts w:ascii="Times New Roman" w:hAnsi="Times New Roman" w:cs="Times New Roman"/>
          <w:sz w:val="22"/>
          <w:szCs w:val="22"/>
        </w:rPr>
        <w:t xml:space="preserve">, </w:t>
      </w:r>
      <w:r w:rsidR="00DA4CE3" w:rsidRPr="00DA4CE3">
        <w:rPr>
          <w:rFonts w:ascii="Times New Roman" w:eastAsia="等线" w:hAnsi="Times New Roman" w:cs="Times New Roman"/>
          <w:color w:val="000000"/>
          <w:sz w:val="22"/>
          <w:szCs w:val="22"/>
        </w:rPr>
        <w:t>Metabolic dysfunction-associated fatty liver disease</w:t>
      </w:r>
      <w:r w:rsidR="00DA4CE3">
        <w:rPr>
          <w:rFonts w:ascii="Times New Roman" w:eastAsia="等线" w:hAnsi="Times New Roman" w:cs="Times New Roman"/>
          <w:color w:val="000000"/>
          <w:sz w:val="22"/>
          <w:szCs w:val="22"/>
        </w:rPr>
        <w:br w:type="page"/>
      </w:r>
    </w:p>
    <w:p w14:paraId="6BACC67B" w14:textId="77777777" w:rsidR="00770BE4" w:rsidRDefault="0000000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D593932" wp14:editId="72F40A74">
            <wp:simplePos x="0" y="0"/>
            <wp:positionH relativeFrom="column">
              <wp:posOffset>154305</wp:posOffset>
            </wp:positionH>
            <wp:positionV relativeFrom="paragraph">
              <wp:posOffset>73660</wp:posOffset>
            </wp:positionV>
            <wp:extent cx="4956175" cy="4001770"/>
            <wp:effectExtent l="0" t="0" r="0" b="0"/>
            <wp:wrapTopAndBottom/>
            <wp:docPr id="5" name="图片 1" descr="Figure S2_forest_sub_group_all_casue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Figure S2_forest_sub_group_all_casue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ACDDBE" w14:textId="157F4C62" w:rsidR="00DA4CE3" w:rsidRDefault="00000000" w:rsidP="002B5959">
      <w:pPr>
        <w:rPr>
          <w:rFonts w:ascii="Times New Roman" w:hAnsi="Times New Roman" w:cs="Times New Roman"/>
          <w:sz w:val="22"/>
          <w:szCs w:val="22"/>
        </w:rPr>
      </w:pPr>
      <w:r w:rsidRPr="00DA4CE3">
        <w:rPr>
          <w:rFonts w:ascii="Times New Roman" w:hAnsi="Times New Roman" w:cs="Times New Roman"/>
          <w:sz w:val="22"/>
          <w:szCs w:val="22"/>
        </w:rPr>
        <w:t>Figure S2. Subgroup analysis of the association between RCII and all-cause mortality risk in patients with MAFLD.</w:t>
      </w:r>
      <w:r w:rsidR="00DA4CE3" w:rsidRPr="00DA4CE3">
        <w:rPr>
          <w:rFonts w:ascii="Times New Roman" w:hAnsi="Times New Roman" w:cs="Times New Roman" w:hint="eastAsia"/>
          <w:sz w:val="22"/>
          <w:szCs w:val="22"/>
        </w:rPr>
        <w:t xml:space="preserve"> </w:t>
      </w:r>
      <w:r w:rsidR="00DA4CE3" w:rsidRPr="00DA4CE3">
        <w:rPr>
          <w:rFonts w:ascii="Times New Roman" w:eastAsia="等线" w:hAnsi="Times New Roman" w:cs="Times New Roman"/>
          <w:color w:val="000000"/>
          <w:sz w:val="22"/>
          <w:szCs w:val="22"/>
        </w:rPr>
        <w:t xml:space="preserve">RCII, Residual cholesterol-inflammation index; </w:t>
      </w:r>
      <w:r w:rsidR="00DA4CE3" w:rsidRPr="00DA4CE3">
        <w:rPr>
          <w:rFonts w:ascii="Times New Roman" w:hAnsi="Times New Roman" w:cs="Times New Roman"/>
          <w:sz w:val="22"/>
          <w:szCs w:val="22"/>
        </w:rPr>
        <w:t xml:space="preserve">MAFLD, </w:t>
      </w:r>
      <w:r w:rsidR="00DA4CE3" w:rsidRPr="00DA4CE3">
        <w:rPr>
          <w:rFonts w:ascii="Times New Roman" w:eastAsia="等线" w:hAnsi="Times New Roman" w:cs="Times New Roman"/>
          <w:color w:val="000000"/>
          <w:sz w:val="22"/>
          <w:szCs w:val="22"/>
        </w:rPr>
        <w:t>Metabolic dysfunction-associated fatty liver disease</w:t>
      </w:r>
      <w:r w:rsidR="00DA4CE3">
        <w:rPr>
          <w:rFonts w:ascii="Times New Roman" w:hAnsi="Times New Roman" w:cs="Times New Roman"/>
          <w:sz w:val="22"/>
          <w:szCs w:val="22"/>
        </w:rPr>
        <w:br w:type="page"/>
      </w:r>
    </w:p>
    <w:p w14:paraId="6FC3B124" w14:textId="77777777" w:rsidR="00770BE4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1741F56F" wp14:editId="58716F60">
            <wp:extent cx="5126355" cy="4145915"/>
            <wp:effectExtent l="0" t="0" r="4445" b="6985"/>
            <wp:docPr id="6" name="图片 1" descr="Figure S3_forest_sub_group_cvd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Figure S3_forest_sub_group_cvd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7D18A" w14:textId="3DFE40B7" w:rsidR="00DA4CE3" w:rsidRDefault="00000000" w:rsidP="00DA4CE3">
      <w:pPr>
        <w:rPr>
          <w:rFonts w:ascii="Times New Roman" w:eastAsia="等线" w:hAnsi="Times New Roman" w:cs="Times New Roman"/>
          <w:color w:val="000000"/>
          <w:sz w:val="22"/>
          <w:szCs w:val="22"/>
        </w:rPr>
      </w:pPr>
      <w:r w:rsidRPr="00DA4CE3">
        <w:rPr>
          <w:rFonts w:ascii="Times New Roman" w:eastAsia="宋体" w:hAnsi="Times New Roman" w:cs="Times New Roman"/>
          <w:sz w:val="22"/>
          <w:szCs w:val="22"/>
        </w:rPr>
        <w:t>Figure S3. Subgroup analysis of the association between RCII and cardiovascular mortality risk in patients with MAFLD.</w:t>
      </w:r>
      <w:r w:rsidR="00DA4CE3" w:rsidRPr="00DA4CE3">
        <w:rPr>
          <w:rFonts w:ascii="Times New Roman" w:eastAsia="宋体" w:hAnsi="Times New Roman" w:cs="Times New Roman" w:hint="eastAsia"/>
          <w:sz w:val="22"/>
          <w:szCs w:val="22"/>
        </w:rPr>
        <w:t xml:space="preserve"> </w:t>
      </w:r>
      <w:r w:rsidR="00DA4CE3" w:rsidRPr="00DA4CE3">
        <w:rPr>
          <w:rFonts w:ascii="Times New Roman" w:eastAsia="等线" w:hAnsi="Times New Roman" w:cs="Times New Roman"/>
          <w:color w:val="000000"/>
          <w:sz w:val="22"/>
          <w:szCs w:val="22"/>
        </w:rPr>
        <w:t xml:space="preserve">RCII, Residual cholesterol-inflammation index; </w:t>
      </w:r>
      <w:r w:rsidR="00DA4CE3" w:rsidRPr="00DA4CE3">
        <w:rPr>
          <w:rFonts w:ascii="Times New Roman" w:hAnsi="Times New Roman" w:cs="Times New Roman"/>
          <w:sz w:val="22"/>
          <w:szCs w:val="22"/>
        </w:rPr>
        <w:t xml:space="preserve">MAFLD, </w:t>
      </w:r>
      <w:r w:rsidR="00DA4CE3" w:rsidRPr="00DA4CE3">
        <w:rPr>
          <w:rFonts w:ascii="Times New Roman" w:eastAsia="等线" w:hAnsi="Times New Roman" w:cs="Times New Roman"/>
          <w:color w:val="000000"/>
          <w:sz w:val="22"/>
          <w:szCs w:val="22"/>
        </w:rPr>
        <w:t>Metabolic dysfunction-associated fatty liver disease</w:t>
      </w:r>
      <w:r w:rsidR="00DA4CE3">
        <w:rPr>
          <w:rFonts w:ascii="Times New Roman" w:eastAsia="等线" w:hAnsi="Times New Roman" w:cs="Times New Roman"/>
          <w:color w:val="000000"/>
          <w:sz w:val="22"/>
          <w:szCs w:val="22"/>
        </w:rPr>
        <w:br w:type="page"/>
      </w:r>
    </w:p>
    <w:p w14:paraId="6BD839D9" w14:textId="77777777" w:rsidR="00770BE4" w:rsidRDefault="00000000">
      <w:pPr>
        <w:jc w:val="center"/>
        <w:rPr>
          <w:rFonts w:ascii="Times New Roman" w:eastAsia="宋体" w:hAnsi="Times New Roman" w:cs="Times New Roman"/>
          <w:b/>
          <w:bCs/>
          <w:sz w:val="24"/>
        </w:rPr>
      </w:pPr>
      <w:r>
        <w:rPr>
          <w:rFonts w:ascii="Times New Roman" w:eastAsia="宋体" w:hAnsi="Times New Roman" w:cs="Times New Roman" w:hint="eastAsia"/>
          <w:b/>
          <w:bCs/>
          <w:noProof/>
          <w:sz w:val="24"/>
        </w:rPr>
        <w:lastRenderedPageBreak/>
        <w:drawing>
          <wp:inline distT="0" distB="0" distL="114300" distR="114300" wp14:anchorId="12CA9DBB" wp14:editId="0211B8F9">
            <wp:extent cx="5226050" cy="4224655"/>
            <wp:effectExtent l="0" t="0" r="6350" b="4445"/>
            <wp:docPr id="7" name="图片 7" descr="Figure S4_forest_sub_group_pre_death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ure S4_forest_sub_group_pre_death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6941B" w14:textId="1824EC10" w:rsidR="00DA4CE3" w:rsidRDefault="00000000" w:rsidP="00DA4CE3">
      <w:pPr>
        <w:rPr>
          <w:rFonts w:ascii="Times New Roman" w:eastAsia="等线" w:hAnsi="Times New Roman" w:cs="Times New Roman"/>
          <w:color w:val="000000"/>
          <w:sz w:val="22"/>
          <w:szCs w:val="22"/>
        </w:rPr>
      </w:pPr>
      <w:r w:rsidRPr="00DA4CE3">
        <w:rPr>
          <w:rFonts w:ascii="Times New Roman" w:eastAsia="宋体" w:hAnsi="Times New Roman" w:cs="Times New Roman"/>
          <w:sz w:val="22"/>
          <w:szCs w:val="22"/>
        </w:rPr>
        <w:t>Figure S4. Subgroup analysis of the association between RCII and premature mortality risk in patients with MAFLD.</w:t>
      </w:r>
      <w:r w:rsidR="00DA4CE3" w:rsidRPr="00DA4CE3">
        <w:rPr>
          <w:rFonts w:ascii="Times New Roman" w:eastAsia="宋体" w:hAnsi="Times New Roman" w:cs="Times New Roman" w:hint="eastAsia"/>
          <w:sz w:val="22"/>
          <w:szCs w:val="22"/>
        </w:rPr>
        <w:t xml:space="preserve"> </w:t>
      </w:r>
      <w:r w:rsidR="00DA4CE3" w:rsidRPr="00DA4CE3">
        <w:rPr>
          <w:rFonts w:ascii="Times New Roman" w:eastAsia="等线" w:hAnsi="Times New Roman" w:cs="Times New Roman"/>
          <w:color w:val="000000"/>
          <w:sz w:val="22"/>
          <w:szCs w:val="22"/>
        </w:rPr>
        <w:t xml:space="preserve">RCII, Residual cholesterol-inflammation index; </w:t>
      </w:r>
      <w:r w:rsidR="00DA4CE3" w:rsidRPr="00DA4CE3">
        <w:rPr>
          <w:rFonts w:ascii="Times New Roman" w:hAnsi="Times New Roman" w:cs="Times New Roman"/>
          <w:sz w:val="22"/>
          <w:szCs w:val="22"/>
        </w:rPr>
        <w:t xml:space="preserve">MAFLD, </w:t>
      </w:r>
      <w:r w:rsidR="00DA4CE3" w:rsidRPr="00DA4CE3">
        <w:rPr>
          <w:rFonts w:ascii="Times New Roman" w:eastAsia="等线" w:hAnsi="Times New Roman" w:cs="Times New Roman"/>
          <w:color w:val="000000"/>
          <w:sz w:val="22"/>
          <w:szCs w:val="22"/>
        </w:rPr>
        <w:t>Metabolic dysfunction-associated fatty liver disease</w:t>
      </w:r>
      <w:r w:rsidR="00DA4CE3">
        <w:rPr>
          <w:rFonts w:ascii="Times New Roman" w:eastAsia="等线" w:hAnsi="Times New Roman" w:cs="Times New Roman"/>
          <w:color w:val="000000"/>
          <w:sz w:val="22"/>
          <w:szCs w:val="22"/>
        </w:rPr>
        <w:br w:type="page"/>
      </w:r>
    </w:p>
    <w:p w14:paraId="5B80DD01" w14:textId="77777777" w:rsidR="00DA4CE3" w:rsidRPr="00DA4CE3" w:rsidRDefault="00DA4CE3" w:rsidP="00DA4CE3">
      <w:pPr>
        <w:rPr>
          <w:rFonts w:ascii="Times New Roman" w:hAnsi="Times New Roman" w:cs="Times New Roman"/>
          <w:sz w:val="22"/>
          <w:szCs w:val="22"/>
        </w:rPr>
      </w:pPr>
    </w:p>
    <w:p w14:paraId="27C6FEAB" w14:textId="77777777" w:rsidR="00770BE4" w:rsidRDefault="0000000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7CF1D81C" wp14:editId="64FC9818">
            <wp:extent cx="4232275" cy="5845810"/>
            <wp:effectExtent l="0" t="0" r="9525" b="8890"/>
            <wp:docPr id="4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Figure S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2275" cy="584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63287" w14:textId="33D81F72" w:rsidR="00DA4CE3" w:rsidRDefault="00000000" w:rsidP="00DA4CE3">
      <w:pPr>
        <w:rPr>
          <w:rFonts w:ascii="Times New Roman" w:eastAsia="等线" w:hAnsi="Times New Roman" w:cs="Times New Roman"/>
          <w:color w:val="000000"/>
          <w:sz w:val="22"/>
          <w:szCs w:val="22"/>
        </w:rPr>
      </w:pPr>
      <w:r w:rsidRPr="00DA4CE3">
        <w:rPr>
          <w:rFonts w:ascii="Times New Roman" w:hAnsi="Times New Roman" w:cs="Times New Roman"/>
          <w:sz w:val="22"/>
          <w:szCs w:val="22"/>
        </w:rPr>
        <w:t>Figure S</w:t>
      </w:r>
      <w:r w:rsidRPr="00DA4CE3">
        <w:rPr>
          <w:rFonts w:ascii="Times New Roman" w:hAnsi="Times New Roman" w:cs="Times New Roman" w:hint="eastAsia"/>
          <w:sz w:val="22"/>
          <w:szCs w:val="22"/>
        </w:rPr>
        <w:t>5</w:t>
      </w:r>
      <w:r w:rsidRPr="00DA4CE3">
        <w:rPr>
          <w:rFonts w:ascii="Times New Roman" w:hAnsi="Times New Roman" w:cs="Times New Roman"/>
          <w:sz w:val="22"/>
          <w:szCs w:val="22"/>
        </w:rPr>
        <w:t>. Mendelian randomization analysis of the causal association between total cholesterol and MAFLD.</w:t>
      </w:r>
      <w:r w:rsidR="002A4080" w:rsidRPr="00DA4CE3">
        <w:rPr>
          <w:rFonts w:ascii="Times New Roman" w:hAnsi="Times New Roman" w:cs="Times New Roman"/>
          <w:sz w:val="22"/>
          <w:szCs w:val="22"/>
        </w:rPr>
        <w:t xml:space="preserve"> </w:t>
      </w:r>
      <w:r w:rsidRPr="00DA4CE3">
        <w:rPr>
          <w:rFonts w:ascii="Times New Roman" w:hAnsi="Times New Roman" w:cs="Times New Roman"/>
          <w:sz w:val="22"/>
          <w:szCs w:val="22"/>
        </w:rPr>
        <w:t xml:space="preserve">(A) Scatter plot of SNP effects on </w:t>
      </w:r>
      <w:r w:rsidRPr="00DA4CE3">
        <w:rPr>
          <w:rStyle w:val="a3"/>
          <w:rFonts w:ascii="Times New Roman" w:eastAsia="宋体" w:hAnsi="Times New Roman" w:cs="Times New Roman"/>
          <w:b w:val="0"/>
          <w:bCs/>
          <w:sz w:val="22"/>
          <w:szCs w:val="22"/>
        </w:rPr>
        <w:t>total cholesterol</w:t>
      </w:r>
      <w:r w:rsidRPr="00DA4CE3">
        <w:rPr>
          <w:rFonts w:ascii="Times New Roman" w:hAnsi="Times New Roman" w:cs="Times New Roman"/>
          <w:sz w:val="22"/>
          <w:szCs w:val="22"/>
        </w:rPr>
        <w:t xml:space="preserve"> and MAFLD using multiple MR methods; (B) Funnel plot showing the distribution of instrumental variables; (C) Forest plot of single-SNP MR estimates; (D) Leave-one-out sensitivity analysis.</w:t>
      </w:r>
      <w:r w:rsidR="00DA4CE3">
        <w:rPr>
          <w:rFonts w:ascii="Times New Roman" w:hAnsi="Times New Roman" w:cs="Times New Roman" w:hint="eastAsia"/>
          <w:sz w:val="22"/>
          <w:szCs w:val="22"/>
        </w:rPr>
        <w:t xml:space="preserve"> </w:t>
      </w:r>
      <w:r w:rsidR="00DA4CE3" w:rsidRPr="00DA4CE3">
        <w:rPr>
          <w:rFonts w:ascii="Times New Roman" w:hAnsi="Times New Roman" w:cs="Times New Roman"/>
          <w:sz w:val="22"/>
          <w:szCs w:val="22"/>
        </w:rPr>
        <w:t xml:space="preserve">MAFLD, </w:t>
      </w:r>
      <w:r w:rsidR="00DA4CE3" w:rsidRPr="00DA4CE3">
        <w:rPr>
          <w:rFonts w:ascii="Times New Roman" w:eastAsia="等线" w:hAnsi="Times New Roman" w:cs="Times New Roman"/>
          <w:color w:val="000000"/>
          <w:sz w:val="22"/>
          <w:szCs w:val="22"/>
        </w:rPr>
        <w:t>Metabolic dysfunction-associated fatty liver disease</w:t>
      </w:r>
      <w:r w:rsidR="00DA4CE3" w:rsidRPr="00DA4CE3">
        <w:rPr>
          <w:rFonts w:ascii="Times New Roman" w:hAnsi="Times New Roman" w:cs="Times New Roman" w:hint="eastAsia"/>
          <w:sz w:val="22"/>
          <w:szCs w:val="22"/>
        </w:rPr>
        <w:t xml:space="preserve">; </w:t>
      </w:r>
      <w:r w:rsidR="00DA4CE3" w:rsidRPr="00DA4CE3">
        <w:rPr>
          <w:rFonts w:ascii="Times New Roman" w:hAnsi="Times New Roman" w:cs="Times New Roman"/>
          <w:sz w:val="22"/>
          <w:szCs w:val="22"/>
        </w:rPr>
        <w:t>MR</w:t>
      </w:r>
      <w:r w:rsidR="00DA4CE3">
        <w:rPr>
          <w:rFonts w:ascii="Times New Roman" w:hAnsi="Times New Roman" w:cs="Times New Roman" w:hint="eastAsia"/>
          <w:sz w:val="22"/>
          <w:szCs w:val="22"/>
        </w:rPr>
        <w:t xml:space="preserve">, </w:t>
      </w:r>
      <w:r w:rsidR="00DA4CE3" w:rsidRPr="00DA4CE3">
        <w:rPr>
          <w:rFonts w:ascii="Times New Roman" w:hAnsi="Times New Roman" w:cs="Times New Roman"/>
          <w:sz w:val="22"/>
          <w:szCs w:val="22"/>
        </w:rPr>
        <w:t>Mendelian randomization</w:t>
      </w:r>
      <w:r w:rsidR="00DA4CE3">
        <w:rPr>
          <w:rFonts w:ascii="Times New Roman" w:hAnsi="Times New Roman" w:cs="Times New Roman" w:hint="eastAsia"/>
          <w:sz w:val="22"/>
          <w:szCs w:val="22"/>
        </w:rPr>
        <w:t xml:space="preserve">; </w:t>
      </w:r>
      <w:r w:rsidR="00DA4CE3" w:rsidRPr="00DA4CE3">
        <w:rPr>
          <w:rFonts w:ascii="Times New Roman" w:eastAsia="等线" w:hAnsi="Times New Roman" w:cs="Times New Roman"/>
          <w:color w:val="000000"/>
          <w:sz w:val="22"/>
          <w:szCs w:val="22"/>
        </w:rPr>
        <w:t>SNP</w:t>
      </w:r>
      <w:r w:rsidR="00DA4CE3" w:rsidRPr="00DA4CE3">
        <w:rPr>
          <w:rFonts w:ascii="Times New Roman" w:eastAsia="等线" w:hAnsi="Times New Roman" w:cs="Times New Roman" w:hint="eastAsia"/>
          <w:color w:val="000000"/>
          <w:sz w:val="22"/>
          <w:szCs w:val="22"/>
        </w:rPr>
        <w:t xml:space="preserve">, </w:t>
      </w:r>
      <w:r w:rsidR="00DA4CE3" w:rsidRPr="00DA4CE3">
        <w:rPr>
          <w:rFonts w:ascii="Times New Roman" w:eastAsia="等线" w:hAnsi="Times New Roman" w:cs="Times New Roman"/>
          <w:color w:val="000000"/>
          <w:sz w:val="22"/>
          <w:szCs w:val="22"/>
        </w:rPr>
        <w:t>Single nucleotide polymorphisms</w:t>
      </w:r>
      <w:r w:rsidR="00DA4CE3">
        <w:rPr>
          <w:rFonts w:ascii="Times New Roman" w:eastAsia="等线" w:hAnsi="Times New Roman" w:cs="Times New Roman" w:hint="eastAsia"/>
          <w:color w:val="000000"/>
          <w:sz w:val="22"/>
          <w:szCs w:val="22"/>
        </w:rPr>
        <w:t>.</w:t>
      </w:r>
      <w:r w:rsidR="00DA4CE3">
        <w:rPr>
          <w:rFonts w:ascii="Times New Roman" w:eastAsia="等线" w:hAnsi="Times New Roman" w:cs="Times New Roman"/>
          <w:color w:val="000000"/>
          <w:sz w:val="22"/>
          <w:szCs w:val="22"/>
        </w:rPr>
        <w:br w:type="page"/>
      </w:r>
    </w:p>
    <w:p w14:paraId="5D7624AE" w14:textId="77777777" w:rsidR="00770BE4" w:rsidRDefault="0000000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4963AD1B" wp14:editId="0FF4BD3A">
            <wp:extent cx="3843655" cy="5839460"/>
            <wp:effectExtent l="0" t="0" r="4445" b="2540"/>
            <wp:docPr id="3" name="图片 1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Figure S2"/>
                    <pic:cNvPicPr>
                      <a:picLocks noChangeAspect="1"/>
                    </pic:cNvPicPr>
                  </pic:nvPicPr>
                  <pic:blipFill>
                    <a:blip r:embed="rId12"/>
                    <a:srcRect r="9089"/>
                    <a:stretch>
                      <a:fillRect/>
                    </a:stretch>
                  </pic:blipFill>
                  <pic:spPr>
                    <a:xfrm>
                      <a:off x="0" y="0"/>
                      <a:ext cx="3843655" cy="583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A19DB" w14:textId="77777777" w:rsidR="00770BE4" w:rsidRDefault="00770BE4">
      <w:pPr>
        <w:rPr>
          <w:rFonts w:ascii="Times New Roman" w:hAnsi="Times New Roman" w:cs="Times New Roman"/>
        </w:rPr>
      </w:pPr>
    </w:p>
    <w:p w14:paraId="6293E2E3" w14:textId="16004A46" w:rsidR="00DA4CE3" w:rsidRPr="00A53105" w:rsidRDefault="00000000" w:rsidP="002B5959">
      <w:pPr>
        <w:rPr>
          <w:rFonts w:ascii="Times New Roman" w:hAnsi="Times New Roman" w:cs="Times New Roman"/>
          <w:sz w:val="22"/>
          <w:szCs w:val="22"/>
        </w:rPr>
      </w:pPr>
      <w:r w:rsidRPr="00A53105">
        <w:rPr>
          <w:rFonts w:ascii="Times New Roman" w:hAnsi="Times New Roman" w:cs="Times New Roman"/>
          <w:sz w:val="22"/>
          <w:szCs w:val="22"/>
        </w:rPr>
        <w:t>Figure S</w:t>
      </w:r>
      <w:r w:rsidRPr="00A53105">
        <w:rPr>
          <w:rFonts w:ascii="Times New Roman" w:hAnsi="Times New Roman" w:cs="Times New Roman" w:hint="eastAsia"/>
          <w:sz w:val="22"/>
          <w:szCs w:val="22"/>
        </w:rPr>
        <w:t>6</w:t>
      </w:r>
      <w:r w:rsidRPr="00A53105">
        <w:rPr>
          <w:rFonts w:ascii="Times New Roman" w:hAnsi="Times New Roman" w:cs="Times New Roman"/>
          <w:sz w:val="22"/>
          <w:szCs w:val="22"/>
        </w:rPr>
        <w:t>. Mendelian randomization analysis of the causal association between LDL-C and MAFLD.</w:t>
      </w:r>
      <w:r w:rsidR="002A4080" w:rsidRPr="00A53105">
        <w:rPr>
          <w:rFonts w:ascii="Times New Roman" w:hAnsi="Times New Roman" w:cs="Times New Roman"/>
          <w:sz w:val="22"/>
          <w:szCs w:val="22"/>
        </w:rPr>
        <w:t xml:space="preserve"> </w:t>
      </w:r>
      <w:r w:rsidRPr="00A53105">
        <w:rPr>
          <w:rFonts w:ascii="Times New Roman" w:hAnsi="Times New Roman" w:cs="Times New Roman"/>
          <w:sz w:val="22"/>
          <w:szCs w:val="22"/>
        </w:rPr>
        <w:t>(A) Scatter plot of SNP effects on LDL-C and MAFLD using multiple MR methods; (B) Funnel plot showing the distribution of instrumental variables; (C) Forest plot of single-SNP MR estimates; (D) Leave-one-out sensitivity analysis.</w:t>
      </w:r>
      <w:r w:rsidR="00DA4CE3" w:rsidRPr="00A53105">
        <w:rPr>
          <w:rFonts w:ascii="Times New Roman" w:hAnsi="Times New Roman" w:cs="Times New Roman"/>
          <w:sz w:val="22"/>
          <w:szCs w:val="22"/>
        </w:rPr>
        <w:t xml:space="preserve"> </w:t>
      </w:r>
      <w:r w:rsidR="00DA4CE3" w:rsidRPr="00A53105">
        <w:rPr>
          <w:rFonts w:ascii="Times New Roman" w:hAnsi="Times New Roman" w:cs="Times New Roman"/>
          <w:sz w:val="22"/>
          <w:szCs w:val="22"/>
        </w:rPr>
        <w:t>MAFLD, Metabolic dysfunction-associated fatty liver disease</w:t>
      </w:r>
      <w:r w:rsidR="00DA4CE3" w:rsidRPr="00A53105">
        <w:rPr>
          <w:rFonts w:ascii="Times New Roman" w:hAnsi="Times New Roman" w:cs="Times New Roman" w:hint="eastAsia"/>
          <w:sz w:val="22"/>
          <w:szCs w:val="22"/>
        </w:rPr>
        <w:t xml:space="preserve">; </w:t>
      </w:r>
      <w:r w:rsidR="00DA4CE3" w:rsidRPr="00A53105">
        <w:rPr>
          <w:rFonts w:ascii="Times New Roman" w:hAnsi="Times New Roman" w:cs="Times New Roman"/>
          <w:sz w:val="22"/>
          <w:szCs w:val="22"/>
        </w:rPr>
        <w:t>LDL-C</w:t>
      </w:r>
      <w:r w:rsidR="00DA4CE3" w:rsidRPr="00A53105">
        <w:rPr>
          <w:rFonts w:ascii="Times New Roman" w:hAnsi="Times New Roman" w:cs="Times New Roman" w:hint="eastAsia"/>
          <w:sz w:val="22"/>
          <w:szCs w:val="22"/>
        </w:rPr>
        <w:t xml:space="preserve">, </w:t>
      </w:r>
      <w:r w:rsidR="00DA4CE3" w:rsidRPr="00A53105">
        <w:rPr>
          <w:rFonts w:ascii="Times New Roman" w:hAnsi="Times New Roman" w:cs="Times New Roman"/>
          <w:sz w:val="22"/>
          <w:szCs w:val="22"/>
        </w:rPr>
        <w:t>Low-density lipoprotein cholesterol</w:t>
      </w:r>
      <w:r w:rsidR="00DA4CE3" w:rsidRPr="00A53105">
        <w:rPr>
          <w:rFonts w:ascii="Times New Roman" w:hAnsi="Times New Roman" w:cs="Times New Roman" w:hint="eastAsia"/>
          <w:sz w:val="22"/>
          <w:szCs w:val="22"/>
        </w:rPr>
        <w:t xml:space="preserve">; </w:t>
      </w:r>
      <w:r w:rsidR="00DA4CE3" w:rsidRPr="00A53105">
        <w:rPr>
          <w:rFonts w:ascii="Times New Roman" w:hAnsi="Times New Roman" w:cs="Times New Roman"/>
          <w:sz w:val="22"/>
          <w:szCs w:val="22"/>
        </w:rPr>
        <w:t>MR</w:t>
      </w:r>
      <w:r w:rsidR="00DA4CE3" w:rsidRPr="00A53105">
        <w:rPr>
          <w:rFonts w:ascii="Times New Roman" w:hAnsi="Times New Roman" w:cs="Times New Roman" w:hint="eastAsia"/>
          <w:sz w:val="22"/>
          <w:szCs w:val="22"/>
        </w:rPr>
        <w:t xml:space="preserve">, </w:t>
      </w:r>
      <w:r w:rsidR="00DA4CE3" w:rsidRPr="00A53105">
        <w:rPr>
          <w:rFonts w:ascii="Times New Roman" w:hAnsi="Times New Roman" w:cs="Times New Roman"/>
          <w:sz w:val="22"/>
          <w:szCs w:val="22"/>
        </w:rPr>
        <w:t>Mendelian randomization</w:t>
      </w:r>
      <w:r w:rsidR="00DA4CE3" w:rsidRPr="00A53105">
        <w:rPr>
          <w:rFonts w:ascii="Times New Roman" w:hAnsi="Times New Roman" w:cs="Times New Roman" w:hint="eastAsia"/>
          <w:sz w:val="22"/>
          <w:szCs w:val="22"/>
        </w:rPr>
        <w:t xml:space="preserve">; </w:t>
      </w:r>
      <w:r w:rsidR="00DA4CE3" w:rsidRPr="00A53105">
        <w:rPr>
          <w:rFonts w:ascii="Times New Roman" w:hAnsi="Times New Roman" w:cs="Times New Roman"/>
          <w:sz w:val="22"/>
          <w:szCs w:val="22"/>
        </w:rPr>
        <w:t>SNP</w:t>
      </w:r>
      <w:r w:rsidR="00DA4CE3" w:rsidRPr="00A53105">
        <w:rPr>
          <w:rFonts w:ascii="Times New Roman" w:hAnsi="Times New Roman" w:cs="Times New Roman" w:hint="eastAsia"/>
          <w:sz w:val="22"/>
          <w:szCs w:val="22"/>
        </w:rPr>
        <w:t xml:space="preserve">, </w:t>
      </w:r>
      <w:r w:rsidR="00DA4CE3" w:rsidRPr="00A53105">
        <w:rPr>
          <w:rFonts w:ascii="Times New Roman" w:hAnsi="Times New Roman" w:cs="Times New Roman"/>
          <w:sz w:val="22"/>
          <w:szCs w:val="22"/>
        </w:rPr>
        <w:t>Single nucleotide polymorphisms</w:t>
      </w:r>
      <w:r w:rsidR="00DA4CE3" w:rsidRPr="00A53105">
        <w:rPr>
          <w:rFonts w:ascii="Times New Roman" w:hAnsi="Times New Roman" w:cs="Times New Roman" w:hint="eastAsia"/>
          <w:sz w:val="22"/>
          <w:szCs w:val="22"/>
        </w:rPr>
        <w:t>.</w:t>
      </w:r>
      <w:r w:rsidR="00DA4CE3" w:rsidRPr="00A53105">
        <w:rPr>
          <w:rFonts w:ascii="Times New Roman" w:hAnsi="Times New Roman" w:cs="Times New Roman"/>
          <w:sz w:val="22"/>
          <w:szCs w:val="22"/>
        </w:rPr>
        <w:br w:type="page"/>
      </w:r>
    </w:p>
    <w:p w14:paraId="2761DC73" w14:textId="77777777" w:rsidR="00770BE4" w:rsidRDefault="0000000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3B0C1A6F" wp14:editId="5A5EEF49">
            <wp:extent cx="4603115" cy="7407275"/>
            <wp:effectExtent l="0" t="0" r="6985" b="9525"/>
            <wp:docPr id="1" name="图片 1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3115" cy="740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163" w14:textId="24488E02" w:rsidR="002B5959" w:rsidRDefault="00000000">
      <w:pPr>
        <w:rPr>
          <w:rFonts w:ascii="Times New Roman" w:hAnsi="Times New Roman" w:cs="Times New Roman"/>
        </w:rPr>
      </w:pPr>
      <w:r w:rsidRPr="002A4080">
        <w:rPr>
          <w:rFonts w:ascii="Times New Roman" w:hAnsi="Times New Roman" w:cs="Times New Roman"/>
        </w:rPr>
        <w:t>Figure S</w:t>
      </w:r>
      <w:r w:rsidRPr="002A4080">
        <w:rPr>
          <w:rFonts w:ascii="Times New Roman" w:hAnsi="Times New Roman" w:cs="Times New Roman" w:hint="eastAsia"/>
        </w:rPr>
        <w:t>7</w:t>
      </w:r>
      <w:r w:rsidRPr="002A4080">
        <w:rPr>
          <w:rFonts w:ascii="Times New Roman" w:hAnsi="Times New Roman" w:cs="Times New Roman"/>
        </w:rPr>
        <w:t>. Mendelian randomization analysis of the causal association between HDL-C and MAFLD.</w:t>
      </w:r>
      <w:r w:rsidR="002A408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(A) Scatter plot of SNP effects on HDL-C and MAFLD using multiple MR methods; (B) Funnel plot showing the distribution of instrumental variables; (C) Forest plot of single-SNP MR estimates; (D) Leave-one-out sensitivity analysis.</w:t>
      </w:r>
      <w:r w:rsidR="00DA4CE3" w:rsidRPr="00DA4CE3">
        <w:rPr>
          <w:rFonts w:ascii="Times New Roman" w:hAnsi="Times New Roman" w:cs="Times New Roman"/>
          <w:sz w:val="22"/>
          <w:szCs w:val="22"/>
        </w:rPr>
        <w:t xml:space="preserve"> </w:t>
      </w:r>
      <w:r w:rsidR="00DA4CE3" w:rsidRPr="00DA4CE3">
        <w:rPr>
          <w:rFonts w:ascii="Times New Roman" w:hAnsi="Times New Roman" w:cs="Times New Roman"/>
          <w:sz w:val="22"/>
          <w:szCs w:val="22"/>
        </w:rPr>
        <w:t>MA</w:t>
      </w:r>
      <w:r w:rsidR="00DA4CE3" w:rsidRPr="00DA4CE3">
        <w:rPr>
          <w:rFonts w:ascii="Times New Roman" w:hAnsi="Times New Roman" w:cs="Times New Roman"/>
        </w:rPr>
        <w:t>FLD, Metabolic dysfunction-associated fatty liver disease</w:t>
      </w:r>
      <w:r w:rsidR="00DA4CE3" w:rsidRPr="00DA4CE3">
        <w:rPr>
          <w:rFonts w:ascii="Times New Roman" w:hAnsi="Times New Roman" w:cs="Times New Roman" w:hint="eastAsia"/>
        </w:rPr>
        <w:t xml:space="preserve">; </w:t>
      </w:r>
      <w:r w:rsidR="00DA4CE3">
        <w:rPr>
          <w:rFonts w:ascii="Times New Roman" w:hAnsi="Times New Roman" w:cs="Times New Roman" w:hint="eastAsia"/>
        </w:rPr>
        <w:t>H</w:t>
      </w:r>
      <w:r w:rsidR="00DA4CE3" w:rsidRPr="002A4080">
        <w:rPr>
          <w:rFonts w:ascii="Times New Roman" w:hAnsi="Times New Roman" w:cs="Times New Roman"/>
        </w:rPr>
        <w:t>DL-C</w:t>
      </w:r>
      <w:r w:rsidR="00DA4CE3" w:rsidRPr="00DA4CE3">
        <w:rPr>
          <w:rFonts w:ascii="Times New Roman" w:hAnsi="Times New Roman" w:cs="Times New Roman" w:hint="eastAsia"/>
        </w:rPr>
        <w:t xml:space="preserve">, </w:t>
      </w:r>
      <w:r w:rsidR="00DA4CE3">
        <w:rPr>
          <w:rFonts w:ascii="Times New Roman" w:hAnsi="Times New Roman" w:cs="Times New Roman" w:hint="eastAsia"/>
        </w:rPr>
        <w:t>Hight</w:t>
      </w:r>
      <w:r w:rsidR="00DA4CE3" w:rsidRPr="00DA4CE3">
        <w:rPr>
          <w:rFonts w:ascii="Times New Roman" w:hAnsi="Times New Roman" w:cs="Times New Roman"/>
        </w:rPr>
        <w:t>-density lipoprotein cholesterol</w:t>
      </w:r>
      <w:r w:rsidR="00DA4CE3" w:rsidRPr="00DA4CE3">
        <w:rPr>
          <w:rFonts w:ascii="Times New Roman" w:hAnsi="Times New Roman" w:cs="Times New Roman" w:hint="eastAsia"/>
        </w:rPr>
        <w:t xml:space="preserve">; </w:t>
      </w:r>
      <w:r w:rsidR="00DA4CE3" w:rsidRPr="00DA4CE3">
        <w:rPr>
          <w:rFonts w:ascii="Times New Roman" w:hAnsi="Times New Roman" w:cs="Times New Roman"/>
        </w:rPr>
        <w:t>MR</w:t>
      </w:r>
      <w:r w:rsidR="00DA4CE3" w:rsidRPr="00DA4CE3">
        <w:rPr>
          <w:rFonts w:ascii="Times New Roman" w:hAnsi="Times New Roman" w:cs="Times New Roman" w:hint="eastAsia"/>
        </w:rPr>
        <w:t xml:space="preserve">, </w:t>
      </w:r>
      <w:r w:rsidR="00DA4CE3" w:rsidRPr="00DA4CE3">
        <w:rPr>
          <w:rFonts w:ascii="Times New Roman" w:hAnsi="Times New Roman" w:cs="Times New Roman"/>
        </w:rPr>
        <w:t>Mendelian randomization</w:t>
      </w:r>
      <w:r w:rsidR="00DA4CE3" w:rsidRPr="00DA4CE3">
        <w:rPr>
          <w:rFonts w:ascii="Times New Roman" w:hAnsi="Times New Roman" w:cs="Times New Roman" w:hint="eastAsia"/>
        </w:rPr>
        <w:t xml:space="preserve">; </w:t>
      </w:r>
      <w:r w:rsidR="00DA4CE3" w:rsidRPr="00DA4CE3">
        <w:rPr>
          <w:rFonts w:ascii="Times New Roman" w:hAnsi="Times New Roman" w:cs="Times New Roman"/>
        </w:rPr>
        <w:t>SNP</w:t>
      </w:r>
      <w:r w:rsidR="00DA4CE3" w:rsidRPr="00DA4CE3">
        <w:rPr>
          <w:rFonts w:ascii="Times New Roman" w:hAnsi="Times New Roman" w:cs="Times New Roman" w:hint="eastAsia"/>
        </w:rPr>
        <w:t xml:space="preserve">, </w:t>
      </w:r>
      <w:r w:rsidR="00DA4CE3" w:rsidRPr="00DA4CE3">
        <w:rPr>
          <w:rFonts w:ascii="Times New Roman" w:hAnsi="Times New Roman" w:cs="Times New Roman"/>
        </w:rPr>
        <w:t>Single nucleotide polymorphisms</w:t>
      </w:r>
      <w:r w:rsidR="00DA4CE3" w:rsidRPr="00DA4CE3">
        <w:rPr>
          <w:rFonts w:ascii="Times New Roman" w:hAnsi="Times New Roman" w:cs="Times New Roman" w:hint="eastAsia"/>
        </w:rPr>
        <w:t>.</w:t>
      </w:r>
      <w:r w:rsidR="002B5959">
        <w:rPr>
          <w:rFonts w:ascii="Times New Roman" w:hAnsi="Times New Roman" w:cs="Times New Roman"/>
        </w:rPr>
        <w:br w:type="page"/>
      </w:r>
    </w:p>
    <w:p w14:paraId="19392534" w14:textId="77777777" w:rsidR="00770BE4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070EB0FE" wp14:editId="59A8C236">
            <wp:extent cx="5165090" cy="7135495"/>
            <wp:effectExtent l="0" t="0" r="3810" b="1905"/>
            <wp:docPr id="2" name="图片 1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Figure S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713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7150F" w14:textId="21D3765A" w:rsidR="002B5959" w:rsidRPr="00DA4CE3" w:rsidRDefault="00000000" w:rsidP="002B5959">
      <w:pPr>
        <w:rPr>
          <w:rFonts w:ascii="Times New Roman" w:hAnsi="Times New Roman" w:cs="Times New Roman"/>
          <w:sz w:val="22"/>
          <w:szCs w:val="22"/>
        </w:rPr>
      </w:pPr>
      <w:r w:rsidRPr="00DA4CE3">
        <w:rPr>
          <w:rFonts w:ascii="Times New Roman" w:hAnsi="Times New Roman" w:cs="Times New Roman"/>
          <w:sz w:val="22"/>
          <w:szCs w:val="22"/>
        </w:rPr>
        <w:t>Figure S</w:t>
      </w:r>
      <w:r w:rsidRPr="00DA4CE3">
        <w:rPr>
          <w:rFonts w:ascii="Times New Roman" w:hAnsi="Times New Roman" w:cs="Times New Roman" w:hint="eastAsia"/>
          <w:sz w:val="22"/>
          <w:szCs w:val="22"/>
        </w:rPr>
        <w:t>8</w:t>
      </w:r>
      <w:r w:rsidRPr="00DA4CE3">
        <w:rPr>
          <w:rFonts w:ascii="Times New Roman" w:hAnsi="Times New Roman" w:cs="Times New Roman"/>
          <w:sz w:val="22"/>
          <w:szCs w:val="22"/>
        </w:rPr>
        <w:t>. Mendelian randomization analysis of the causal association between CRP and MAFLD.</w:t>
      </w:r>
      <w:r w:rsidR="002A4080" w:rsidRPr="00DA4CE3">
        <w:rPr>
          <w:rFonts w:ascii="Times New Roman" w:hAnsi="Times New Roman" w:cs="Times New Roman"/>
          <w:sz w:val="22"/>
          <w:szCs w:val="22"/>
        </w:rPr>
        <w:t xml:space="preserve"> </w:t>
      </w:r>
      <w:r w:rsidRPr="00DA4CE3">
        <w:rPr>
          <w:rFonts w:ascii="Times New Roman" w:hAnsi="Times New Roman" w:cs="Times New Roman"/>
          <w:sz w:val="22"/>
          <w:szCs w:val="22"/>
        </w:rPr>
        <w:t>(A) Scatter plot of SNP effects on CRP and MAFLD using multiple MR methods; (B) Funnel plot showing the distribution of instrumental variables; (C) Forest plot of single-SNP MR estimates; (D) Leave-one-out sensitivity analysis.</w:t>
      </w:r>
      <w:r w:rsidR="00DA4CE3" w:rsidRPr="00DA4CE3">
        <w:rPr>
          <w:rFonts w:ascii="Times New Roman" w:hAnsi="Times New Roman" w:cs="Times New Roman" w:hint="eastAsia"/>
          <w:sz w:val="22"/>
          <w:szCs w:val="22"/>
        </w:rPr>
        <w:t xml:space="preserve"> </w:t>
      </w:r>
      <w:r w:rsidR="00A53105" w:rsidRPr="00DA4CE3">
        <w:rPr>
          <w:rFonts w:ascii="Times New Roman" w:hAnsi="Times New Roman" w:cs="Times New Roman" w:hint="eastAsia"/>
          <w:sz w:val="22"/>
          <w:szCs w:val="22"/>
        </w:rPr>
        <w:t>CRP, C-reaction protein;</w:t>
      </w:r>
      <w:r w:rsidR="00A53105">
        <w:rPr>
          <w:rFonts w:ascii="Times New Roman" w:hAnsi="Times New Roman" w:cs="Times New Roman" w:hint="eastAsia"/>
          <w:sz w:val="22"/>
          <w:szCs w:val="22"/>
        </w:rPr>
        <w:t xml:space="preserve"> </w:t>
      </w:r>
      <w:r w:rsidR="00DA4CE3" w:rsidRPr="00DA4CE3">
        <w:rPr>
          <w:rFonts w:ascii="Times New Roman" w:hAnsi="Times New Roman" w:cs="Times New Roman"/>
          <w:sz w:val="22"/>
          <w:szCs w:val="22"/>
        </w:rPr>
        <w:t>MAFLD, Metabolic dysfunction-associated fatty liver disease</w:t>
      </w:r>
      <w:r w:rsidR="00DA4CE3" w:rsidRPr="00DA4CE3">
        <w:rPr>
          <w:rFonts w:ascii="Times New Roman" w:hAnsi="Times New Roman" w:cs="Times New Roman" w:hint="eastAsia"/>
          <w:sz w:val="22"/>
          <w:szCs w:val="22"/>
        </w:rPr>
        <w:t xml:space="preserve">; </w:t>
      </w:r>
      <w:r w:rsidR="00A53105" w:rsidRPr="00DA4CE3">
        <w:rPr>
          <w:rFonts w:ascii="Times New Roman" w:hAnsi="Times New Roman" w:cs="Times New Roman"/>
          <w:sz w:val="22"/>
          <w:szCs w:val="22"/>
        </w:rPr>
        <w:t>SNP</w:t>
      </w:r>
      <w:r w:rsidR="00A53105" w:rsidRPr="00DA4CE3">
        <w:rPr>
          <w:rFonts w:ascii="Times New Roman" w:hAnsi="Times New Roman" w:cs="Times New Roman" w:hint="eastAsia"/>
          <w:sz w:val="22"/>
          <w:szCs w:val="22"/>
        </w:rPr>
        <w:t xml:space="preserve">, </w:t>
      </w:r>
      <w:r w:rsidR="00A53105" w:rsidRPr="00DA4CE3">
        <w:rPr>
          <w:rFonts w:ascii="Times New Roman" w:hAnsi="Times New Roman" w:cs="Times New Roman"/>
          <w:sz w:val="22"/>
          <w:szCs w:val="22"/>
        </w:rPr>
        <w:t>Single nucleotide polymorphisms</w:t>
      </w:r>
      <w:r w:rsidR="00A53105">
        <w:rPr>
          <w:rFonts w:ascii="Times New Roman" w:hAnsi="Times New Roman" w:cs="Times New Roman" w:hint="eastAsia"/>
          <w:sz w:val="22"/>
          <w:szCs w:val="22"/>
        </w:rPr>
        <w:t xml:space="preserve">; </w:t>
      </w:r>
      <w:r w:rsidR="00DA4CE3" w:rsidRPr="00DA4CE3">
        <w:rPr>
          <w:rFonts w:ascii="Times New Roman" w:hAnsi="Times New Roman" w:cs="Times New Roman"/>
          <w:sz w:val="22"/>
          <w:szCs w:val="22"/>
        </w:rPr>
        <w:t>MR</w:t>
      </w:r>
      <w:r w:rsidR="00DA4CE3" w:rsidRPr="00DA4CE3">
        <w:rPr>
          <w:rFonts w:ascii="Times New Roman" w:hAnsi="Times New Roman" w:cs="Times New Roman" w:hint="eastAsia"/>
          <w:sz w:val="22"/>
          <w:szCs w:val="22"/>
        </w:rPr>
        <w:t xml:space="preserve">, </w:t>
      </w:r>
      <w:r w:rsidR="00DA4CE3" w:rsidRPr="00DA4CE3">
        <w:rPr>
          <w:rFonts w:ascii="Times New Roman" w:hAnsi="Times New Roman" w:cs="Times New Roman"/>
          <w:sz w:val="22"/>
          <w:szCs w:val="22"/>
        </w:rPr>
        <w:t>Mendelian randomization</w:t>
      </w:r>
      <w:r w:rsidR="00DA4CE3" w:rsidRPr="00DA4CE3">
        <w:rPr>
          <w:rFonts w:ascii="Times New Roman" w:hAnsi="Times New Roman" w:cs="Times New Roman" w:hint="eastAsia"/>
          <w:sz w:val="22"/>
          <w:szCs w:val="22"/>
        </w:rPr>
        <w:t>.</w:t>
      </w:r>
      <w:r w:rsidR="002B5959" w:rsidRPr="00DA4CE3">
        <w:rPr>
          <w:rFonts w:ascii="Times New Roman" w:hAnsi="Times New Roman" w:cs="Times New Roman"/>
          <w:sz w:val="22"/>
          <w:szCs w:val="22"/>
        </w:rPr>
        <w:br w:type="page"/>
      </w:r>
    </w:p>
    <w:p w14:paraId="42AFABC1" w14:textId="77777777" w:rsidR="00770BE4" w:rsidRDefault="00770BE4">
      <w:pPr>
        <w:rPr>
          <w:rFonts w:ascii="Times New Roman" w:hAnsi="Times New Roman" w:cs="Times New Roman"/>
        </w:rPr>
      </w:pPr>
    </w:p>
    <w:p w14:paraId="685CD3A4" w14:textId="77777777" w:rsidR="00770BE4" w:rsidRDefault="0000000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 wp14:anchorId="3A2F6576" wp14:editId="47544386">
            <wp:extent cx="4787900" cy="2796540"/>
            <wp:effectExtent l="0" t="0" r="0" b="1016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BF587" w14:textId="1CB9E1B9" w:rsidR="00770BE4" w:rsidRPr="00A53105" w:rsidRDefault="00000000" w:rsidP="002B5959">
      <w:pPr>
        <w:rPr>
          <w:rFonts w:ascii="Times New Roman" w:hAnsi="Times New Roman" w:cs="Times New Roman" w:hint="eastAsia"/>
          <w:sz w:val="22"/>
          <w:szCs w:val="22"/>
        </w:rPr>
      </w:pPr>
      <w:r w:rsidRPr="00A53105">
        <w:rPr>
          <w:rFonts w:ascii="Times New Roman" w:hAnsi="Times New Roman" w:cs="Times New Roman"/>
          <w:sz w:val="22"/>
          <w:szCs w:val="22"/>
        </w:rPr>
        <w:t>Figure S9. Key variables associated with MAFLD identified by the Boruta algorithm</w:t>
      </w:r>
      <w:r w:rsidR="00A53105" w:rsidRPr="00A53105">
        <w:rPr>
          <w:rFonts w:ascii="Times New Roman" w:hAnsi="Times New Roman" w:cs="Times New Roman" w:hint="eastAsia"/>
          <w:sz w:val="22"/>
          <w:szCs w:val="22"/>
        </w:rPr>
        <w:t xml:space="preserve">. </w:t>
      </w:r>
      <w:r w:rsidR="00A53105" w:rsidRPr="00A53105">
        <w:rPr>
          <w:rFonts w:ascii="Times New Roman" w:hAnsi="Times New Roman" w:cs="Times New Roman"/>
          <w:sz w:val="22"/>
          <w:szCs w:val="22"/>
        </w:rPr>
        <w:t>MAFLD, Metabolic dysfunction-associated fatty liver disease</w:t>
      </w:r>
    </w:p>
    <w:p w14:paraId="31A70FBD" w14:textId="77777777" w:rsidR="00770BE4" w:rsidRDefault="00770BE4" w:rsidP="002B5959">
      <w:pPr>
        <w:rPr>
          <w:rFonts w:ascii="Times New Roman" w:hAnsi="Times New Roman" w:cs="Times New Roman"/>
          <w:b/>
          <w:bCs/>
        </w:rPr>
        <w:sectPr w:rsidR="00770BE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A5D8876" w14:textId="7454AACB" w:rsidR="00770BE4" w:rsidRPr="002A4080" w:rsidRDefault="00000000" w:rsidP="00A404C9">
      <w:pPr>
        <w:spacing w:afterLines="50" w:after="156" w:line="360" w:lineRule="auto"/>
        <w:jc w:val="left"/>
        <w:rPr>
          <w:rFonts w:ascii="Times New Roman" w:hAnsi="Times New Roman" w:cs="Times New Roman"/>
        </w:rPr>
      </w:pPr>
      <w:r w:rsidRPr="002A4080">
        <w:rPr>
          <w:rFonts w:ascii="Times New Roman" w:eastAsia="宋体" w:hAnsi="Times New Roman" w:cs="Times New Roman"/>
          <w:sz w:val="24"/>
        </w:rPr>
        <w:lastRenderedPageBreak/>
        <w:t xml:space="preserve">Table S1. Estimated </w:t>
      </w:r>
      <w:r w:rsidR="002A4080">
        <w:rPr>
          <w:rFonts w:ascii="Times New Roman" w:eastAsia="宋体" w:hAnsi="Times New Roman" w:cs="Times New Roman" w:hint="eastAsia"/>
          <w:sz w:val="24"/>
        </w:rPr>
        <w:t>m</w:t>
      </w:r>
      <w:r w:rsidRPr="002A4080">
        <w:rPr>
          <w:rFonts w:ascii="Times New Roman" w:eastAsia="宋体" w:hAnsi="Times New Roman" w:cs="Times New Roman"/>
          <w:sz w:val="24"/>
        </w:rPr>
        <w:t xml:space="preserve">ediation </w:t>
      </w:r>
      <w:r w:rsidR="002A4080">
        <w:rPr>
          <w:rFonts w:ascii="Times New Roman" w:eastAsia="宋体" w:hAnsi="Times New Roman" w:cs="Times New Roman" w:hint="eastAsia"/>
          <w:sz w:val="24"/>
        </w:rPr>
        <w:t>e</w:t>
      </w:r>
      <w:r w:rsidRPr="002A4080">
        <w:rPr>
          <w:rFonts w:ascii="Times New Roman" w:eastAsia="宋体" w:hAnsi="Times New Roman" w:cs="Times New Roman"/>
          <w:sz w:val="24"/>
        </w:rPr>
        <w:t xml:space="preserve">ffects of FPG on the </w:t>
      </w:r>
      <w:r w:rsidR="002A4080">
        <w:rPr>
          <w:rFonts w:ascii="Times New Roman" w:eastAsia="宋体" w:hAnsi="Times New Roman" w:cs="Times New Roman" w:hint="eastAsia"/>
          <w:sz w:val="24"/>
        </w:rPr>
        <w:t>a</w:t>
      </w:r>
      <w:r w:rsidRPr="002A4080">
        <w:rPr>
          <w:rFonts w:ascii="Times New Roman" w:eastAsia="宋体" w:hAnsi="Times New Roman" w:cs="Times New Roman"/>
          <w:sz w:val="24"/>
        </w:rPr>
        <w:t xml:space="preserve">ssociations </w:t>
      </w:r>
      <w:r w:rsidR="002A4080">
        <w:rPr>
          <w:rFonts w:ascii="Times New Roman" w:eastAsia="宋体" w:hAnsi="Times New Roman" w:cs="Times New Roman" w:hint="eastAsia"/>
          <w:sz w:val="24"/>
        </w:rPr>
        <w:t>b</w:t>
      </w:r>
      <w:r w:rsidRPr="002A4080">
        <w:rPr>
          <w:rFonts w:ascii="Times New Roman" w:eastAsia="宋体" w:hAnsi="Times New Roman" w:cs="Times New Roman"/>
          <w:sz w:val="24"/>
        </w:rPr>
        <w:t xml:space="preserve">etween RCII and MAFLD or </w:t>
      </w:r>
      <w:r w:rsidR="002A4080">
        <w:rPr>
          <w:rFonts w:ascii="Times New Roman" w:eastAsia="宋体" w:hAnsi="Times New Roman" w:cs="Times New Roman" w:hint="eastAsia"/>
          <w:sz w:val="24"/>
        </w:rPr>
        <w:t>related m</w:t>
      </w:r>
      <w:r w:rsidRPr="002A4080">
        <w:rPr>
          <w:rFonts w:ascii="Times New Roman" w:eastAsia="宋体" w:hAnsi="Times New Roman" w:cs="Times New Roman"/>
          <w:sz w:val="24"/>
        </w:rPr>
        <w:t xml:space="preserve">ortality </w:t>
      </w:r>
      <w:r w:rsidR="002A4080">
        <w:rPr>
          <w:rFonts w:ascii="Times New Roman" w:eastAsia="宋体" w:hAnsi="Times New Roman" w:cs="Times New Roman" w:hint="eastAsia"/>
          <w:sz w:val="24"/>
        </w:rPr>
        <w:t>o</w:t>
      </w:r>
      <w:r w:rsidRPr="002A4080">
        <w:rPr>
          <w:rFonts w:ascii="Times New Roman" w:eastAsia="宋体" w:hAnsi="Times New Roman" w:cs="Times New Roman"/>
          <w:sz w:val="24"/>
        </w:rPr>
        <w:t>utcomes</w:t>
      </w:r>
    </w:p>
    <w:tbl>
      <w:tblPr>
        <w:tblW w:w="13407" w:type="dxa"/>
        <w:tblInd w:w="9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1080"/>
        <w:gridCol w:w="1961"/>
        <w:gridCol w:w="851"/>
        <w:gridCol w:w="1134"/>
        <w:gridCol w:w="992"/>
        <w:gridCol w:w="1134"/>
        <w:gridCol w:w="992"/>
        <w:gridCol w:w="1276"/>
        <w:gridCol w:w="1583"/>
        <w:gridCol w:w="1324"/>
      </w:tblGrid>
      <w:tr w:rsidR="00EF08CE" w:rsidRPr="00EF08CE" w14:paraId="21281309" w14:textId="77777777" w:rsidTr="00EF08CE">
        <w:trPr>
          <w:trHeight w:val="280"/>
        </w:trPr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148FDD2" w14:textId="77777777" w:rsidR="00770BE4" w:rsidRPr="00EF08CE" w:rsidRDefault="00000000" w:rsidP="00EF08CE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Exposure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83E2ACC" w14:textId="77777777" w:rsidR="00770BE4" w:rsidRPr="00EF08CE" w:rsidRDefault="00000000" w:rsidP="00EF08CE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Mediator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3FC8EDA" w14:textId="77777777" w:rsidR="00770BE4" w:rsidRPr="00EF08CE" w:rsidRDefault="00000000" w:rsidP="00EF08CE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Outcome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B012A9F" w14:textId="77777777" w:rsidR="00770BE4" w:rsidRPr="00EF08CE" w:rsidRDefault="00000000" w:rsidP="00EF08CE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ADE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6CCDF0B" w14:textId="77777777" w:rsidR="00770BE4" w:rsidRPr="00EF08CE" w:rsidRDefault="00000000" w:rsidP="00EF08CE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ADE P-Value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C957533" w14:textId="77777777" w:rsidR="00770BE4" w:rsidRPr="00EF08CE" w:rsidRDefault="00000000" w:rsidP="00EF08CE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ACME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CBDF4F4" w14:textId="77777777" w:rsidR="00770BE4" w:rsidRPr="00EF08CE" w:rsidRDefault="00000000" w:rsidP="00EF08CE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ACME P-Value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E6AFCCC" w14:textId="77777777" w:rsidR="00770BE4" w:rsidRPr="00EF08CE" w:rsidRDefault="00000000" w:rsidP="00EF08CE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Total Effect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970F4E1" w14:textId="77777777" w:rsidR="00770BE4" w:rsidRPr="00EF08CE" w:rsidRDefault="00000000" w:rsidP="00EF08CE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Total Effect P-Value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D6F1C40" w14:textId="77777777" w:rsidR="00770BE4" w:rsidRPr="00EF08CE" w:rsidRDefault="00000000" w:rsidP="00EF08CE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Proportion Mediated (%)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A9BAC26" w14:textId="77777777" w:rsidR="00770BE4" w:rsidRPr="00EF08CE" w:rsidRDefault="00000000" w:rsidP="00EF08CE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Proportion P-Value</w:t>
            </w:r>
          </w:p>
        </w:tc>
      </w:tr>
      <w:tr w:rsidR="00EF08CE" w:rsidRPr="00EF08CE" w14:paraId="354AB569" w14:textId="77777777" w:rsidTr="00EF08CE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14:paraId="196F02F5" w14:textId="77777777" w:rsidR="00770BE4" w:rsidRPr="00EF08CE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RCII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14:paraId="52D13DCE" w14:textId="77777777" w:rsidR="00770BE4" w:rsidRPr="00EF08CE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FPG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14:paraId="403CE8A5" w14:textId="77777777" w:rsidR="00770BE4" w:rsidRPr="00EF08CE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MAFLD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14:paraId="7BB5CF7D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14:paraId="08E5EE8B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&lt;0.001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14:paraId="77FCEEFC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14:paraId="3D6924FF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&lt;0.001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14:paraId="05BD1066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0.001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14:paraId="412AD0A7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&lt;0.001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14:paraId="229367F8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2.02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14:paraId="0C084BA5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&lt;0.001</w:t>
            </w:r>
          </w:p>
        </w:tc>
      </w:tr>
      <w:tr w:rsidR="00EF08CE" w:rsidRPr="00EF08CE" w14:paraId="03C07133" w14:textId="77777777" w:rsidTr="00EF08CE">
        <w:trPr>
          <w:trHeight w:val="280"/>
        </w:trPr>
        <w:tc>
          <w:tcPr>
            <w:tcW w:w="0" w:type="auto"/>
            <w:tcBorders>
              <w:left w:val="nil"/>
              <w:right w:val="nil"/>
            </w:tcBorders>
            <w:noWrap/>
            <w:vAlign w:val="center"/>
          </w:tcPr>
          <w:p w14:paraId="0E1E4707" w14:textId="77777777" w:rsidR="00770BE4" w:rsidRPr="00EF08CE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RCII</w:t>
            </w:r>
          </w:p>
        </w:tc>
        <w:tc>
          <w:tcPr>
            <w:tcW w:w="0" w:type="auto"/>
            <w:tcBorders>
              <w:left w:val="nil"/>
              <w:right w:val="nil"/>
            </w:tcBorders>
            <w:noWrap/>
            <w:vAlign w:val="center"/>
          </w:tcPr>
          <w:p w14:paraId="3A978EC4" w14:textId="77777777" w:rsidR="00770BE4" w:rsidRPr="00EF08CE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FPG</w:t>
            </w:r>
          </w:p>
        </w:tc>
        <w:tc>
          <w:tcPr>
            <w:tcW w:w="1961" w:type="dxa"/>
            <w:tcBorders>
              <w:left w:val="nil"/>
              <w:right w:val="nil"/>
            </w:tcBorders>
            <w:noWrap/>
            <w:vAlign w:val="center"/>
          </w:tcPr>
          <w:p w14:paraId="634CCA05" w14:textId="1A2AD126" w:rsidR="00770BE4" w:rsidRPr="00EF08CE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All</w:t>
            </w:r>
            <w:r w:rsidR="002A4080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cause mortality</w:t>
            </w:r>
          </w:p>
        </w:tc>
        <w:tc>
          <w:tcPr>
            <w:tcW w:w="851" w:type="dxa"/>
            <w:tcBorders>
              <w:left w:val="nil"/>
              <w:right w:val="nil"/>
            </w:tcBorders>
            <w:noWrap/>
            <w:vAlign w:val="center"/>
          </w:tcPr>
          <w:p w14:paraId="13EF1356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-2.83</w:t>
            </w:r>
          </w:p>
        </w:tc>
        <w:tc>
          <w:tcPr>
            <w:tcW w:w="1134" w:type="dxa"/>
            <w:tcBorders>
              <w:left w:val="nil"/>
              <w:right w:val="nil"/>
            </w:tcBorders>
            <w:noWrap/>
            <w:vAlign w:val="center"/>
          </w:tcPr>
          <w:p w14:paraId="55C584D6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&lt;0.001</w:t>
            </w:r>
          </w:p>
        </w:tc>
        <w:tc>
          <w:tcPr>
            <w:tcW w:w="992" w:type="dxa"/>
            <w:tcBorders>
              <w:left w:val="nil"/>
              <w:right w:val="nil"/>
            </w:tcBorders>
            <w:noWrap/>
            <w:vAlign w:val="center"/>
          </w:tcPr>
          <w:p w14:paraId="1585E13C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-0.21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noWrap/>
            <w:vAlign w:val="center"/>
          </w:tcPr>
          <w:p w14:paraId="4C1E65F5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&lt;0.001</w:t>
            </w:r>
          </w:p>
        </w:tc>
        <w:tc>
          <w:tcPr>
            <w:tcW w:w="992" w:type="dxa"/>
            <w:tcBorders>
              <w:left w:val="nil"/>
              <w:right w:val="nil"/>
            </w:tcBorders>
            <w:noWrap/>
            <w:vAlign w:val="center"/>
          </w:tcPr>
          <w:p w14:paraId="453A3375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-3.03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noWrap/>
            <w:vAlign w:val="center"/>
          </w:tcPr>
          <w:p w14:paraId="64D4E5F8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&lt;0.001</w:t>
            </w:r>
          </w:p>
        </w:tc>
        <w:tc>
          <w:tcPr>
            <w:tcW w:w="1583" w:type="dxa"/>
            <w:tcBorders>
              <w:left w:val="nil"/>
              <w:right w:val="nil"/>
            </w:tcBorders>
            <w:noWrap/>
            <w:vAlign w:val="center"/>
          </w:tcPr>
          <w:p w14:paraId="56874C76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6.76</w:t>
            </w:r>
          </w:p>
        </w:tc>
        <w:tc>
          <w:tcPr>
            <w:tcW w:w="1324" w:type="dxa"/>
            <w:tcBorders>
              <w:left w:val="nil"/>
              <w:right w:val="nil"/>
            </w:tcBorders>
            <w:noWrap/>
            <w:vAlign w:val="center"/>
          </w:tcPr>
          <w:p w14:paraId="1F8D1DE4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&lt;0.001</w:t>
            </w:r>
          </w:p>
        </w:tc>
      </w:tr>
      <w:tr w:rsidR="00EF08CE" w:rsidRPr="00EF08CE" w14:paraId="124BC2C2" w14:textId="77777777" w:rsidTr="00EF08CE">
        <w:trPr>
          <w:trHeight w:val="280"/>
        </w:trPr>
        <w:tc>
          <w:tcPr>
            <w:tcW w:w="0" w:type="auto"/>
            <w:tcBorders>
              <w:left w:val="nil"/>
              <w:right w:val="nil"/>
            </w:tcBorders>
            <w:noWrap/>
            <w:vAlign w:val="center"/>
          </w:tcPr>
          <w:p w14:paraId="08C35BF1" w14:textId="77777777" w:rsidR="00770BE4" w:rsidRPr="00EF08CE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RCII</w:t>
            </w:r>
          </w:p>
        </w:tc>
        <w:tc>
          <w:tcPr>
            <w:tcW w:w="0" w:type="auto"/>
            <w:tcBorders>
              <w:left w:val="nil"/>
              <w:right w:val="nil"/>
            </w:tcBorders>
            <w:noWrap/>
            <w:vAlign w:val="center"/>
          </w:tcPr>
          <w:p w14:paraId="49AAD8AF" w14:textId="77777777" w:rsidR="00770BE4" w:rsidRPr="00EF08CE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FPG</w:t>
            </w:r>
          </w:p>
        </w:tc>
        <w:tc>
          <w:tcPr>
            <w:tcW w:w="1961" w:type="dxa"/>
            <w:tcBorders>
              <w:left w:val="nil"/>
              <w:right w:val="nil"/>
            </w:tcBorders>
            <w:noWrap/>
            <w:vAlign w:val="center"/>
          </w:tcPr>
          <w:p w14:paraId="3A478AE4" w14:textId="77777777" w:rsidR="00770BE4" w:rsidRPr="00EF08CE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CVD mortality</w:t>
            </w:r>
          </w:p>
        </w:tc>
        <w:tc>
          <w:tcPr>
            <w:tcW w:w="851" w:type="dxa"/>
            <w:tcBorders>
              <w:left w:val="nil"/>
              <w:right w:val="nil"/>
            </w:tcBorders>
            <w:noWrap/>
            <w:vAlign w:val="center"/>
          </w:tcPr>
          <w:p w14:paraId="65A81415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-14.81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noWrap/>
            <w:vAlign w:val="center"/>
          </w:tcPr>
          <w:p w14:paraId="7C175FDD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&lt;0.001</w:t>
            </w:r>
          </w:p>
        </w:tc>
        <w:tc>
          <w:tcPr>
            <w:tcW w:w="992" w:type="dxa"/>
            <w:tcBorders>
              <w:left w:val="nil"/>
              <w:right w:val="nil"/>
            </w:tcBorders>
            <w:noWrap/>
            <w:vAlign w:val="center"/>
          </w:tcPr>
          <w:p w14:paraId="27C59341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-1.32</w:t>
            </w:r>
          </w:p>
        </w:tc>
        <w:tc>
          <w:tcPr>
            <w:tcW w:w="1134" w:type="dxa"/>
            <w:tcBorders>
              <w:left w:val="nil"/>
              <w:right w:val="nil"/>
            </w:tcBorders>
            <w:noWrap/>
            <w:vAlign w:val="center"/>
          </w:tcPr>
          <w:p w14:paraId="61AEE2BA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&lt;0.001</w:t>
            </w:r>
          </w:p>
        </w:tc>
        <w:tc>
          <w:tcPr>
            <w:tcW w:w="992" w:type="dxa"/>
            <w:tcBorders>
              <w:left w:val="nil"/>
              <w:right w:val="nil"/>
            </w:tcBorders>
            <w:noWrap/>
            <w:vAlign w:val="center"/>
          </w:tcPr>
          <w:p w14:paraId="0D3CE9AB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-16.13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noWrap/>
            <w:vAlign w:val="center"/>
          </w:tcPr>
          <w:p w14:paraId="74DCEE67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&lt;0.001</w:t>
            </w:r>
          </w:p>
        </w:tc>
        <w:tc>
          <w:tcPr>
            <w:tcW w:w="1583" w:type="dxa"/>
            <w:tcBorders>
              <w:left w:val="nil"/>
              <w:right w:val="nil"/>
            </w:tcBorders>
            <w:noWrap/>
            <w:vAlign w:val="center"/>
          </w:tcPr>
          <w:p w14:paraId="5AB2E8D7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8.06</w:t>
            </w:r>
          </w:p>
        </w:tc>
        <w:tc>
          <w:tcPr>
            <w:tcW w:w="1324" w:type="dxa"/>
            <w:tcBorders>
              <w:left w:val="nil"/>
              <w:right w:val="nil"/>
            </w:tcBorders>
            <w:noWrap/>
            <w:vAlign w:val="center"/>
          </w:tcPr>
          <w:p w14:paraId="1C9B7106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&lt;0.001</w:t>
            </w:r>
          </w:p>
        </w:tc>
      </w:tr>
      <w:tr w:rsidR="00EF08CE" w:rsidRPr="00EF08CE" w14:paraId="6A6C8BC0" w14:textId="77777777" w:rsidTr="00EF08CE">
        <w:trPr>
          <w:trHeight w:val="280"/>
        </w:trPr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F7B3C34" w14:textId="77777777" w:rsidR="00770BE4" w:rsidRPr="00EF08CE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RCII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5C18BC8" w14:textId="77777777" w:rsidR="00770BE4" w:rsidRPr="00EF08CE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FPG</w:t>
            </w:r>
          </w:p>
        </w:tc>
        <w:tc>
          <w:tcPr>
            <w:tcW w:w="1961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D1C38EB" w14:textId="77777777" w:rsidR="00770BE4" w:rsidRPr="00EF08CE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Premature death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EC0713B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-2.31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7C4A073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&lt;0.001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D4C4893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-0.18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288FF59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&lt;0.001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CB8F244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-2.5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E32FAFD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&lt;0.001</w:t>
            </w:r>
          </w:p>
        </w:tc>
        <w:tc>
          <w:tcPr>
            <w:tcW w:w="1583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4D37F0C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7.33</w:t>
            </w:r>
          </w:p>
        </w:tc>
        <w:tc>
          <w:tcPr>
            <w:tcW w:w="1324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0BDBF9B" w14:textId="77777777" w:rsidR="00770BE4" w:rsidRPr="00EF08CE" w:rsidRDefault="00000000" w:rsidP="00EF08CE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EF08CE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&lt;0.001</w:t>
            </w:r>
          </w:p>
        </w:tc>
      </w:tr>
    </w:tbl>
    <w:p w14:paraId="613A3AE9" w14:textId="7628BB27" w:rsidR="00770BE4" w:rsidRPr="00A53105" w:rsidRDefault="002B5959" w:rsidP="002B5959">
      <w:pPr>
        <w:rPr>
          <w:rFonts w:ascii="Times New Roman" w:hAnsi="Times New Roman" w:cs="Times New Roman"/>
          <w:sz w:val="22"/>
          <w:szCs w:val="22"/>
        </w:rPr>
      </w:pPr>
      <w:r w:rsidRPr="00A53105">
        <w:rPr>
          <w:rFonts w:ascii="Times New Roman" w:eastAsia="宋体" w:hAnsi="Times New Roman" w:cs="Times New Roman"/>
          <w:sz w:val="22"/>
          <w:szCs w:val="22"/>
        </w:rPr>
        <w:t>FPG</w:t>
      </w:r>
      <w:r w:rsidR="002A4080" w:rsidRPr="00A53105">
        <w:rPr>
          <w:rFonts w:ascii="Times New Roman" w:eastAsia="宋体" w:hAnsi="Times New Roman" w:cs="Times New Roman" w:hint="eastAsia"/>
          <w:sz w:val="22"/>
          <w:szCs w:val="22"/>
        </w:rPr>
        <w:t>,</w:t>
      </w:r>
      <w:r w:rsidRPr="00A53105">
        <w:rPr>
          <w:rFonts w:ascii="Times New Roman" w:eastAsia="宋体" w:hAnsi="Times New Roman" w:cs="Times New Roman"/>
          <w:sz w:val="22"/>
          <w:szCs w:val="22"/>
        </w:rPr>
        <w:t xml:space="preserve"> </w:t>
      </w:r>
      <w:r w:rsidRPr="00A53105">
        <w:rPr>
          <w:rFonts w:ascii="Times New Roman" w:eastAsia="等线" w:hAnsi="Times New Roman" w:cs="Times New Roman"/>
          <w:color w:val="000000"/>
          <w:sz w:val="22"/>
          <w:szCs w:val="22"/>
        </w:rPr>
        <w:t>Fasting plasma glucose</w:t>
      </w:r>
      <w:r w:rsidR="002A4080" w:rsidRPr="00A53105">
        <w:rPr>
          <w:rFonts w:ascii="Times New Roman" w:eastAsia="宋体" w:hAnsi="Times New Roman" w:cs="Times New Roman" w:hint="eastAsia"/>
          <w:sz w:val="22"/>
          <w:szCs w:val="22"/>
        </w:rPr>
        <w:t>;</w:t>
      </w:r>
      <w:r w:rsidRPr="00A53105">
        <w:rPr>
          <w:rFonts w:ascii="Times New Roman" w:eastAsia="宋体" w:hAnsi="Times New Roman" w:cs="Times New Roman"/>
          <w:sz w:val="22"/>
          <w:szCs w:val="22"/>
        </w:rPr>
        <w:t xml:space="preserve"> RCII</w:t>
      </w:r>
      <w:r w:rsidR="002A4080" w:rsidRPr="00A53105">
        <w:rPr>
          <w:rFonts w:ascii="Times New Roman" w:eastAsia="宋体" w:hAnsi="Times New Roman" w:cs="Times New Roman" w:hint="eastAsia"/>
          <w:sz w:val="22"/>
          <w:szCs w:val="22"/>
        </w:rPr>
        <w:t>,</w:t>
      </w:r>
      <w:r w:rsidRPr="00A53105">
        <w:rPr>
          <w:rFonts w:ascii="Times New Roman" w:eastAsia="宋体" w:hAnsi="Times New Roman" w:cs="Times New Roman"/>
          <w:sz w:val="22"/>
          <w:szCs w:val="22"/>
        </w:rPr>
        <w:t xml:space="preserve"> </w:t>
      </w:r>
      <w:r w:rsidRPr="00A53105">
        <w:rPr>
          <w:rFonts w:ascii="Times New Roman" w:eastAsia="等线" w:hAnsi="Times New Roman" w:cs="Times New Roman"/>
          <w:color w:val="000000"/>
          <w:sz w:val="22"/>
          <w:szCs w:val="22"/>
        </w:rPr>
        <w:t>Residual cholesterol-inflammation index</w:t>
      </w:r>
      <w:r w:rsidR="002A4080" w:rsidRPr="00A53105">
        <w:rPr>
          <w:rFonts w:ascii="Times New Roman" w:eastAsia="宋体" w:hAnsi="Times New Roman" w:cs="Times New Roman" w:hint="eastAsia"/>
          <w:sz w:val="22"/>
          <w:szCs w:val="22"/>
        </w:rPr>
        <w:t>;</w:t>
      </w:r>
      <w:r w:rsidRPr="00A53105">
        <w:rPr>
          <w:rFonts w:ascii="Times New Roman" w:eastAsia="宋体" w:hAnsi="Times New Roman" w:cs="Times New Roman"/>
          <w:sz w:val="22"/>
          <w:szCs w:val="22"/>
        </w:rPr>
        <w:t xml:space="preserve"> MAFLD</w:t>
      </w:r>
      <w:r w:rsidR="002A4080" w:rsidRPr="00A53105">
        <w:rPr>
          <w:rFonts w:ascii="Times New Roman" w:eastAsia="宋体" w:hAnsi="Times New Roman" w:cs="Times New Roman" w:hint="eastAsia"/>
          <w:sz w:val="22"/>
          <w:szCs w:val="22"/>
        </w:rPr>
        <w:t>,</w:t>
      </w:r>
      <w:r w:rsidRPr="00A53105">
        <w:rPr>
          <w:rFonts w:ascii="Times New Roman" w:eastAsia="宋体" w:hAnsi="Times New Roman" w:cs="Times New Roman"/>
          <w:sz w:val="22"/>
          <w:szCs w:val="22"/>
        </w:rPr>
        <w:t xml:space="preserve"> </w:t>
      </w:r>
      <w:r w:rsidRPr="00A53105">
        <w:rPr>
          <w:rFonts w:ascii="Times New Roman" w:eastAsia="等线" w:hAnsi="Times New Roman" w:cs="Times New Roman"/>
          <w:color w:val="000000"/>
          <w:sz w:val="22"/>
          <w:szCs w:val="22"/>
        </w:rPr>
        <w:t>Metabolic dysfunction-associated fatty liver disease</w:t>
      </w:r>
      <w:r w:rsidR="002A4080" w:rsidRPr="00A53105">
        <w:rPr>
          <w:rFonts w:ascii="Times New Roman" w:eastAsia="宋体" w:hAnsi="Times New Roman" w:cs="Times New Roman" w:hint="eastAsia"/>
          <w:sz w:val="22"/>
          <w:szCs w:val="22"/>
        </w:rPr>
        <w:t>;</w:t>
      </w:r>
      <w:r w:rsidRPr="00A53105">
        <w:rPr>
          <w:rFonts w:ascii="Times New Roman" w:eastAsia="宋体" w:hAnsi="Times New Roman" w:cs="Times New Roman"/>
          <w:sz w:val="22"/>
          <w:szCs w:val="22"/>
        </w:rPr>
        <w:t xml:space="preserve"> </w:t>
      </w:r>
      <w:r w:rsidRPr="00A53105">
        <w:rPr>
          <w:rFonts w:ascii="Times New Roman" w:eastAsia="宋体" w:hAnsi="Times New Roman" w:cs="Times New Roman"/>
          <w:color w:val="000000"/>
          <w:kern w:val="0"/>
          <w:sz w:val="22"/>
          <w:szCs w:val="22"/>
          <w:lang w:bidi="ar"/>
        </w:rPr>
        <w:t>CVD</w:t>
      </w:r>
      <w:r w:rsidR="002A4080" w:rsidRPr="00A53105">
        <w:rPr>
          <w:rFonts w:ascii="Times New Roman" w:eastAsia="宋体" w:hAnsi="Times New Roman" w:cs="Times New Roman" w:hint="eastAsia"/>
          <w:color w:val="000000"/>
          <w:kern w:val="0"/>
          <w:sz w:val="22"/>
          <w:szCs w:val="22"/>
          <w:lang w:bidi="ar"/>
        </w:rPr>
        <w:t>,</w:t>
      </w:r>
      <w:r w:rsidRPr="00A53105">
        <w:rPr>
          <w:rFonts w:ascii="Times New Roman" w:eastAsia="宋体" w:hAnsi="Times New Roman" w:cs="Times New Roman"/>
          <w:color w:val="000000"/>
          <w:kern w:val="0"/>
          <w:sz w:val="22"/>
          <w:szCs w:val="22"/>
          <w:lang w:bidi="ar"/>
        </w:rPr>
        <w:t xml:space="preserve"> </w:t>
      </w:r>
      <w:r w:rsidRPr="00A53105">
        <w:rPr>
          <w:rFonts w:ascii="Times New Roman" w:eastAsia="等线" w:hAnsi="Times New Roman" w:cs="Times New Roman"/>
          <w:color w:val="000000"/>
          <w:sz w:val="22"/>
          <w:szCs w:val="22"/>
        </w:rPr>
        <w:t>Cardiovascular disease</w:t>
      </w:r>
      <w:r w:rsidR="002A4080" w:rsidRPr="00A53105">
        <w:rPr>
          <w:rFonts w:ascii="Times New Roman" w:eastAsia="宋体" w:hAnsi="Times New Roman" w:cs="Times New Roman" w:hint="eastAsia"/>
          <w:color w:val="000000"/>
          <w:kern w:val="0"/>
          <w:sz w:val="22"/>
          <w:szCs w:val="22"/>
          <w:lang w:bidi="ar"/>
        </w:rPr>
        <w:t>;</w:t>
      </w:r>
      <w:r w:rsidRPr="00A53105">
        <w:rPr>
          <w:rFonts w:ascii="Times New Roman" w:eastAsia="宋体" w:hAnsi="Times New Roman" w:cs="Times New Roman"/>
          <w:color w:val="000000"/>
          <w:kern w:val="0"/>
          <w:sz w:val="22"/>
          <w:szCs w:val="22"/>
          <w:lang w:bidi="ar"/>
        </w:rPr>
        <w:t xml:space="preserve"> ADE</w:t>
      </w:r>
      <w:r w:rsidR="002A4080" w:rsidRPr="00A53105">
        <w:rPr>
          <w:rFonts w:ascii="Times New Roman" w:eastAsia="宋体" w:hAnsi="Times New Roman" w:cs="Times New Roman" w:hint="eastAsia"/>
          <w:color w:val="000000"/>
          <w:kern w:val="0"/>
          <w:sz w:val="22"/>
          <w:szCs w:val="22"/>
          <w:lang w:bidi="ar"/>
        </w:rPr>
        <w:t>,</w:t>
      </w:r>
      <w:r w:rsidRPr="00A53105">
        <w:rPr>
          <w:rFonts w:ascii="Times New Roman" w:eastAsia="宋体" w:hAnsi="Times New Roman" w:cs="Times New Roman"/>
          <w:color w:val="000000"/>
          <w:kern w:val="0"/>
          <w:sz w:val="22"/>
          <w:szCs w:val="22"/>
          <w:lang w:bidi="ar"/>
        </w:rPr>
        <w:t xml:space="preserve"> A</w:t>
      </w:r>
      <w:r w:rsidRPr="00A53105">
        <w:rPr>
          <w:rFonts w:ascii="Times New Roman" w:hAnsi="Times New Roman" w:cs="Times New Roman"/>
          <w:color w:val="404040"/>
          <w:sz w:val="22"/>
          <w:szCs w:val="22"/>
          <w:shd w:val="clear" w:color="auto" w:fill="FFFFFF"/>
        </w:rPr>
        <w:t xml:space="preserve">verage </w:t>
      </w:r>
      <w:r w:rsidR="00A3299F" w:rsidRPr="00A53105">
        <w:rPr>
          <w:rFonts w:ascii="Times New Roman" w:hAnsi="Times New Roman" w:cs="Times New Roman" w:hint="eastAsia"/>
          <w:color w:val="404040"/>
          <w:sz w:val="22"/>
          <w:szCs w:val="22"/>
          <w:shd w:val="clear" w:color="auto" w:fill="FFFFFF"/>
        </w:rPr>
        <w:t>d</w:t>
      </w:r>
      <w:r w:rsidRPr="00A53105">
        <w:rPr>
          <w:rFonts w:ascii="Times New Roman" w:hAnsi="Times New Roman" w:cs="Times New Roman"/>
          <w:color w:val="404040"/>
          <w:sz w:val="22"/>
          <w:szCs w:val="22"/>
          <w:shd w:val="clear" w:color="auto" w:fill="FFFFFF"/>
        </w:rPr>
        <w:t xml:space="preserve">irect </w:t>
      </w:r>
      <w:r w:rsidR="00A3299F" w:rsidRPr="00A53105">
        <w:rPr>
          <w:rFonts w:ascii="Times New Roman" w:hAnsi="Times New Roman" w:cs="Times New Roman" w:hint="eastAsia"/>
          <w:color w:val="404040"/>
          <w:sz w:val="22"/>
          <w:szCs w:val="22"/>
          <w:shd w:val="clear" w:color="auto" w:fill="FFFFFF"/>
        </w:rPr>
        <w:t>e</w:t>
      </w:r>
      <w:r w:rsidRPr="00A53105">
        <w:rPr>
          <w:rFonts w:ascii="Times New Roman" w:hAnsi="Times New Roman" w:cs="Times New Roman"/>
          <w:color w:val="404040"/>
          <w:sz w:val="22"/>
          <w:szCs w:val="22"/>
          <w:shd w:val="clear" w:color="auto" w:fill="FFFFFF"/>
        </w:rPr>
        <w:t>ffect</w:t>
      </w:r>
      <w:r w:rsidR="002A4080" w:rsidRPr="00A53105">
        <w:rPr>
          <w:rFonts w:ascii="Times New Roman" w:eastAsia="宋体" w:hAnsi="Times New Roman" w:cs="Times New Roman" w:hint="eastAsia"/>
          <w:color w:val="000000"/>
          <w:kern w:val="0"/>
          <w:sz w:val="22"/>
          <w:szCs w:val="22"/>
          <w:lang w:bidi="ar"/>
        </w:rPr>
        <w:t>;</w:t>
      </w:r>
      <w:r w:rsidRPr="00A53105">
        <w:rPr>
          <w:rFonts w:ascii="Times New Roman" w:eastAsia="宋体" w:hAnsi="Times New Roman" w:cs="Times New Roman"/>
          <w:color w:val="000000"/>
          <w:kern w:val="0"/>
          <w:sz w:val="22"/>
          <w:szCs w:val="22"/>
          <w:lang w:bidi="ar"/>
        </w:rPr>
        <w:t xml:space="preserve"> ACME</w:t>
      </w:r>
      <w:r w:rsidR="002A4080" w:rsidRPr="00A53105">
        <w:rPr>
          <w:rFonts w:ascii="Times New Roman" w:eastAsia="宋体" w:hAnsi="Times New Roman" w:cs="Times New Roman" w:hint="eastAsia"/>
          <w:color w:val="000000"/>
          <w:kern w:val="0"/>
          <w:sz w:val="22"/>
          <w:szCs w:val="22"/>
          <w:lang w:bidi="ar"/>
        </w:rPr>
        <w:t>,</w:t>
      </w:r>
      <w:r w:rsidRPr="00A53105">
        <w:rPr>
          <w:rFonts w:ascii="Times New Roman" w:eastAsia="宋体" w:hAnsi="Times New Roman" w:cs="Times New Roman"/>
          <w:color w:val="000000"/>
          <w:kern w:val="0"/>
          <w:sz w:val="22"/>
          <w:szCs w:val="22"/>
          <w:lang w:bidi="ar"/>
        </w:rPr>
        <w:t xml:space="preserve"> </w:t>
      </w:r>
      <w:r w:rsidRPr="00A53105">
        <w:rPr>
          <w:rFonts w:ascii="Times New Roman" w:eastAsia="等线" w:hAnsi="Times New Roman" w:cs="Times New Roman"/>
          <w:color w:val="000000"/>
          <w:sz w:val="22"/>
          <w:szCs w:val="22"/>
        </w:rPr>
        <w:t>Average causal mediation effect</w:t>
      </w:r>
    </w:p>
    <w:sectPr w:rsidR="00770BE4" w:rsidRPr="00A5310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926A5" w14:textId="77777777" w:rsidR="00BD5F8F" w:rsidRDefault="00BD5F8F" w:rsidP="00EF08CE">
      <w:r>
        <w:separator/>
      </w:r>
    </w:p>
  </w:endnote>
  <w:endnote w:type="continuationSeparator" w:id="0">
    <w:p w14:paraId="4A22B770" w14:textId="77777777" w:rsidR="00BD5F8F" w:rsidRDefault="00BD5F8F" w:rsidP="00EF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8312B" w14:textId="77777777" w:rsidR="00BD5F8F" w:rsidRDefault="00BD5F8F" w:rsidP="00EF08CE">
      <w:r>
        <w:separator/>
      </w:r>
    </w:p>
  </w:footnote>
  <w:footnote w:type="continuationSeparator" w:id="0">
    <w:p w14:paraId="2AAD60E4" w14:textId="77777777" w:rsidR="00BD5F8F" w:rsidRDefault="00BD5F8F" w:rsidP="00EF08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A3N7ewNDA2MjEyNTVS0lEKTi0uzszPAykwqQUAebamiSwAAAA="/>
  </w:docVars>
  <w:rsids>
    <w:rsidRoot w:val="00770BE4"/>
    <w:rsid w:val="00006C1C"/>
    <w:rsid w:val="00200A52"/>
    <w:rsid w:val="002A4080"/>
    <w:rsid w:val="002B5959"/>
    <w:rsid w:val="00587FD7"/>
    <w:rsid w:val="005A2CE1"/>
    <w:rsid w:val="00770BE4"/>
    <w:rsid w:val="007D4B96"/>
    <w:rsid w:val="008978D5"/>
    <w:rsid w:val="009662E7"/>
    <w:rsid w:val="009F1564"/>
    <w:rsid w:val="00A3299F"/>
    <w:rsid w:val="00A404C9"/>
    <w:rsid w:val="00A53105"/>
    <w:rsid w:val="00BD5F8F"/>
    <w:rsid w:val="00C63C51"/>
    <w:rsid w:val="00DA4CE3"/>
    <w:rsid w:val="00EE65A3"/>
    <w:rsid w:val="00EF08CE"/>
    <w:rsid w:val="0414147C"/>
    <w:rsid w:val="07887B25"/>
    <w:rsid w:val="0976602C"/>
    <w:rsid w:val="102E38C6"/>
    <w:rsid w:val="11621A79"/>
    <w:rsid w:val="171E6442"/>
    <w:rsid w:val="1ED35129"/>
    <w:rsid w:val="215D400B"/>
    <w:rsid w:val="23056708"/>
    <w:rsid w:val="296C439D"/>
    <w:rsid w:val="321B4FE3"/>
    <w:rsid w:val="35D2691D"/>
    <w:rsid w:val="378A277A"/>
    <w:rsid w:val="39AE31FE"/>
    <w:rsid w:val="3B4E12D8"/>
    <w:rsid w:val="3F0E6222"/>
    <w:rsid w:val="3FD34B0E"/>
    <w:rsid w:val="403B6E09"/>
    <w:rsid w:val="41D8350E"/>
    <w:rsid w:val="43B4782A"/>
    <w:rsid w:val="4C9E7102"/>
    <w:rsid w:val="4CE70AA9"/>
    <w:rsid w:val="536F4434"/>
    <w:rsid w:val="537B63EF"/>
    <w:rsid w:val="58381F7A"/>
    <w:rsid w:val="5B3255E5"/>
    <w:rsid w:val="5C5123E2"/>
    <w:rsid w:val="695D55C5"/>
    <w:rsid w:val="6A3B29B9"/>
    <w:rsid w:val="6A6E5F0E"/>
    <w:rsid w:val="6C6B0957"/>
    <w:rsid w:val="6CBC11B2"/>
    <w:rsid w:val="75DF5F11"/>
    <w:rsid w:val="760A7704"/>
    <w:rsid w:val="78713799"/>
    <w:rsid w:val="7BBC0C9C"/>
    <w:rsid w:val="7BFF2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7C44180"/>
  <w15:docId w15:val="{9BC75001-D727-4D13-9204-46E150108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</w:rPr>
  </w:style>
  <w:style w:type="paragraph" w:styleId="a4">
    <w:name w:val="header"/>
    <w:basedOn w:val="a"/>
    <w:link w:val="a5"/>
    <w:rsid w:val="00EF08C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EF08C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EF08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EF08CE"/>
    <w:rPr>
      <w:rFonts w:asciiTheme="minorHAnsi" w:eastAsiaTheme="minorEastAsia" w:hAnsiTheme="minorHAnsi" w:cstheme="minorBidi"/>
      <w:kern w:val="2"/>
      <w:sz w:val="18"/>
      <w:szCs w:val="18"/>
    </w:rPr>
  </w:style>
  <w:style w:type="table" w:styleId="a8">
    <w:name w:val="Table Grid"/>
    <w:basedOn w:val="a1"/>
    <w:uiPriority w:val="59"/>
    <w:rsid w:val="002B5959"/>
    <w:rPr>
      <w:rFonts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caption"/>
    <w:basedOn w:val="a"/>
    <w:next w:val="a"/>
    <w:unhideWhenUsed/>
    <w:qFormat/>
    <w:rsid w:val="00587FD7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56488-AD29-4431-BC98-4806D8A9E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11</Pages>
  <Words>716</Words>
  <Characters>4082</Characters>
  <Application>Microsoft Office Word</Application>
  <DocSecurity>0</DocSecurity>
  <Lines>34</Lines>
  <Paragraphs>9</Paragraphs>
  <ScaleCrop>false</ScaleCrop>
  <Company/>
  <LinksUpToDate>false</LinksUpToDate>
  <CharactersWithSpaces>4789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98219</dc:creator>
  <cp:lastModifiedBy>User</cp:lastModifiedBy>
  <cp:revision>8</cp:revision>
  <dcterms:created xsi:type="dcterms:W3CDTF">2025-07-09T07:43:00Z</dcterms:created>
  <dcterms:modified xsi:type="dcterms:W3CDTF">2025-09-11T05:12:00Z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eyJoZGlkIjoiMDE4MjlkMzc1OGQ4NDA4YjE3N2MzNzEwNTJhMGFjZTAiLCJ1c2VySWQiOiI0MzE5MjIyMDIifQ==</vt:lpwstr>
  </property>
  <property fmtid="{D5CDD505-2E9C-101B-9397-08002B2CF9AE}" pid="4" name="ICV">
    <vt:lpwstr>AE62C99EF70E42F086117BF3A306CF2B_12</vt:lpwstr>
  </property>
</Properties>
</file>