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E93" w:rsidRPr="00F91BAC" w:rsidRDefault="00000E93" w:rsidP="00000E93">
      <w:pPr>
        <w:pStyle w:val="Caption"/>
        <w:rPr>
          <w:b/>
          <w:bCs/>
        </w:rPr>
      </w:pPr>
      <w:bookmarkStart w:id="0" w:name="_Ref47515309"/>
      <w:r w:rsidRPr="00F91BAC">
        <w:rPr>
          <w:b/>
          <w:bCs/>
        </w:rPr>
        <w:t xml:space="preserve">Supplementary Table </w:t>
      </w:r>
      <w:r w:rsidRPr="00F91BAC">
        <w:rPr>
          <w:b/>
          <w:bCs/>
        </w:rPr>
        <w:fldChar w:fldCharType="begin"/>
      </w:r>
      <w:r w:rsidRPr="00F91BAC">
        <w:rPr>
          <w:b/>
          <w:bCs/>
        </w:rPr>
        <w:instrText xml:space="preserve"> SEQ Supplementary_Table \* ARABIC </w:instrText>
      </w:r>
      <w:r w:rsidRPr="00F91BAC">
        <w:rPr>
          <w:b/>
          <w:bCs/>
        </w:rPr>
        <w:fldChar w:fldCharType="separate"/>
      </w:r>
      <w:r>
        <w:rPr>
          <w:b/>
          <w:bCs/>
          <w:noProof/>
        </w:rPr>
        <w:t>1</w:t>
      </w:r>
      <w:r w:rsidRPr="00F91BAC">
        <w:rPr>
          <w:b/>
          <w:bCs/>
        </w:rPr>
        <w:fldChar w:fldCharType="end"/>
      </w:r>
      <w:bookmarkEnd w:id="0"/>
      <w:r>
        <w:rPr>
          <w:b/>
          <w:bCs/>
        </w:rPr>
        <w:t xml:space="preserve"> </w:t>
      </w:r>
      <w:r w:rsidRPr="00C8359A">
        <w:t>Changes in comedication with glucocorticoids and methotrexate during the first year in cohorts C1–C4</w:t>
      </w:r>
    </w:p>
    <w:tbl>
      <w:tblPr>
        <w:tblW w:w="8217" w:type="dxa"/>
        <w:tblLayout w:type="fixed"/>
        <w:tblCellMar>
          <w:left w:w="0" w:type="dxa"/>
          <w:right w:w="0" w:type="dxa"/>
        </w:tblCellMar>
        <w:tblLook w:val="04A0" w:firstRow="1" w:lastRow="0" w:firstColumn="1" w:lastColumn="0" w:noHBand="0" w:noVBand="1"/>
      </w:tblPr>
      <w:tblGrid>
        <w:gridCol w:w="4390"/>
        <w:gridCol w:w="956"/>
        <w:gridCol w:w="957"/>
        <w:gridCol w:w="957"/>
        <w:gridCol w:w="957"/>
      </w:tblGrid>
      <w:tr w:rsidR="00000E93" w:rsidTr="0032616F">
        <w:trPr>
          <w:trHeight w:val="300"/>
        </w:trPr>
        <w:tc>
          <w:tcPr>
            <w:tcW w:w="4390"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000E93" w:rsidRPr="004E3E20" w:rsidRDefault="00000E93" w:rsidP="0032616F">
            <w:pPr>
              <w:spacing w:after="0" w:line="240" w:lineRule="auto"/>
              <w:jc w:val="left"/>
            </w:pPr>
            <w:r w:rsidRPr="004E3E20">
              <w:t>Glucocorticoids (GCs)</w:t>
            </w:r>
          </w:p>
        </w:tc>
        <w:tc>
          <w:tcPr>
            <w:tcW w:w="956"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C1</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C2</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C3</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C4</w:t>
            </w:r>
          </w:p>
        </w:tc>
      </w:tr>
      <w:tr w:rsidR="00000E93" w:rsidTr="0032616F">
        <w:trPr>
          <w:trHeight w:val="600"/>
        </w:trPr>
        <w:tc>
          <w:tcPr>
            <w:tcW w:w="4390" w:type="dxa"/>
            <w:tcBorders>
              <w:top w:val="single" w:sz="4" w:space="0" w:color="auto"/>
            </w:tcBorders>
            <w:shd w:val="clear" w:color="auto" w:fill="auto"/>
            <w:tcMar>
              <w:top w:w="15" w:type="dxa"/>
              <w:left w:w="15" w:type="dxa"/>
              <w:bottom w:w="0" w:type="dxa"/>
              <w:right w:w="15" w:type="dxa"/>
            </w:tcMar>
            <w:vAlign w:val="center"/>
            <w:hideMark/>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Change in comedication with GCs in M1–M5 (yes → no or no → yes)</w:t>
            </w:r>
          </w:p>
        </w:tc>
        <w:tc>
          <w:tcPr>
            <w:tcW w:w="956" w:type="dxa"/>
            <w:tcBorders>
              <w:top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17.0%</w:t>
            </w:r>
          </w:p>
        </w:tc>
        <w:tc>
          <w:tcPr>
            <w:tcW w:w="957" w:type="dxa"/>
            <w:tcBorders>
              <w:top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11.2%</w:t>
            </w:r>
          </w:p>
        </w:tc>
        <w:tc>
          <w:tcPr>
            <w:tcW w:w="957" w:type="dxa"/>
            <w:tcBorders>
              <w:top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7.1%</w:t>
            </w:r>
          </w:p>
        </w:tc>
        <w:tc>
          <w:tcPr>
            <w:tcW w:w="957" w:type="dxa"/>
            <w:tcBorders>
              <w:top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7.2%</w:t>
            </w:r>
          </w:p>
        </w:tc>
      </w:tr>
      <w:tr w:rsidR="00000E93" w:rsidTr="0032616F">
        <w:trPr>
          <w:trHeight w:val="600"/>
        </w:trPr>
        <w:tc>
          <w:tcPr>
            <w:tcW w:w="4390" w:type="dxa"/>
            <w:shd w:val="clear" w:color="auto" w:fill="auto"/>
            <w:tcMar>
              <w:top w:w="15" w:type="dxa"/>
              <w:left w:w="15" w:type="dxa"/>
              <w:bottom w:w="0" w:type="dxa"/>
              <w:right w:w="15" w:type="dxa"/>
            </w:tcMar>
            <w:vAlign w:val="center"/>
            <w:hideMark/>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Change in comedication with GCs in M6–M12</w:t>
            </w:r>
            <w:r>
              <w:rPr>
                <w:rFonts w:ascii="Calibri" w:hAnsi="Calibri" w:cs="Calibri"/>
                <w:color w:val="000000"/>
              </w:rPr>
              <w:br/>
              <w:t>(yes →no or no → yes)</w:t>
            </w:r>
          </w:p>
        </w:tc>
        <w:tc>
          <w:tcPr>
            <w:tcW w:w="956" w:type="dxa"/>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9.1%</w:t>
            </w:r>
          </w:p>
        </w:tc>
        <w:tc>
          <w:tcPr>
            <w:tcW w:w="957" w:type="dxa"/>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8.5%</w:t>
            </w:r>
          </w:p>
        </w:tc>
        <w:tc>
          <w:tcPr>
            <w:tcW w:w="957" w:type="dxa"/>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17.1%</w:t>
            </w:r>
          </w:p>
        </w:tc>
        <w:tc>
          <w:tcPr>
            <w:tcW w:w="957" w:type="dxa"/>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5.7%</w:t>
            </w:r>
          </w:p>
        </w:tc>
      </w:tr>
      <w:tr w:rsidR="00000E93" w:rsidTr="0032616F">
        <w:trPr>
          <w:trHeight w:val="300"/>
        </w:trPr>
        <w:tc>
          <w:tcPr>
            <w:tcW w:w="4390" w:type="dxa"/>
            <w:tcBorders>
              <w:bottom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No change in M1–M12</w:t>
            </w:r>
            <w:r>
              <w:rPr>
                <w:rFonts w:ascii="Calibri" w:hAnsi="Calibri" w:cs="Calibri"/>
                <w:color w:val="000000"/>
              </w:rPr>
              <w:br/>
              <w:t>(yes → yes or no → no)</w:t>
            </w:r>
          </w:p>
        </w:tc>
        <w:tc>
          <w:tcPr>
            <w:tcW w:w="956" w:type="dxa"/>
            <w:tcBorders>
              <w:bottom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73.9%</w:t>
            </w:r>
          </w:p>
        </w:tc>
        <w:tc>
          <w:tcPr>
            <w:tcW w:w="957" w:type="dxa"/>
            <w:tcBorders>
              <w:bottom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80.3%</w:t>
            </w:r>
          </w:p>
        </w:tc>
        <w:tc>
          <w:tcPr>
            <w:tcW w:w="957" w:type="dxa"/>
            <w:tcBorders>
              <w:bottom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75.8%</w:t>
            </w:r>
          </w:p>
        </w:tc>
        <w:tc>
          <w:tcPr>
            <w:tcW w:w="957" w:type="dxa"/>
            <w:tcBorders>
              <w:bottom w:val="single" w:sz="4" w:space="0" w:color="auto"/>
            </w:tcBorders>
            <w:shd w:val="clear" w:color="auto" w:fill="auto"/>
            <w:noWrap/>
            <w:tcMar>
              <w:top w:w="15" w:type="dxa"/>
              <w:left w:w="15" w:type="dxa"/>
              <w:bottom w:w="0" w:type="dxa"/>
              <w:right w:w="15" w:type="dxa"/>
            </w:tcMar>
            <w:vAlign w:val="center"/>
            <w:hideMark/>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87.1%</w:t>
            </w:r>
          </w:p>
        </w:tc>
      </w:tr>
      <w:tr w:rsidR="00000E93" w:rsidTr="0032616F">
        <w:trPr>
          <w:trHeight w:val="300"/>
        </w:trPr>
        <w:tc>
          <w:tcPr>
            <w:tcW w:w="4390" w:type="dxa"/>
            <w:tcBorders>
              <w:top w:val="single" w:sz="4" w:space="0" w:color="auto"/>
              <w:bottom w:val="single" w:sz="4" w:space="0" w:color="auto"/>
            </w:tcBorders>
            <w:shd w:val="clear" w:color="auto" w:fill="auto"/>
            <w:noWrap/>
            <w:tcMar>
              <w:top w:w="15" w:type="dxa"/>
              <w:left w:w="15" w:type="dxa"/>
              <w:bottom w:w="0" w:type="dxa"/>
              <w:right w:w="15" w:type="dxa"/>
            </w:tcMar>
            <w:vAlign w:val="center"/>
          </w:tcPr>
          <w:p w:rsidR="00000E93" w:rsidRPr="004E3E20" w:rsidRDefault="00000E93" w:rsidP="0032616F">
            <w:pPr>
              <w:spacing w:after="0" w:line="240" w:lineRule="auto"/>
              <w:jc w:val="left"/>
              <w:rPr>
                <w:rFonts w:ascii="Calibri" w:hAnsi="Calibri" w:cs="Calibri"/>
                <w:color w:val="000000"/>
              </w:rPr>
            </w:pPr>
            <w:r w:rsidRPr="004E3E20">
              <w:rPr>
                <w:rFonts w:ascii="Calibri" w:hAnsi="Calibri" w:cs="Calibri"/>
                <w:color w:val="000000"/>
              </w:rPr>
              <w:t>Methotrexate (MTX)</w:t>
            </w:r>
          </w:p>
        </w:tc>
        <w:tc>
          <w:tcPr>
            <w:tcW w:w="956" w:type="dxa"/>
            <w:tcBorders>
              <w:top w:val="single" w:sz="4" w:space="0" w:color="auto"/>
              <w:bottom w:val="single" w:sz="4" w:space="0" w:color="auto"/>
            </w:tcBorders>
            <w:shd w:val="clear" w:color="auto" w:fill="auto"/>
            <w:noWrap/>
            <w:tcMar>
              <w:top w:w="15" w:type="dxa"/>
              <w:left w:w="15" w:type="dxa"/>
              <w:bottom w:w="0" w:type="dxa"/>
              <w:right w:w="15" w:type="dxa"/>
            </w:tcMar>
            <w:vAlign w:val="center"/>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C1</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C2</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C3</w:t>
            </w:r>
          </w:p>
        </w:tc>
        <w:tc>
          <w:tcPr>
            <w:tcW w:w="957" w:type="dxa"/>
            <w:tcBorders>
              <w:top w:val="single" w:sz="4" w:space="0" w:color="auto"/>
              <w:bottom w:val="single" w:sz="4" w:space="0" w:color="auto"/>
            </w:tcBorders>
            <w:shd w:val="clear" w:color="auto" w:fill="auto"/>
            <w:noWrap/>
            <w:tcMar>
              <w:top w:w="15" w:type="dxa"/>
              <w:left w:w="15" w:type="dxa"/>
              <w:bottom w:w="0" w:type="dxa"/>
              <w:right w:w="15" w:type="dxa"/>
            </w:tcMar>
            <w:vAlign w:val="center"/>
          </w:tcPr>
          <w:p w:rsidR="00000E93" w:rsidRPr="004E3E20" w:rsidRDefault="00000E93" w:rsidP="0032616F">
            <w:pPr>
              <w:spacing w:after="0" w:line="240" w:lineRule="auto"/>
              <w:jc w:val="center"/>
              <w:rPr>
                <w:rFonts w:ascii="Calibri" w:hAnsi="Calibri" w:cs="Calibri"/>
                <w:color w:val="000000"/>
              </w:rPr>
            </w:pPr>
            <w:r w:rsidRPr="004E3E20">
              <w:rPr>
                <w:rFonts w:ascii="Calibri" w:hAnsi="Calibri" w:cs="Calibri"/>
                <w:color w:val="000000"/>
              </w:rPr>
              <w:t>C4</w:t>
            </w:r>
          </w:p>
        </w:tc>
      </w:tr>
      <w:tr w:rsidR="00000E93" w:rsidTr="0032616F">
        <w:trPr>
          <w:trHeight w:val="300"/>
        </w:trPr>
        <w:tc>
          <w:tcPr>
            <w:tcW w:w="4390" w:type="dxa"/>
            <w:tcBorders>
              <w:top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Change in comedication with MTX in M1–M5</w:t>
            </w:r>
            <w:r>
              <w:rPr>
                <w:rFonts w:ascii="Calibri" w:hAnsi="Calibri" w:cs="Calibri"/>
                <w:color w:val="000000"/>
              </w:rPr>
              <w:br/>
              <w:t>(yes → no or no → yes)</w:t>
            </w:r>
          </w:p>
        </w:tc>
        <w:tc>
          <w:tcPr>
            <w:tcW w:w="956" w:type="dxa"/>
            <w:tcBorders>
              <w:top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15.4%</w:t>
            </w:r>
          </w:p>
        </w:tc>
        <w:tc>
          <w:tcPr>
            <w:tcW w:w="957" w:type="dxa"/>
            <w:tcBorders>
              <w:top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5.0%</w:t>
            </w:r>
          </w:p>
        </w:tc>
        <w:tc>
          <w:tcPr>
            <w:tcW w:w="957" w:type="dxa"/>
            <w:tcBorders>
              <w:top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2.7%</w:t>
            </w:r>
          </w:p>
        </w:tc>
        <w:tc>
          <w:tcPr>
            <w:tcW w:w="957" w:type="dxa"/>
            <w:tcBorders>
              <w:top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2.9%</w:t>
            </w:r>
          </w:p>
        </w:tc>
      </w:tr>
      <w:tr w:rsidR="00000E93" w:rsidTr="0032616F">
        <w:trPr>
          <w:trHeight w:val="300"/>
        </w:trPr>
        <w:tc>
          <w:tcPr>
            <w:tcW w:w="4390" w:type="dxa"/>
            <w:shd w:val="clear" w:color="auto" w:fill="auto"/>
            <w:noWrap/>
            <w:tcMar>
              <w:top w:w="15" w:type="dxa"/>
              <w:left w:w="15" w:type="dxa"/>
              <w:bottom w:w="0" w:type="dxa"/>
              <w:right w:w="15" w:type="dxa"/>
            </w:tcMar>
            <w:vAlign w:val="center"/>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Change in comedication with MTX in M6–M12</w:t>
            </w:r>
            <w:r>
              <w:rPr>
                <w:rFonts w:ascii="Calibri" w:hAnsi="Calibri" w:cs="Calibri"/>
                <w:color w:val="000000"/>
              </w:rPr>
              <w:br/>
              <w:t>(yes →no or no → yes)</w:t>
            </w:r>
          </w:p>
        </w:tc>
        <w:tc>
          <w:tcPr>
            <w:tcW w:w="956" w:type="dxa"/>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4.5%</w:t>
            </w:r>
          </w:p>
        </w:tc>
        <w:tc>
          <w:tcPr>
            <w:tcW w:w="957" w:type="dxa"/>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2.8%</w:t>
            </w:r>
          </w:p>
        </w:tc>
        <w:tc>
          <w:tcPr>
            <w:tcW w:w="957" w:type="dxa"/>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7.3%</w:t>
            </w:r>
          </w:p>
        </w:tc>
        <w:tc>
          <w:tcPr>
            <w:tcW w:w="957" w:type="dxa"/>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3.2%</w:t>
            </w:r>
          </w:p>
        </w:tc>
      </w:tr>
      <w:tr w:rsidR="00000E93" w:rsidTr="0032616F">
        <w:trPr>
          <w:trHeight w:val="300"/>
        </w:trPr>
        <w:tc>
          <w:tcPr>
            <w:tcW w:w="4390" w:type="dxa"/>
            <w:tcBorders>
              <w:bottom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left"/>
              <w:rPr>
                <w:rFonts w:ascii="Calibri" w:hAnsi="Calibri" w:cs="Calibri"/>
                <w:color w:val="000000"/>
              </w:rPr>
            </w:pPr>
            <w:r>
              <w:rPr>
                <w:rFonts w:ascii="Calibri" w:hAnsi="Calibri" w:cs="Calibri"/>
                <w:color w:val="000000"/>
              </w:rPr>
              <w:t>No change in M1–M12</w:t>
            </w:r>
            <w:r>
              <w:rPr>
                <w:rFonts w:ascii="Calibri" w:hAnsi="Calibri" w:cs="Calibri"/>
                <w:color w:val="000000"/>
              </w:rPr>
              <w:br/>
              <w:t>(yes → yes or no → no)</w:t>
            </w:r>
          </w:p>
        </w:tc>
        <w:tc>
          <w:tcPr>
            <w:tcW w:w="956" w:type="dxa"/>
            <w:tcBorders>
              <w:bottom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80.1%</w:t>
            </w:r>
          </w:p>
        </w:tc>
        <w:tc>
          <w:tcPr>
            <w:tcW w:w="957" w:type="dxa"/>
            <w:tcBorders>
              <w:bottom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92.1%</w:t>
            </w:r>
          </w:p>
        </w:tc>
        <w:tc>
          <w:tcPr>
            <w:tcW w:w="957" w:type="dxa"/>
            <w:tcBorders>
              <w:bottom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90.1%</w:t>
            </w:r>
          </w:p>
        </w:tc>
        <w:tc>
          <w:tcPr>
            <w:tcW w:w="957" w:type="dxa"/>
            <w:tcBorders>
              <w:bottom w:val="single" w:sz="4" w:space="0" w:color="auto"/>
            </w:tcBorders>
            <w:shd w:val="clear" w:color="auto" w:fill="auto"/>
            <w:noWrap/>
            <w:tcMar>
              <w:top w:w="15" w:type="dxa"/>
              <w:left w:w="15" w:type="dxa"/>
              <w:bottom w:w="0" w:type="dxa"/>
              <w:right w:w="15" w:type="dxa"/>
            </w:tcMar>
            <w:vAlign w:val="center"/>
          </w:tcPr>
          <w:p w:rsidR="00000E93" w:rsidRDefault="00000E93" w:rsidP="0032616F">
            <w:pPr>
              <w:spacing w:after="0" w:line="240" w:lineRule="auto"/>
              <w:jc w:val="center"/>
              <w:rPr>
                <w:rFonts w:ascii="Calibri" w:hAnsi="Calibri" w:cs="Calibri"/>
                <w:color w:val="000000"/>
              </w:rPr>
            </w:pPr>
            <w:r>
              <w:rPr>
                <w:rFonts w:ascii="Calibri" w:hAnsi="Calibri" w:cs="Calibri"/>
                <w:color w:val="000000"/>
              </w:rPr>
              <w:t>93.8%</w:t>
            </w:r>
          </w:p>
        </w:tc>
      </w:tr>
    </w:tbl>
    <w:p w:rsidR="00000E93" w:rsidRDefault="00000E93" w:rsidP="00000E93">
      <w:pPr>
        <w:spacing w:after="0" w:line="480" w:lineRule="auto"/>
        <w:jc w:val="left"/>
        <w:rPr>
          <w:sz w:val="18"/>
          <w:szCs w:val="18"/>
        </w:rPr>
      </w:pPr>
      <w:r w:rsidRPr="001153D1">
        <w:rPr>
          <w:i/>
          <w:iCs/>
          <w:sz w:val="18"/>
          <w:szCs w:val="18"/>
        </w:rPr>
        <w:t>GCs</w:t>
      </w:r>
      <w:r>
        <w:rPr>
          <w:sz w:val="18"/>
          <w:szCs w:val="18"/>
        </w:rPr>
        <w:t xml:space="preserve"> glucocorticoids; </w:t>
      </w:r>
      <w:r w:rsidRPr="001153D1">
        <w:rPr>
          <w:i/>
          <w:iCs/>
          <w:sz w:val="18"/>
          <w:szCs w:val="18"/>
        </w:rPr>
        <w:t>M</w:t>
      </w:r>
      <w:r>
        <w:rPr>
          <w:sz w:val="18"/>
          <w:szCs w:val="18"/>
        </w:rPr>
        <w:t xml:space="preserve"> month; </w:t>
      </w:r>
      <w:r w:rsidRPr="001153D1">
        <w:rPr>
          <w:i/>
          <w:iCs/>
          <w:sz w:val="18"/>
          <w:szCs w:val="18"/>
        </w:rPr>
        <w:t>MTX</w:t>
      </w:r>
      <w:r>
        <w:rPr>
          <w:sz w:val="18"/>
          <w:szCs w:val="18"/>
        </w:rPr>
        <w:t xml:space="preserve"> methotrexate</w:t>
      </w:r>
    </w:p>
    <w:p w:rsidR="00000E93" w:rsidRPr="003525C3" w:rsidRDefault="00000E93" w:rsidP="00000E93">
      <w:pPr>
        <w:spacing w:after="0" w:line="480" w:lineRule="auto"/>
        <w:jc w:val="left"/>
        <w:rPr>
          <w:sz w:val="18"/>
          <w:szCs w:val="18"/>
        </w:rPr>
      </w:pPr>
      <w:r w:rsidRPr="006327EC">
        <w:rPr>
          <w:sz w:val="18"/>
          <w:szCs w:val="18"/>
        </w:rPr>
        <w:t>Percentages of patients changing the comedication with GCs and MTX (in the sense of starting or discontinuing the comedication compared to the situation at baseline) within the studied period are presented in the table.</w:t>
      </w:r>
    </w:p>
    <w:p w:rsidR="00000E93" w:rsidRPr="003525C3" w:rsidRDefault="00000E93" w:rsidP="00000E93">
      <w:pPr>
        <w:spacing w:line="480" w:lineRule="auto"/>
        <w:jc w:val="left"/>
        <w:rPr>
          <w:sz w:val="18"/>
          <w:szCs w:val="18"/>
        </w:rPr>
      </w:pPr>
      <w:r w:rsidRPr="003525C3">
        <w:rPr>
          <w:sz w:val="18"/>
          <w:szCs w:val="18"/>
        </w:rPr>
        <w:br w:type="page"/>
      </w:r>
    </w:p>
    <w:p w:rsidR="00000E93" w:rsidRPr="003525C3" w:rsidRDefault="00000E93" w:rsidP="00000E93">
      <w:pPr>
        <w:pStyle w:val="Caption"/>
      </w:pPr>
      <w:bookmarkStart w:id="1" w:name="_Ref42685480"/>
      <w:r w:rsidRPr="00F91BAC">
        <w:rPr>
          <w:b/>
          <w:bCs/>
        </w:rPr>
        <w:lastRenderedPageBreak/>
        <w:t xml:space="preserve">Supplementary Table </w:t>
      </w:r>
      <w:r w:rsidRPr="00F91BAC">
        <w:rPr>
          <w:b/>
          <w:bCs/>
        </w:rPr>
        <w:fldChar w:fldCharType="begin"/>
      </w:r>
      <w:r w:rsidRPr="00F91BAC">
        <w:rPr>
          <w:b/>
          <w:bCs/>
        </w:rPr>
        <w:instrText xml:space="preserve"> SEQ Supplementary_Table \* ARABIC </w:instrText>
      </w:r>
      <w:r w:rsidRPr="00F91BAC">
        <w:rPr>
          <w:b/>
          <w:bCs/>
        </w:rPr>
        <w:fldChar w:fldCharType="separate"/>
      </w:r>
      <w:r>
        <w:rPr>
          <w:b/>
          <w:bCs/>
          <w:noProof/>
        </w:rPr>
        <w:t>2</w:t>
      </w:r>
      <w:r w:rsidRPr="00F91BAC">
        <w:rPr>
          <w:b/>
          <w:bCs/>
        </w:rPr>
        <w:fldChar w:fldCharType="end"/>
      </w:r>
      <w:bookmarkEnd w:id="1"/>
      <w:r w:rsidRPr="003525C3">
        <w:rPr>
          <w:i/>
        </w:rPr>
        <w:t xml:space="preserve"> </w:t>
      </w:r>
      <w:r w:rsidRPr="003525C3">
        <w:t xml:space="preserve">Comparison of differences in parameters from </w:t>
      </w:r>
      <w:r>
        <w:t>month 6</w:t>
      </w:r>
      <w:r w:rsidRPr="003525C3">
        <w:t xml:space="preserve"> to 12 between cohort </w:t>
      </w:r>
      <w:bookmarkStart w:id="2" w:name="_GoBack"/>
      <w:bookmarkEnd w:id="2"/>
      <w:r w:rsidRPr="003525C3">
        <w:t>C3 and C4</w:t>
      </w:r>
    </w:p>
    <w:tbl>
      <w:tblPr>
        <w:tblW w:w="9034" w:type="dxa"/>
        <w:tblBorders>
          <w:top w:val="single" w:sz="8" w:space="0" w:color="auto"/>
          <w:bottom w:val="single" w:sz="8" w:space="0" w:color="auto"/>
        </w:tblBorders>
        <w:tblLook w:val="04A0" w:firstRow="1" w:lastRow="0" w:firstColumn="1" w:lastColumn="0" w:noHBand="0" w:noVBand="1"/>
      </w:tblPr>
      <w:tblGrid>
        <w:gridCol w:w="1833"/>
        <w:gridCol w:w="2213"/>
        <w:gridCol w:w="1020"/>
        <w:gridCol w:w="1928"/>
        <w:gridCol w:w="1020"/>
        <w:gridCol w:w="1020"/>
      </w:tblGrid>
      <w:tr w:rsidR="00000E93" w:rsidRPr="003525C3" w:rsidTr="0032616F">
        <w:trPr>
          <w:trHeight w:val="345"/>
        </w:trPr>
        <w:tc>
          <w:tcPr>
            <w:tcW w:w="1833" w:type="dxa"/>
            <w:tcBorders>
              <w:top w:val="single" w:sz="8" w:space="0" w:color="auto"/>
              <w:bottom w:val="single" w:sz="8" w:space="0" w:color="auto"/>
            </w:tcBorders>
            <w:shd w:val="clear" w:color="auto" w:fill="auto"/>
            <w:noWrap/>
            <w:vAlign w:val="bottom"/>
            <w:hideMark/>
          </w:tcPr>
          <w:p w:rsidR="00000E93" w:rsidRPr="003525C3" w:rsidRDefault="00000E93" w:rsidP="0032616F">
            <w:pPr>
              <w:spacing w:after="0" w:line="240" w:lineRule="auto"/>
              <w:jc w:val="left"/>
              <w:rPr>
                <w:rFonts w:ascii="Times New Roman" w:eastAsia="Times New Roman" w:hAnsi="Times New Roman" w:cs="Times New Roman"/>
                <w:sz w:val="24"/>
                <w:szCs w:val="24"/>
                <w:lang w:eastAsia="en-GB"/>
              </w:rPr>
            </w:pPr>
          </w:p>
        </w:tc>
        <w:tc>
          <w:tcPr>
            <w:tcW w:w="2213" w:type="dxa"/>
            <w:tcBorders>
              <w:top w:val="single" w:sz="8" w:space="0" w:color="auto"/>
              <w:bottom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C3 (</w:t>
            </w:r>
            <w:r w:rsidRPr="003525C3">
              <w:rPr>
                <w:rFonts w:ascii="Calibri" w:eastAsia="Times New Roman" w:hAnsi="Calibri" w:cs="Calibri"/>
                <w:i/>
                <w:iCs/>
                <w:color w:val="000000"/>
                <w:lang w:eastAsia="en-GB"/>
              </w:rPr>
              <w:t>n</w:t>
            </w:r>
            <w:r w:rsidRPr="003525C3">
              <w:rPr>
                <w:rFonts w:ascii="Calibri" w:eastAsia="Times New Roman" w:hAnsi="Calibri" w:cs="Calibri"/>
                <w:color w:val="000000"/>
                <w:lang w:eastAsia="en-GB"/>
              </w:rPr>
              <w:t>=124)</w:t>
            </w:r>
          </w:p>
        </w:tc>
        <w:tc>
          <w:tcPr>
            <w:tcW w:w="1020" w:type="dxa"/>
            <w:tcBorders>
              <w:top w:val="single" w:sz="8" w:space="0" w:color="auto"/>
              <w:bottom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P-value*</w:t>
            </w:r>
          </w:p>
        </w:tc>
        <w:tc>
          <w:tcPr>
            <w:tcW w:w="1928" w:type="dxa"/>
            <w:tcBorders>
              <w:top w:val="single" w:sz="8" w:space="0" w:color="auto"/>
              <w:bottom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C4 (</w:t>
            </w:r>
            <w:r w:rsidRPr="003525C3">
              <w:rPr>
                <w:rFonts w:ascii="Calibri" w:eastAsia="Times New Roman" w:hAnsi="Calibri" w:cs="Calibri"/>
                <w:i/>
                <w:iCs/>
                <w:color w:val="000000"/>
                <w:lang w:eastAsia="en-GB"/>
              </w:rPr>
              <w:t>n</w:t>
            </w:r>
            <w:r w:rsidRPr="003525C3">
              <w:rPr>
                <w:rFonts w:ascii="Calibri" w:eastAsia="Times New Roman" w:hAnsi="Calibri" w:cs="Calibri"/>
                <w:color w:val="000000"/>
                <w:lang w:eastAsia="en-GB"/>
              </w:rPr>
              <w:t>=491)</w:t>
            </w:r>
          </w:p>
        </w:tc>
        <w:tc>
          <w:tcPr>
            <w:tcW w:w="1020" w:type="dxa"/>
            <w:tcBorders>
              <w:top w:val="single" w:sz="8" w:space="0" w:color="auto"/>
              <w:bottom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P-value*</w:t>
            </w:r>
          </w:p>
        </w:tc>
        <w:tc>
          <w:tcPr>
            <w:tcW w:w="1020" w:type="dxa"/>
            <w:tcBorders>
              <w:top w:val="single" w:sz="8" w:space="0" w:color="auto"/>
              <w:bottom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P-value†</w:t>
            </w:r>
          </w:p>
        </w:tc>
      </w:tr>
      <w:tr w:rsidR="00000E93" w:rsidRPr="003525C3" w:rsidTr="0032616F">
        <w:trPr>
          <w:trHeight w:val="300"/>
        </w:trPr>
        <w:tc>
          <w:tcPr>
            <w:tcW w:w="1833" w:type="dxa"/>
            <w:tcBorders>
              <w:top w:val="single" w:sz="8" w:space="0" w:color="auto"/>
            </w:tcBorders>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DAS28-ESR</w:t>
            </w:r>
          </w:p>
        </w:tc>
        <w:tc>
          <w:tcPr>
            <w:tcW w:w="2213" w:type="dxa"/>
            <w:tcBorders>
              <w:top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-1.60 (-2.81; -0.49)</w:t>
            </w:r>
          </w:p>
        </w:tc>
        <w:tc>
          <w:tcPr>
            <w:tcW w:w="1020" w:type="dxa"/>
            <w:tcBorders>
              <w:top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tcBorders>
              <w:top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-0.35 (-1.00; 0.28)</w:t>
            </w:r>
          </w:p>
        </w:tc>
        <w:tc>
          <w:tcPr>
            <w:tcW w:w="1020" w:type="dxa"/>
            <w:tcBorders>
              <w:top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tcBorders>
              <w:top w:val="single" w:sz="8" w:space="0" w:color="auto"/>
            </w:tcBorders>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TJC (28 joints)</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-5.00 (-10.00; -1.00)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-1.00 (-2.00; 1.00)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SJC (28 joints)</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-3.00 (-7.00; 0.00)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0.00 (-1.00; 0.00)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ESR (mm/h)</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-9.50 (-22.00; 0.00)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-1.00 (-10.00; 6.00)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b/>
                <w:bCs/>
                <w:color w:val="000000"/>
                <w:lang w:eastAsia="en-GB"/>
              </w:rPr>
            </w:pPr>
            <w:r w:rsidRPr="003525C3">
              <w:rPr>
                <w:rFonts w:ascii="Calibri" w:eastAsia="Times New Roman" w:hAnsi="Calibri" w:cs="Calibri"/>
                <w:b/>
                <w:bCs/>
                <w:color w:val="000000"/>
                <w:lang w:eastAsia="en-GB"/>
              </w:rPr>
              <w:t>0.015</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CRP (mg/l)</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-7.31 (-16.15; 1.39)</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-0.20 (-3.50; 3.00)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0.052</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SDAI (0–86)</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-15.34 (-25.13; -4.85)</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-2.23 (-5.83; 1.93)</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PTGA (0–100)d</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-16.00 (-41.50; 0.00)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-5.00 (-15.00; 7.00)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MDGA (0–100)</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-26.00 (-45.00; -3.50)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-3.00 (-15.00; 6.00)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HAQ-DI (0–3)</w:t>
            </w:r>
            <w:r w:rsidRPr="003525C3">
              <w:rPr>
                <w:rFonts w:ascii="Calibri" w:eastAsia="Times New Roman" w:hAnsi="Calibri" w:cs="Calibri"/>
                <w:color w:val="000000"/>
                <w:vertAlign w:val="superscript"/>
                <w:lang w:eastAsia="en-GB"/>
              </w:rPr>
              <w:t>d</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-0.24 (-0.38; 0.00)</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0.00 (-0.25; 0.13)</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0.059</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r w:rsidR="00000E93" w:rsidRPr="003525C3" w:rsidTr="0032616F">
        <w:trPr>
          <w:trHeight w:val="300"/>
        </w:trPr>
        <w:tc>
          <w:tcPr>
            <w:tcW w:w="1833" w:type="dxa"/>
            <w:shd w:val="clear" w:color="auto" w:fill="auto"/>
            <w:noWrap/>
            <w:vAlign w:val="bottom"/>
            <w:hideMark/>
          </w:tcPr>
          <w:p w:rsidR="00000E93" w:rsidRPr="003525C3" w:rsidRDefault="00000E93" w:rsidP="0032616F">
            <w:pPr>
              <w:spacing w:after="0" w:line="240" w:lineRule="auto"/>
              <w:jc w:val="left"/>
              <w:rPr>
                <w:rFonts w:ascii="Calibri" w:eastAsia="Times New Roman" w:hAnsi="Calibri" w:cs="Calibri"/>
                <w:color w:val="000000"/>
                <w:lang w:eastAsia="en-GB"/>
              </w:rPr>
            </w:pPr>
            <w:r w:rsidRPr="003525C3">
              <w:rPr>
                <w:rFonts w:ascii="Calibri" w:eastAsia="Times New Roman" w:hAnsi="Calibri" w:cs="Calibri"/>
                <w:color w:val="000000"/>
                <w:lang w:eastAsia="en-GB"/>
              </w:rPr>
              <w:t>EQ-5D (-0.59–1)</w:t>
            </w:r>
          </w:p>
        </w:tc>
        <w:tc>
          <w:tcPr>
            <w:tcW w:w="2213"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0.04 (0.00; 0.53)</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c>
          <w:tcPr>
            <w:tcW w:w="1928"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hAnsi="Calibri" w:cs="Calibri"/>
                <w:color w:val="000000"/>
              </w:rPr>
              <w:t>0.00 (-0.05; 0.07)</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b/>
                <w:bCs/>
                <w:color w:val="000000"/>
                <w:lang w:eastAsia="en-GB"/>
              </w:rPr>
            </w:pPr>
            <w:r w:rsidRPr="003525C3">
              <w:rPr>
                <w:rFonts w:ascii="Calibri" w:eastAsia="Times New Roman" w:hAnsi="Calibri" w:cs="Calibri"/>
                <w:b/>
                <w:bCs/>
                <w:color w:val="000000"/>
                <w:lang w:eastAsia="en-GB"/>
              </w:rPr>
              <w:t>0.032</w:t>
            </w:r>
          </w:p>
        </w:tc>
        <w:tc>
          <w:tcPr>
            <w:tcW w:w="1020" w:type="dxa"/>
            <w:shd w:val="clear" w:color="auto" w:fill="auto"/>
            <w:noWrap/>
            <w:vAlign w:val="center"/>
            <w:hideMark/>
          </w:tcPr>
          <w:p w:rsidR="00000E93" w:rsidRPr="003525C3" w:rsidRDefault="00000E93" w:rsidP="0032616F">
            <w:pPr>
              <w:spacing w:after="0" w:line="240" w:lineRule="auto"/>
              <w:jc w:val="center"/>
              <w:rPr>
                <w:rFonts w:ascii="Calibri" w:eastAsia="Times New Roman" w:hAnsi="Calibri" w:cs="Calibri"/>
                <w:color w:val="000000"/>
                <w:lang w:eastAsia="en-GB"/>
              </w:rPr>
            </w:pPr>
            <w:r w:rsidRPr="003525C3">
              <w:rPr>
                <w:rFonts w:ascii="Calibri" w:eastAsia="Times New Roman" w:hAnsi="Calibri" w:cs="Calibri"/>
                <w:color w:val="000000"/>
                <w:lang w:eastAsia="en-GB"/>
              </w:rPr>
              <w:t>&lt;</w:t>
            </w:r>
            <w:r w:rsidRPr="003525C3">
              <w:rPr>
                <w:rFonts w:ascii="Calibri" w:eastAsia="Times New Roman" w:hAnsi="Calibri" w:cs="Calibri"/>
                <w:b/>
                <w:bCs/>
                <w:color w:val="000000"/>
                <w:lang w:eastAsia="en-GB"/>
              </w:rPr>
              <w:t>0.001</w:t>
            </w:r>
          </w:p>
        </w:tc>
      </w:tr>
    </w:tbl>
    <w:p w:rsidR="00000E93" w:rsidRPr="003525C3" w:rsidRDefault="00000E93" w:rsidP="00000E93">
      <w:pPr>
        <w:spacing w:after="0" w:line="480" w:lineRule="auto"/>
      </w:pPr>
      <w:r w:rsidRPr="003525C3">
        <w:rPr>
          <w:i/>
          <w:iCs/>
          <w:sz w:val="18"/>
          <w:szCs w:val="18"/>
        </w:rPr>
        <w:t>DAS28-ESR</w:t>
      </w:r>
      <w:r w:rsidRPr="003525C3">
        <w:rPr>
          <w:sz w:val="18"/>
          <w:szCs w:val="18"/>
        </w:rPr>
        <w:t xml:space="preserve"> 28-joint disease activity score with ESR; </w:t>
      </w:r>
      <w:r w:rsidRPr="003525C3">
        <w:rPr>
          <w:i/>
          <w:iCs/>
          <w:sz w:val="18"/>
          <w:szCs w:val="18"/>
        </w:rPr>
        <w:t>TJC</w:t>
      </w:r>
      <w:r w:rsidRPr="003525C3">
        <w:rPr>
          <w:sz w:val="18"/>
          <w:szCs w:val="18"/>
        </w:rPr>
        <w:t xml:space="preserve"> tender joint count; </w:t>
      </w:r>
      <w:r w:rsidRPr="003525C3">
        <w:rPr>
          <w:i/>
          <w:iCs/>
          <w:sz w:val="18"/>
          <w:szCs w:val="18"/>
        </w:rPr>
        <w:t xml:space="preserve">SJC </w:t>
      </w:r>
      <w:r w:rsidRPr="003525C3">
        <w:rPr>
          <w:sz w:val="18"/>
          <w:szCs w:val="18"/>
        </w:rPr>
        <w:t xml:space="preserve">swollen joint count; </w:t>
      </w:r>
      <w:r w:rsidRPr="003525C3">
        <w:rPr>
          <w:i/>
          <w:iCs/>
          <w:sz w:val="18"/>
          <w:szCs w:val="18"/>
        </w:rPr>
        <w:t>ESR</w:t>
      </w:r>
      <w:r w:rsidRPr="003525C3">
        <w:rPr>
          <w:sz w:val="18"/>
          <w:szCs w:val="18"/>
        </w:rPr>
        <w:t xml:space="preserve"> erythrocyte sedimentation rate; </w:t>
      </w:r>
      <w:r w:rsidRPr="003525C3">
        <w:rPr>
          <w:i/>
          <w:iCs/>
          <w:sz w:val="18"/>
          <w:szCs w:val="18"/>
        </w:rPr>
        <w:t>CRP</w:t>
      </w:r>
      <w:r w:rsidRPr="003525C3">
        <w:rPr>
          <w:sz w:val="18"/>
          <w:szCs w:val="18"/>
        </w:rPr>
        <w:t xml:space="preserve"> C-reactive protein; </w:t>
      </w:r>
      <w:r w:rsidRPr="003525C3">
        <w:rPr>
          <w:i/>
          <w:iCs/>
          <w:sz w:val="18"/>
          <w:szCs w:val="18"/>
        </w:rPr>
        <w:t>SDAI</w:t>
      </w:r>
      <w:r w:rsidRPr="003525C3">
        <w:rPr>
          <w:sz w:val="18"/>
          <w:szCs w:val="18"/>
        </w:rPr>
        <w:t xml:space="preserve"> Simplified Disease Activity Index; </w:t>
      </w:r>
      <w:r w:rsidRPr="003525C3">
        <w:rPr>
          <w:i/>
          <w:iCs/>
          <w:sz w:val="18"/>
          <w:szCs w:val="18"/>
        </w:rPr>
        <w:t>PTGA</w:t>
      </w:r>
      <w:r w:rsidRPr="003525C3">
        <w:rPr>
          <w:sz w:val="18"/>
          <w:szCs w:val="18"/>
        </w:rPr>
        <w:t xml:space="preserve"> patient general assessment of disease activity; </w:t>
      </w:r>
      <w:r w:rsidRPr="003525C3">
        <w:rPr>
          <w:i/>
          <w:iCs/>
          <w:sz w:val="18"/>
          <w:szCs w:val="18"/>
        </w:rPr>
        <w:t>MDGA</w:t>
      </w:r>
      <w:r w:rsidRPr="003525C3">
        <w:rPr>
          <w:sz w:val="18"/>
          <w:szCs w:val="18"/>
        </w:rPr>
        <w:t xml:space="preserve"> physician general assessment of disease activity; </w:t>
      </w:r>
      <w:r w:rsidRPr="003525C3">
        <w:rPr>
          <w:i/>
          <w:iCs/>
          <w:sz w:val="18"/>
          <w:szCs w:val="18"/>
        </w:rPr>
        <w:t>HAQ</w:t>
      </w:r>
      <w:r w:rsidRPr="003525C3">
        <w:rPr>
          <w:i/>
          <w:iCs/>
          <w:sz w:val="18"/>
          <w:szCs w:val="18"/>
        </w:rPr>
        <w:noBreakHyphen/>
        <w:t>DI</w:t>
      </w:r>
      <w:r w:rsidRPr="003525C3">
        <w:rPr>
          <w:sz w:val="18"/>
          <w:szCs w:val="18"/>
        </w:rPr>
        <w:t xml:space="preserve"> Health Assessment Questionnaire; </w:t>
      </w:r>
      <w:r w:rsidRPr="003525C3">
        <w:rPr>
          <w:i/>
          <w:iCs/>
          <w:sz w:val="18"/>
          <w:szCs w:val="18"/>
        </w:rPr>
        <w:t>EQ-5D</w:t>
      </w:r>
      <w:r w:rsidRPr="003525C3">
        <w:rPr>
          <w:sz w:val="18"/>
          <w:szCs w:val="18"/>
        </w:rPr>
        <w:t xml:space="preserve"> EuroQol 5 Dimension for measuring the quality of life</w:t>
      </w:r>
    </w:p>
    <w:p w:rsidR="00000E93" w:rsidRPr="003525C3" w:rsidRDefault="00000E93" w:rsidP="00000E93">
      <w:pPr>
        <w:spacing w:after="0" w:line="480" w:lineRule="auto"/>
        <w:rPr>
          <w:sz w:val="18"/>
          <w:szCs w:val="18"/>
        </w:rPr>
      </w:pPr>
      <w:r w:rsidRPr="003525C3">
        <w:rPr>
          <w:sz w:val="18"/>
          <w:szCs w:val="18"/>
        </w:rPr>
        <w:t>Medians of differences between 6-month and 12-month visit with interquartile ranges are presented.</w:t>
      </w:r>
    </w:p>
    <w:p w:rsidR="00000E93" w:rsidRPr="003525C3" w:rsidRDefault="00000E93" w:rsidP="00000E93">
      <w:pPr>
        <w:spacing w:after="0" w:line="480" w:lineRule="auto"/>
        <w:rPr>
          <w:sz w:val="18"/>
          <w:szCs w:val="18"/>
        </w:rPr>
      </w:pPr>
      <w:r w:rsidRPr="003525C3">
        <w:rPr>
          <w:sz w:val="18"/>
          <w:szCs w:val="18"/>
        </w:rPr>
        <w:t>* We were testing the hypothesis that the differences are equal to zero through Wilcoxon paired test.</w:t>
      </w:r>
    </w:p>
    <w:p w:rsidR="00000E93" w:rsidRPr="00967F71" w:rsidRDefault="00000E93" w:rsidP="00000E93">
      <w:pPr>
        <w:spacing w:after="0" w:line="480" w:lineRule="auto"/>
        <w:rPr>
          <w:rFonts w:ascii="Calibri" w:eastAsia="Times New Roman" w:hAnsi="Calibri" w:cs="Calibri"/>
          <w:color w:val="000000"/>
          <w:sz w:val="18"/>
          <w:szCs w:val="18"/>
          <w:lang w:eastAsia="en-GB"/>
        </w:rPr>
      </w:pPr>
      <w:r w:rsidRPr="003525C3">
        <w:rPr>
          <w:rFonts w:ascii="Calibri" w:eastAsia="Times New Roman" w:hAnsi="Calibri" w:cs="Calibri"/>
          <w:color w:val="000000"/>
          <w:sz w:val="18"/>
          <w:szCs w:val="18"/>
          <w:lang w:eastAsia="en-GB"/>
        </w:rPr>
        <w:t>† We were testing the hypothesis of equality of medians of differences between groups C3 and C4 (Mann-Whitney test).</w:t>
      </w:r>
      <w:r w:rsidRPr="003525C3">
        <w:rPr>
          <w:sz w:val="18"/>
          <w:szCs w:val="18"/>
        </w:rPr>
        <w:t xml:space="preserve"> </w:t>
      </w:r>
      <w:r w:rsidRPr="003525C3">
        <w:rPr>
          <w:sz w:val="18"/>
          <w:szCs w:val="18"/>
        </w:rPr>
        <w:br w:type="page"/>
      </w:r>
    </w:p>
    <w:p w:rsidR="00000E93" w:rsidRPr="003525C3" w:rsidRDefault="00000E93" w:rsidP="00000E93">
      <w:pPr>
        <w:keepNext/>
        <w:spacing w:after="0" w:line="480" w:lineRule="auto"/>
        <w:jc w:val="left"/>
      </w:pPr>
      <w:r w:rsidRPr="003525C3">
        <w:rPr>
          <w:noProof/>
          <w:lang w:val="en-US"/>
        </w:rPr>
        <w:lastRenderedPageBreak/>
        <w:drawing>
          <wp:inline distT="0" distB="0" distL="0" distR="0" wp14:anchorId="1A03B534" wp14:editId="1B4B503A">
            <wp:extent cx="5684520" cy="4692650"/>
            <wp:effectExtent l="0" t="0" r="0" b="0"/>
            <wp:docPr id="49" name="Obrázek 48">
              <a:extLst xmlns:a="http://schemas.openxmlformats.org/drawingml/2006/main">
                <a:ext uri="{FF2B5EF4-FFF2-40B4-BE49-F238E27FC236}">
                  <a16:creationId xmlns:a16="http://schemas.microsoft.com/office/drawing/2014/main" id="{EAC5AE2B-011D-4EE1-9BDC-F91D9F34F6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Obrázek 48">
                      <a:extLst>
                        <a:ext uri="{FF2B5EF4-FFF2-40B4-BE49-F238E27FC236}">
                          <a16:creationId xmlns:a16="http://schemas.microsoft.com/office/drawing/2014/main" id="{EAC5AE2B-011D-4EE1-9BDC-F91D9F34F67E}"/>
                        </a:ext>
                      </a:extLst>
                    </pic:cNvPr>
                    <pic:cNvPicPr>
                      <a:picLocks noChangeAspect="1"/>
                    </pic:cNvPicPr>
                  </pic:nvPicPr>
                  <pic:blipFill rotWithShape="1">
                    <a:blip r:embed="rId4"/>
                    <a:srcRect l="1322"/>
                    <a:stretch/>
                  </pic:blipFill>
                  <pic:spPr bwMode="auto">
                    <a:xfrm>
                      <a:off x="0" y="0"/>
                      <a:ext cx="5684520" cy="4692650"/>
                    </a:xfrm>
                    <a:prstGeom prst="rect">
                      <a:avLst/>
                    </a:prstGeom>
                    <a:ln>
                      <a:noFill/>
                    </a:ln>
                    <a:extLst>
                      <a:ext uri="{53640926-AAD7-44D8-BBD7-CCE9431645EC}">
                        <a14:shadowObscured xmlns:a14="http://schemas.microsoft.com/office/drawing/2010/main"/>
                      </a:ext>
                    </a:extLst>
                  </pic:spPr>
                </pic:pic>
              </a:graphicData>
            </a:graphic>
          </wp:inline>
        </w:drawing>
      </w:r>
    </w:p>
    <w:p w:rsidR="00000E93" w:rsidRPr="00F91BAC" w:rsidRDefault="00000E93" w:rsidP="00000E93">
      <w:pPr>
        <w:pStyle w:val="Caption"/>
      </w:pPr>
      <w:bookmarkStart w:id="3" w:name="_Ref42674292"/>
      <w:r w:rsidRPr="00F91BAC">
        <w:rPr>
          <w:b/>
          <w:bCs/>
        </w:rPr>
        <w:t xml:space="preserve">Supplementary Figure </w:t>
      </w:r>
      <w:r w:rsidRPr="00F91BAC">
        <w:rPr>
          <w:b/>
          <w:bCs/>
        </w:rPr>
        <w:fldChar w:fldCharType="begin"/>
      </w:r>
      <w:r w:rsidRPr="00F91BAC">
        <w:rPr>
          <w:b/>
          <w:bCs/>
        </w:rPr>
        <w:instrText xml:space="preserve"> SEQ Supplementary_Figure \* ARABIC </w:instrText>
      </w:r>
      <w:r w:rsidRPr="00F91BAC">
        <w:rPr>
          <w:b/>
          <w:bCs/>
        </w:rPr>
        <w:fldChar w:fldCharType="separate"/>
      </w:r>
      <w:r>
        <w:rPr>
          <w:b/>
          <w:bCs/>
          <w:noProof/>
        </w:rPr>
        <w:t>1</w:t>
      </w:r>
      <w:r w:rsidRPr="00F91BAC">
        <w:rPr>
          <w:b/>
          <w:bCs/>
        </w:rPr>
        <w:fldChar w:fldCharType="end"/>
      </w:r>
      <w:bookmarkEnd w:id="3"/>
      <w:r w:rsidRPr="00F91BAC">
        <w:t xml:space="preserve"> Flow chart showing individual steps to final dataset (a) and division into four cohorts (b)</w:t>
      </w:r>
    </w:p>
    <w:p w:rsidR="00000E93" w:rsidRPr="003525C3" w:rsidRDefault="00000E93" w:rsidP="00000E93">
      <w:pPr>
        <w:spacing w:line="480" w:lineRule="auto"/>
        <w:jc w:val="left"/>
      </w:pPr>
      <w:r w:rsidRPr="003525C3">
        <w:br w:type="page"/>
      </w:r>
    </w:p>
    <w:p w:rsidR="00000E93" w:rsidRPr="003525C3" w:rsidRDefault="00000E93" w:rsidP="00000E93">
      <w:pPr>
        <w:keepNext/>
        <w:spacing w:line="480" w:lineRule="auto"/>
      </w:pPr>
      <w:r w:rsidRPr="003525C3">
        <w:rPr>
          <w:noProof/>
          <w:lang w:val="en-US"/>
        </w:rPr>
        <w:lastRenderedPageBreak/>
        <w:drawing>
          <wp:inline distT="0" distB="0" distL="0" distR="0" wp14:anchorId="33518DB9" wp14:editId="5AB6C514">
            <wp:extent cx="5760720" cy="6019800"/>
            <wp:effectExtent l="0" t="0" r="0" b="0"/>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1914"/>
                    <a:stretch/>
                  </pic:blipFill>
                  <pic:spPr bwMode="auto">
                    <a:xfrm>
                      <a:off x="0" y="0"/>
                      <a:ext cx="5760720" cy="6019800"/>
                    </a:xfrm>
                    <a:prstGeom prst="rect">
                      <a:avLst/>
                    </a:prstGeom>
                    <a:noFill/>
                    <a:ln>
                      <a:noFill/>
                    </a:ln>
                    <a:extLst>
                      <a:ext uri="{53640926-AAD7-44D8-BBD7-CCE9431645EC}">
                        <a14:shadowObscured xmlns:a14="http://schemas.microsoft.com/office/drawing/2010/main"/>
                      </a:ext>
                    </a:extLst>
                  </pic:spPr>
                </pic:pic>
              </a:graphicData>
            </a:graphic>
          </wp:inline>
        </w:drawing>
      </w:r>
    </w:p>
    <w:p w:rsidR="00000E93" w:rsidRPr="00F91BAC" w:rsidRDefault="00000E93" w:rsidP="00000E93">
      <w:pPr>
        <w:pStyle w:val="Caption"/>
      </w:pPr>
      <w:bookmarkStart w:id="4" w:name="_Ref42675799"/>
      <w:r w:rsidRPr="00F91BAC">
        <w:rPr>
          <w:b/>
          <w:bCs/>
        </w:rPr>
        <w:t xml:space="preserve">Supplementary Figure </w:t>
      </w:r>
      <w:r w:rsidRPr="00F91BAC">
        <w:rPr>
          <w:b/>
          <w:bCs/>
        </w:rPr>
        <w:fldChar w:fldCharType="begin"/>
      </w:r>
      <w:r w:rsidRPr="00F91BAC">
        <w:rPr>
          <w:b/>
          <w:bCs/>
        </w:rPr>
        <w:instrText xml:space="preserve"> SEQ Supplementary_Figure \* ARABIC </w:instrText>
      </w:r>
      <w:r w:rsidRPr="00F91BAC">
        <w:rPr>
          <w:b/>
          <w:bCs/>
        </w:rPr>
        <w:fldChar w:fldCharType="separate"/>
      </w:r>
      <w:r>
        <w:rPr>
          <w:b/>
          <w:bCs/>
          <w:noProof/>
        </w:rPr>
        <w:t>2</w:t>
      </w:r>
      <w:r w:rsidRPr="00F91BAC">
        <w:rPr>
          <w:b/>
          <w:bCs/>
        </w:rPr>
        <w:fldChar w:fldCharType="end"/>
      </w:r>
      <w:bookmarkEnd w:id="4"/>
      <w:r w:rsidRPr="00F91BAC">
        <w:t xml:space="preserve"> Propensity score densities of cohorts C3 and C4 before and after matching</w:t>
      </w:r>
    </w:p>
    <w:p w:rsidR="00000E93" w:rsidRPr="00967F71" w:rsidRDefault="00000E93" w:rsidP="00000E93">
      <w:pPr>
        <w:spacing w:line="259" w:lineRule="auto"/>
        <w:jc w:val="left"/>
      </w:pPr>
    </w:p>
    <w:p w:rsidR="00AD52C0" w:rsidRDefault="00AD52C0"/>
    <w:sectPr w:rsidR="00AD52C0" w:rsidSect="007A20A1">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p>
  <w:p w:rsidR="0067366D" w:rsidRDefault="00000E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66D" w:rsidRDefault="00000E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E93"/>
    <w:rsid w:val="00000E93"/>
    <w:rsid w:val="00AD52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2695F7-F280-4B4F-A6FA-63F8D9A10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0E93"/>
    <w:pPr>
      <w:spacing w:line="360" w:lineRule="auto"/>
      <w:jc w:val="both"/>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00E93"/>
    <w:pPr>
      <w:spacing w:after="200" w:line="480" w:lineRule="auto"/>
    </w:pPr>
    <w:rPr>
      <w:iCs/>
      <w:color w:val="000000" w:themeColor="text1"/>
      <w:szCs w:val="18"/>
    </w:rPr>
  </w:style>
  <w:style w:type="paragraph" w:styleId="Header">
    <w:name w:val="header"/>
    <w:basedOn w:val="Normal"/>
    <w:link w:val="HeaderChar"/>
    <w:uiPriority w:val="99"/>
    <w:unhideWhenUsed/>
    <w:rsid w:val="00000E93"/>
    <w:pPr>
      <w:tabs>
        <w:tab w:val="center" w:pos="4536"/>
        <w:tab w:val="right" w:pos="9072"/>
      </w:tabs>
      <w:spacing w:after="0" w:line="240" w:lineRule="auto"/>
    </w:pPr>
  </w:style>
  <w:style w:type="character" w:customStyle="1" w:styleId="HeaderChar">
    <w:name w:val="Header Char"/>
    <w:basedOn w:val="DefaultParagraphFont"/>
    <w:link w:val="Header"/>
    <w:uiPriority w:val="99"/>
    <w:rsid w:val="00000E93"/>
    <w:rPr>
      <w:lang w:val="en-GB"/>
    </w:rPr>
  </w:style>
  <w:style w:type="paragraph" w:styleId="Footer">
    <w:name w:val="footer"/>
    <w:basedOn w:val="Normal"/>
    <w:link w:val="FooterChar"/>
    <w:uiPriority w:val="99"/>
    <w:unhideWhenUsed/>
    <w:rsid w:val="00000E93"/>
    <w:pPr>
      <w:tabs>
        <w:tab w:val="center" w:pos="4536"/>
        <w:tab w:val="right" w:pos="9072"/>
      </w:tabs>
      <w:spacing w:after="0" w:line="240" w:lineRule="auto"/>
    </w:pPr>
  </w:style>
  <w:style w:type="character" w:customStyle="1" w:styleId="FooterChar">
    <w:name w:val="Footer Char"/>
    <w:basedOn w:val="DefaultParagraphFont"/>
    <w:link w:val="Footer"/>
    <w:uiPriority w:val="99"/>
    <w:rsid w:val="00000E9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2.emf"/><Relationship Id="rId10" Type="http://schemas.openxmlformats.org/officeDocument/2006/relationships/header" Target="header3.xml"/><Relationship Id="rId4" Type="http://schemas.openxmlformats.org/officeDocument/2006/relationships/image" Target="media/image1.emf"/><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441</Words>
  <Characters>2518</Characters>
  <Application>Microsoft Office Word</Application>
  <DocSecurity>0</DocSecurity>
  <Lines>20</Lines>
  <Paragraphs>5</Paragraphs>
  <ScaleCrop>false</ScaleCrop>
  <Company>Springer Nature</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2020-09-17T10:00:00Z</dcterms:created>
  <dcterms:modified xsi:type="dcterms:W3CDTF">2020-09-17T10:00:00Z</dcterms:modified>
</cp:coreProperties>
</file>