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B8E3" w14:textId="77777777" w:rsidR="00B77EB8" w:rsidRDefault="00B77EB8" w:rsidP="00B77EB8">
      <w:pPr>
        <w:spacing w:line="480" w:lineRule="auto"/>
        <w:rPr>
          <w:b/>
        </w:rPr>
      </w:pPr>
      <w:r>
        <w:rPr>
          <w:b/>
        </w:rPr>
        <w:t>Extended Data Fig. 1</w:t>
      </w:r>
    </w:p>
    <w:p w14:paraId="3467878D" w14:textId="77777777" w:rsidR="00B77EB8" w:rsidRDefault="00B77EB8" w:rsidP="00B77EB8">
      <w:pPr>
        <w:spacing w:line="480" w:lineRule="auto"/>
      </w:pPr>
      <w:r>
        <w:rPr>
          <w:noProof/>
        </w:rPr>
        <w:drawing>
          <wp:inline distT="0" distB="0" distL="0" distR="0" wp14:anchorId="2F47ABB8" wp14:editId="64236967">
            <wp:extent cx="5723255" cy="3640455"/>
            <wp:effectExtent l="0" t="0" r="0" b="0"/>
            <wp:docPr id="1206391343" name="그림 2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91343" name="그림 2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7F0B6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</w:rPr>
        <w:t>Extended Data Fig. 1: Flow cytometry analysis of CD4</w:t>
      </w:r>
      <w:r>
        <w:rPr>
          <w:b/>
          <w:vertAlign w:val="superscript"/>
        </w:rPr>
        <w:t>+</w:t>
      </w:r>
      <w:r>
        <w:rPr>
          <w:b/>
        </w:rPr>
        <w:t xml:space="preserve"> or CD8</w:t>
      </w:r>
      <w:r>
        <w:rPr>
          <w:b/>
          <w:vertAlign w:val="superscript"/>
        </w:rPr>
        <w:t>+</w:t>
      </w:r>
      <w:r>
        <w:rPr>
          <w:b/>
        </w:rPr>
        <w:t xml:space="preserve"> T-cells and NK cells in </w:t>
      </w:r>
      <w:r>
        <w:rPr>
          <w:rFonts w:eastAsia="Malgun Gothic"/>
          <w:b/>
        </w:rPr>
        <w:t>tumors</w:t>
      </w:r>
      <w:r>
        <w:rPr>
          <w:b/>
        </w:rPr>
        <w:t xml:space="preserve"> of MC38-bearing mice treated i.p. with PBS or P-VP</w:t>
      </w:r>
    </w:p>
    <w:p w14:paraId="4B6A2A58" w14:textId="77777777" w:rsidR="00B77EB8" w:rsidRPr="0022578F" w:rsidRDefault="00B77EB8" w:rsidP="00B77EB8">
      <w:pPr>
        <w:spacing w:line="480" w:lineRule="auto"/>
        <w:rPr>
          <w:bCs/>
        </w:rPr>
      </w:pPr>
      <w:r w:rsidRPr="0022578F">
        <w:rPr>
          <w:b/>
        </w:rPr>
        <w:t>a</w:t>
      </w:r>
      <w:r w:rsidRPr="0022578F">
        <w:rPr>
          <w:rFonts w:hint="eastAsia"/>
          <w:b/>
        </w:rPr>
        <w:t>-</w:t>
      </w:r>
      <w:r w:rsidRPr="0022578F">
        <w:rPr>
          <w:b/>
        </w:rPr>
        <w:t>b</w:t>
      </w:r>
      <w:r w:rsidRPr="0022578F">
        <w:rPr>
          <w:bCs/>
        </w:rPr>
        <w:t>, Frequency of CD4⁺ T cells (</w:t>
      </w:r>
      <w:r w:rsidRPr="0022578F">
        <w:rPr>
          <w:b/>
        </w:rPr>
        <w:t>a</w:t>
      </w:r>
      <w:r w:rsidRPr="0022578F">
        <w:rPr>
          <w:bCs/>
        </w:rPr>
        <w:t>) and IFN-γ⁺ cells among CD4⁺ T cells (</w:t>
      </w:r>
      <w:r w:rsidRPr="0022578F">
        <w:rPr>
          <w:b/>
        </w:rPr>
        <w:t>b</w:t>
      </w:r>
      <w:r w:rsidRPr="0022578F">
        <w:rPr>
          <w:bCs/>
        </w:rPr>
        <w:t>) in tumors.</w:t>
      </w:r>
      <w:r w:rsidRPr="0022578F">
        <w:rPr>
          <w:rFonts w:hint="eastAsia"/>
          <w:bCs/>
        </w:rPr>
        <w:t xml:space="preserve"> </w:t>
      </w:r>
      <w:r w:rsidRPr="0022578F">
        <w:rPr>
          <w:b/>
        </w:rPr>
        <w:t>c</w:t>
      </w:r>
      <w:r w:rsidRPr="0022578F">
        <w:rPr>
          <w:rFonts w:hint="eastAsia"/>
          <w:b/>
        </w:rPr>
        <w:t>-</w:t>
      </w:r>
      <w:r w:rsidRPr="0022578F">
        <w:rPr>
          <w:b/>
        </w:rPr>
        <w:t>e</w:t>
      </w:r>
      <w:r w:rsidRPr="0022578F">
        <w:rPr>
          <w:bCs/>
        </w:rPr>
        <w:t>, Frequency of CD8⁺ T cells (</w:t>
      </w:r>
      <w:r w:rsidRPr="0022578F">
        <w:rPr>
          <w:b/>
        </w:rPr>
        <w:t>c</w:t>
      </w:r>
      <w:r w:rsidRPr="0022578F">
        <w:rPr>
          <w:bCs/>
        </w:rPr>
        <w:t>), IFN-γ⁺ cells among CD8⁺ T cells (</w:t>
      </w:r>
      <w:r w:rsidRPr="0022578F">
        <w:rPr>
          <w:b/>
        </w:rPr>
        <w:t>d</w:t>
      </w:r>
      <w:r w:rsidRPr="0022578F">
        <w:rPr>
          <w:bCs/>
        </w:rPr>
        <w:t xml:space="preserve">), and </w:t>
      </w:r>
      <w:r>
        <w:rPr>
          <w:rFonts w:hint="eastAsia"/>
          <w:bCs/>
        </w:rPr>
        <w:t>granzyme B (</w:t>
      </w:r>
      <w:r w:rsidRPr="0022578F">
        <w:rPr>
          <w:bCs/>
        </w:rPr>
        <w:t>GZMB</w:t>
      </w:r>
      <w:r>
        <w:rPr>
          <w:rFonts w:hint="eastAsia"/>
          <w:bCs/>
        </w:rPr>
        <w:t>)</w:t>
      </w:r>
      <w:r w:rsidRPr="0022578F">
        <w:rPr>
          <w:bCs/>
        </w:rPr>
        <w:t>⁺</w:t>
      </w:r>
      <w:r>
        <w:rPr>
          <w:rFonts w:hint="eastAsia"/>
          <w:bCs/>
        </w:rPr>
        <w:t xml:space="preserve"> perforin (</w:t>
      </w:r>
      <w:r w:rsidRPr="0022578F">
        <w:rPr>
          <w:bCs/>
        </w:rPr>
        <w:t>PFN</w:t>
      </w:r>
      <w:r>
        <w:rPr>
          <w:rFonts w:hint="eastAsia"/>
          <w:bCs/>
        </w:rPr>
        <w:t>)</w:t>
      </w:r>
      <w:r w:rsidRPr="0022578F">
        <w:rPr>
          <w:bCs/>
        </w:rPr>
        <w:t>⁺ cells among CD8⁺ T cells (</w:t>
      </w:r>
      <w:r w:rsidRPr="0022578F">
        <w:rPr>
          <w:b/>
        </w:rPr>
        <w:t>e</w:t>
      </w:r>
      <w:r w:rsidRPr="0022578F">
        <w:rPr>
          <w:bCs/>
        </w:rPr>
        <w:t>).</w:t>
      </w:r>
      <w:r w:rsidRPr="0022578F">
        <w:rPr>
          <w:rFonts w:hint="eastAsia"/>
          <w:bCs/>
        </w:rPr>
        <w:t xml:space="preserve"> </w:t>
      </w:r>
      <w:r w:rsidRPr="0022578F">
        <w:rPr>
          <w:b/>
        </w:rPr>
        <w:t>f</w:t>
      </w:r>
      <w:r w:rsidRPr="0022578F">
        <w:rPr>
          <w:rFonts w:hint="eastAsia"/>
          <w:b/>
        </w:rPr>
        <w:t>-</w:t>
      </w:r>
      <w:r w:rsidRPr="0022578F">
        <w:rPr>
          <w:b/>
        </w:rPr>
        <w:t>h</w:t>
      </w:r>
      <w:r w:rsidRPr="0022578F">
        <w:rPr>
          <w:bCs/>
        </w:rPr>
        <w:t>, Frequency of NK1.1⁺ cells (</w:t>
      </w:r>
      <w:r w:rsidRPr="0022578F">
        <w:rPr>
          <w:b/>
        </w:rPr>
        <w:t>f</w:t>
      </w:r>
      <w:r w:rsidRPr="0022578F">
        <w:rPr>
          <w:bCs/>
        </w:rPr>
        <w:t>), IFN-γ⁺ cells among NK cells (</w:t>
      </w:r>
      <w:r w:rsidRPr="0022578F">
        <w:rPr>
          <w:b/>
        </w:rPr>
        <w:t>g</w:t>
      </w:r>
      <w:r w:rsidRPr="0022578F">
        <w:rPr>
          <w:bCs/>
        </w:rPr>
        <w:t>), and GZMB⁺PFN⁺ cells among NK cells (</w:t>
      </w:r>
      <w:r w:rsidRPr="0022578F">
        <w:rPr>
          <w:b/>
        </w:rPr>
        <w:t>h</w:t>
      </w:r>
      <w:r w:rsidRPr="0022578F">
        <w:rPr>
          <w:bCs/>
        </w:rPr>
        <w:t>)</w:t>
      </w:r>
      <w:r>
        <w:rPr>
          <w:rFonts w:hint="eastAsia"/>
          <w:bCs/>
        </w:rPr>
        <w:t>.</w:t>
      </w:r>
      <w:r w:rsidRPr="0022578F">
        <w:rPr>
          <w:bCs/>
        </w:rPr>
        <w:t xml:space="preserve"> </w:t>
      </w:r>
      <w:r w:rsidRPr="0060196F">
        <w:rPr>
          <w:bCs/>
          <w:i/>
          <w:iCs/>
        </w:rPr>
        <w:t>n</w:t>
      </w:r>
      <w:r w:rsidRPr="0060196F">
        <w:rPr>
          <w:bCs/>
        </w:rPr>
        <w:t xml:space="preserve"> = 5 per group (</w:t>
      </w:r>
      <w:r w:rsidRPr="0060196F">
        <w:rPr>
          <w:b/>
        </w:rPr>
        <w:t>a, c, f</w:t>
      </w:r>
      <w:r w:rsidRPr="0060196F">
        <w:rPr>
          <w:bCs/>
        </w:rPr>
        <w:t xml:space="preserve">); </w:t>
      </w:r>
      <w:r w:rsidRPr="0060196F">
        <w:rPr>
          <w:bCs/>
          <w:i/>
          <w:iCs/>
        </w:rPr>
        <w:t>n</w:t>
      </w:r>
      <w:r w:rsidRPr="0060196F">
        <w:rPr>
          <w:bCs/>
        </w:rPr>
        <w:t xml:space="preserve"> = 6 per group (</w:t>
      </w:r>
      <w:r w:rsidRPr="0060196F">
        <w:rPr>
          <w:b/>
        </w:rPr>
        <w:t>b, d, e, g, h</w:t>
      </w:r>
      <w:r w:rsidRPr="0060196F">
        <w:rPr>
          <w:bCs/>
        </w:rPr>
        <w:t>).</w:t>
      </w:r>
      <w:r>
        <w:rPr>
          <w:rFonts w:hint="eastAsia"/>
          <w:bCs/>
        </w:rPr>
        <w:t xml:space="preserve"> </w:t>
      </w:r>
      <w:r w:rsidRPr="0022578F">
        <w:rPr>
          <w:bCs/>
        </w:rPr>
        <w:t>Data are shown as mean ± s.e.m.; **P &lt; 0.01; ns, not significant. P values were calculated using a two-sided unpaired Mann</w:t>
      </w:r>
      <w:r>
        <w:rPr>
          <w:color w:val="2E2E2E"/>
        </w:rPr>
        <w:t>–</w:t>
      </w:r>
      <w:r w:rsidRPr="0022578F">
        <w:rPr>
          <w:bCs/>
        </w:rPr>
        <w:t>Whitney U test.</w:t>
      </w:r>
    </w:p>
    <w:p w14:paraId="42E73C9A" w14:textId="77777777" w:rsidR="00B77EB8" w:rsidRDefault="00B77EB8" w:rsidP="00B77EB8">
      <w:pPr>
        <w:spacing w:line="480" w:lineRule="auto"/>
      </w:pPr>
    </w:p>
    <w:p w14:paraId="3C0CA721" w14:textId="77777777" w:rsidR="00B77EB8" w:rsidRDefault="00B77EB8" w:rsidP="00B77EB8">
      <w:pPr>
        <w:spacing w:line="480" w:lineRule="auto"/>
      </w:pPr>
    </w:p>
    <w:p w14:paraId="4C7465E5" w14:textId="77777777" w:rsidR="00B77EB8" w:rsidRDefault="00B77EB8" w:rsidP="00B77EB8">
      <w:pPr>
        <w:spacing w:line="480" w:lineRule="auto"/>
      </w:pPr>
    </w:p>
    <w:p w14:paraId="2875D1EB" w14:textId="77777777" w:rsidR="00B77EB8" w:rsidRDefault="00B77EB8" w:rsidP="00B77EB8">
      <w:pPr>
        <w:spacing w:line="480" w:lineRule="auto"/>
      </w:pPr>
    </w:p>
    <w:p w14:paraId="4B02E209" w14:textId="77777777" w:rsidR="00B77EB8" w:rsidRDefault="00B77EB8" w:rsidP="00B77EB8">
      <w:pPr>
        <w:spacing w:line="480" w:lineRule="auto"/>
      </w:pPr>
    </w:p>
    <w:p w14:paraId="48A65FEA" w14:textId="77777777" w:rsidR="00B77EB8" w:rsidRDefault="00B77EB8" w:rsidP="00B77EB8">
      <w:pPr>
        <w:spacing w:line="480" w:lineRule="auto"/>
        <w:rPr>
          <w:b/>
        </w:rPr>
      </w:pPr>
      <w:r>
        <w:rPr>
          <w:b/>
        </w:rPr>
        <w:lastRenderedPageBreak/>
        <w:t>Extended Data Fig. 2</w:t>
      </w:r>
    </w:p>
    <w:p w14:paraId="31BA7C62" w14:textId="77777777" w:rsidR="00B77EB8" w:rsidRDefault="00B77EB8" w:rsidP="00B77EB8">
      <w:pPr>
        <w:spacing w:line="480" w:lineRule="auto"/>
      </w:pPr>
      <w:r>
        <w:rPr>
          <w:noProof/>
        </w:rPr>
        <w:drawing>
          <wp:inline distT="0" distB="0" distL="0" distR="0" wp14:anchorId="140125AB" wp14:editId="0B0EBB9C">
            <wp:extent cx="5731510" cy="3506470"/>
            <wp:effectExtent l="0" t="0" r="2540" b="0"/>
            <wp:docPr id="1506518899" name="그림 7" descr="텍스트, 도표, 평면도, 기술 도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518899" name="그림 7" descr="텍스트, 도표, 평면도, 기술 도면이(가) 표시된 사진&#10;&#10;AI 생성 콘텐츠는 정확하지 않을 수 있습니다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2966A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</w:rPr>
        <w:t xml:space="preserve">Extended Data Fig. 2: </w:t>
      </w:r>
      <w:r w:rsidRPr="00440A4F">
        <w:rPr>
          <w:b/>
        </w:rPr>
        <w:t>Flow cytometry analysis of myeloid cell subsets in the spleen and bone marrow of MC38-bearing mice treated i.p. with PBS or P-VP</w:t>
      </w:r>
    </w:p>
    <w:p w14:paraId="4791400B" w14:textId="77777777" w:rsidR="00B77EB8" w:rsidRDefault="00B77EB8" w:rsidP="00B77EB8">
      <w:pPr>
        <w:spacing w:line="480" w:lineRule="auto"/>
        <w:jc w:val="both"/>
        <w:rPr>
          <w:color w:val="2E2E2E"/>
        </w:rPr>
      </w:pPr>
      <w:r>
        <w:rPr>
          <w:b/>
        </w:rPr>
        <w:t>a-d,</w:t>
      </w:r>
      <w:r>
        <w:t xml:space="preserve"> Frequency of myeloid cells (</w:t>
      </w:r>
      <w:r>
        <w:rPr>
          <w:b/>
        </w:rPr>
        <w:t>a</w:t>
      </w:r>
      <w:r>
        <w:t xml:space="preserve">), </w:t>
      </w:r>
      <w:r>
        <w:rPr>
          <w:rFonts w:eastAsia="Malgun Gothic"/>
        </w:rPr>
        <w:t>monocytes</w:t>
      </w:r>
      <w:r>
        <w:t xml:space="preserve"> (</w:t>
      </w:r>
      <w:r>
        <w:rPr>
          <w:b/>
        </w:rPr>
        <w:t>b</w:t>
      </w:r>
      <w:r>
        <w:t xml:space="preserve">), </w:t>
      </w:r>
      <w:r>
        <w:rPr>
          <w:rFonts w:eastAsia="Malgun Gothic"/>
        </w:rPr>
        <w:t>macrophages</w:t>
      </w:r>
      <w:r>
        <w:t xml:space="preserve"> (</w:t>
      </w:r>
      <w:r>
        <w:rPr>
          <w:b/>
        </w:rPr>
        <w:t>c</w:t>
      </w:r>
      <w:r>
        <w:t>), or neutrophils (</w:t>
      </w:r>
      <w:r>
        <w:rPr>
          <w:b/>
        </w:rPr>
        <w:t>d</w:t>
      </w:r>
      <w:r>
        <w:t>) in</w:t>
      </w:r>
      <w:r>
        <w:rPr>
          <w:rFonts w:eastAsia="Malgun Gothic"/>
        </w:rPr>
        <w:t xml:space="preserve"> the</w:t>
      </w:r>
      <w:r>
        <w:t xml:space="preserve"> spleen. </w:t>
      </w:r>
      <w:r>
        <w:rPr>
          <w:b/>
        </w:rPr>
        <w:t>e,</w:t>
      </w:r>
      <w:r>
        <w:t xml:space="preserve"> Percentage of neutrophils in bone marrow. </w:t>
      </w:r>
      <w:r w:rsidRPr="00A8309F">
        <w:rPr>
          <w:i/>
          <w:iCs/>
        </w:rPr>
        <w:t>n</w:t>
      </w:r>
      <w:r>
        <w:t xml:space="preserve"> = </w:t>
      </w:r>
      <w:r>
        <w:rPr>
          <w:rFonts w:hint="eastAsia"/>
        </w:rPr>
        <w:t>6</w:t>
      </w:r>
      <w:r>
        <w:t xml:space="preserve"> per group </w:t>
      </w:r>
      <w:r>
        <w:rPr>
          <w:rFonts w:hint="eastAsia"/>
        </w:rPr>
        <w:t>(</w:t>
      </w:r>
      <w:r>
        <w:rPr>
          <w:rFonts w:hint="eastAsia"/>
          <w:b/>
        </w:rPr>
        <w:t>a-d</w:t>
      </w:r>
      <w:r w:rsidRPr="0060196F">
        <w:rPr>
          <w:rFonts w:hint="eastAsia"/>
          <w:bCs/>
        </w:rPr>
        <w:t>);</w:t>
      </w:r>
      <w:r>
        <w:t xml:space="preserve"> </w:t>
      </w:r>
      <w:r w:rsidRPr="00A8309F">
        <w:rPr>
          <w:i/>
          <w:iCs/>
        </w:rPr>
        <w:t>n</w:t>
      </w:r>
      <w:r>
        <w:t xml:space="preserve"> = 5 per group </w:t>
      </w:r>
      <w:r>
        <w:rPr>
          <w:rFonts w:hint="eastAsia"/>
        </w:rPr>
        <w:t>(</w:t>
      </w:r>
      <w:r>
        <w:rPr>
          <w:rFonts w:hint="eastAsia"/>
          <w:b/>
        </w:rPr>
        <w:t>e</w:t>
      </w:r>
      <w:r w:rsidRPr="0060196F">
        <w:rPr>
          <w:rFonts w:hint="eastAsia"/>
          <w:bCs/>
        </w:rPr>
        <w:t>)</w:t>
      </w:r>
      <w:r w:rsidRPr="00A8309F">
        <w:rPr>
          <w:rFonts w:hint="eastAsia"/>
          <w:bCs/>
        </w:rPr>
        <w:t>.</w:t>
      </w:r>
      <w:r>
        <w:rPr>
          <w:rFonts w:hint="eastAsia"/>
          <w:bCs/>
        </w:rPr>
        <w:t xml:space="preserve"> </w:t>
      </w:r>
      <w:r>
        <w:rPr>
          <w:color w:val="2E2E2E"/>
        </w:rPr>
        <w:t>For all graphs, data are shown as the mean ± s.e.m.; *P &lt; 0.05, **P &lt; 0.01, ****P &lt; 0.0001; ns, not significant. P values were calculated using</w:t>
      </w:r>
      <w:r>
        <w:rPr>
          <w:rFonts w:eastAsia="Malgun Gothic"/>
          <w:color w:val="2E2E2E"/>
        </w:rPr>
        <w:t xml:space="preserve"> a</w:t>
      </w:r>
      <w:r>
        <w:rPr>
          <w:color w:val="2E2E2E"/>
        </w:rPr>
        <w:t xml:space="preserve"> two-sided unpaired Mann–Whitney U test.</w:t>
      </w:r>
    </w:p>
    <w:p w14:paraId="2A52B02D" w14:textId="77777777" w:rsidR="00B77EB8" w:rsidRDefault="00B77EB8" w:rsidP="00B77EB8">
      <w:pPr>
        <w:spacing w:line="480" w:lineRule="auto"/>
      </w:pPr>
    </w:p>
    <w:p w14:paraId="413D8172" w14:textId="77777777" w:rsidR="00B77EB8" w:rsidRDefault="00B77EB8" w:rsidP="00B77EB8">
      <w:pPr>
        <w:spacing w:line="480" w:lineRule="auto"/>
      </w:pPr>
    </w:p>
    <w:p w14:paraId="6F9BB6BF" w14:textId="77777777" w:rsidR="00B77EB8" w:rsidRDefault="00B77EB8" w:rsidP="00B77EB8">
      <w:pPr>
        <w:spacing w:line="480" w:lineRule="auto"/>
      </w:pPr>
    </w:p>
    <w:p w14:paraId="43BEB067" w14:textId="77777777" w:rsidR="00B77EB8" w:rsidRDefault="00B77EB8" w:rsidP="00B77EB8">
      <w:pPr>
        <w:spacing w:line="480" w:lineRule="auto"/>
      </w:pPr>
    </w:p>
    <w:p w14:paraId="0582325E" w14:textId="77777777" w:rsidR="00B77EB8" w:rsidRDefault="00B77EB8" w:rsidP="00B77EB8">
      <w:pPr>
        <w:spacing w:line="480" w:lineRule="auto"/>
      </w:pPr>
    </w:p>
    <w:p w14:paraId="6ED2F68B" w14:textId="77777777" w:rsidR="00B77EB8" w:rsidRDefault="00B77EB8" w:rsidP="00B77EB8">
      <w:pPr>
        <w:spacing w:line="480" w:lineRule="auto"/>
      </w:pPr>
    </w:p>
    <w:p w14:paraId="2E492DC1" w14:textId="77777777" w:rsidR="00B77EB8" w:rsidRDefault="00B77EB8" w:rsidP="00B77EB8">
      <w:pPr>
        <w:spacing w:line="480" w:lineRule="auto"/>
      </w:pPr>
    </w:p>
    <w:p w14:paraId="486D174F" w14:textId="77777777" w:rsidR="00B77EB8" w:rsidRDefault="00B77EB8" w:rsidP="00B77EB8">
      <w:pPr>
        <w:spacing w:line="480" w:lineRule="auto"/>
      </w:pPr>
      <w:r>
        <w:rPr>
          <w:b/>
        </w:rPr>
        <w:t xml:space="preserve">Extended Data Fig. </w:t>
      </w:r>
      <w:r>
        <w:rPr>
          <w:rFonts w:hint="eastAsia"/>
          <w:b/>
        </w:rPr>
        <w:t>3</w:t>
      </w:r>
    </w:p>
    <w:p w14:paraId="1C241582" w14:textId="77777777" w:rsidR="00B77EB8" w:rsidRDefault="00B77EB8" w:rsidP="00B77EB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F4002C6" wp14:editId="65B73B1F">
            <wp:extent cx="5731510" cy="2059305"/>
            <wp:effectExtent l="0" t="0" r="2540" b="0"/>
            <wp:docPr id="1927593352" name="그림 8" descr="텍스트, 도표, 평면도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593352" name="그림 8" descr="텍스트, 도표, 평면도, 폰트이(가) 표시된 사진&#10;&#10;AI 생성 콘텐츠는 정확하지 않을 수 있습니다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9CD9B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</w:rPr>
        <w:t xml:space="preserve">Extended Data Fig. </w:t>
      </w:r>
      <w:r>
        <w:rPr>
          <w:rFonts w:hint="eastAsia"/>
          <w:b/>
        </w:rPr>
        <w:t>3</w:t>
      </w:r>
      <w:r>
        <w:rPr>
          <w:b/>
        </w:rPr>
        <w:t xml:space="preserve">: </w:t>
      </w:r>
      <w:r w:rsidRPr="0060196F">
        <w:rPr>
          <w:b/>
        </w:rPr>
        <w:t>Flow cytometry analysis of tumor-infiltrating immune cells in MC38-bearing mice treated i.p. with PBS, VP-MF, or VP-MFP</w:t>
      </w:r>
    </w:p>
    <w:p w14:paraId="233181B0" w14:textId="77777777" w:rsidR="00B77EB8" w:rsidRDefault="00B77EB8" w:rsidP="00B77EB8">
      <w:pPr>
        <w:spacing w:line="480" w:lineRule="auto"/>
        <w:jc w:val="both"/>
        <w:rPr>
          <w:color w:val="2E2E2E"/>
        </w:rPr>
      </w:pPr>
      <w:r>
        <w:rPr>
          <w:b/>
        </w:rPr>
        <w:t>a-</w:t>
      </w:r>
      <w:r>
        <w:rPr>
          <w:rFonts w:hint="eastAsia"/>
          <w:b/>
        </w:rPr>
        <w:t>d</w:t>
      </w:r>
      <w:r>
        <w:rPr>
          <w:b/>
        </w:rPr>
        <w:t>,</w:t>
      </w:r>
      <w:r>
        <w:t xml:space="preserve"> Frequency of CD4+ T</w:t>
      </w:r>
      <w:r>
        <w:rPr>
          <w:rFonts w:hint="eastAsia"/>
        </w:rPr>
        <w:t xml:space="preserve"> </w:t>
      </w:r>
      <w:r>
        <w:t>cells (</w:t>
      </w:r>
      <w:r>
        <w:rPr>
          <w:b/>
        </w:rPr>
        <w:t>a</w:t>
      </w:r>
      <w:r>
        <w:t>), CD8+ T</w:t>
      </w:r>
      <w:r>
        <w:rPr>
          <w:rFonts w:hint="eastAsia"/>
        </w:rPr>
        <w:t xml:space="preserve"> </w:t>
      </w:r>
      <w:r>
        <w:t>cells (</w:t>
      </w:r>
      <w:r>
        <w:rPr>
          <w:b/>
        </w:rPr>
        <w:t>b</w:t>
      </w:r>
      <w:r>
        <w:t>), NK cells (</w:t>
      </w:r>
      <w:r>
        <w:rPr>
          <w:b/>
        </w:rPr>
        <w:t>c</w:t>
      </w:r>
      <w:r>
        <w:t xml:space="preserve">), </w:t>
      </w:r>
      <w:r>
        <w:rPr>
          <w:rFonts w:hint="eastAsia"/>
        </w:rPr>
        <w:t xml:space="preserve">or </w:t>
      </w:r>
      <w:r>
        <w:t>macrophages (</w:t>
      </w:r>
      <w:r>
        <w:rPr>
          <w:b/>
        </w:rPr>
        <w:t>d</w:t>
      </w:r>
      <w:r>
        <w:t xml:space="preserve">) in </w:t>
      </w:r>
      <w:r>
        <w:rPr>
          <w:rFonts w:eastAsia="Malgun Gothic"/>
        </w:rPr>
        <w:t>tumors</w:t>
      </w:r>
      <w:r>
        <w:t xml:space="preserve">. </w:t>
      </w:r>
      <w:r w:rsidRPr="00A8309F">
        <w:rPr>
          <w:i/>
          <w:iCs/>
        </w:rPr>
        <w:t>n</w:t>
      </w:r>
      <w:r>
        <w:t xml:space="preserve"> = </w:t>
      </w:r>
      <w:r>
        <w:rPr>
          <w:rFonts w:hint="eastAsia"/>
        </w:rPr>
        <w:t>6</w:t>
      </w:r>
      <w:r>
        <w:t xml:space="preserve"> per group </w:t>
      </w:r>
      <w:r>
        <w:rPr>
          <w:rFonts w:hint="eastAsia"/>
        </w:rPr>
        <w:t>(</w:t>
      </w:r>
      <w:r>
        <w:rPr>
          <w:rFonts w:hint="eastAsia"/>
          <w:b/>
        </w:rPr>
        <w:t>a-c</w:t>
      </w:r>
      <w:r w:rsidRPr="0060196F">
        <w:rPr>
          <w:rFonts w:hint="eastAsia"/>
          <w:bCs/>
        </w:rPr>
        <w:t>)</w:t>
      </w:r>
      <w:r>
        <w:rPr>
          <w:rFonts w:hint="eastAsia"/>
        </w:rPr>
        <w:t>;</w:t>
      </w:r>
      <w:r>
        <w:t xml:space="preserve"> </w:t>
      </w:r>
      <w:r w:rsidRPr="00A8309F">
        <w:rPr>
          <w:i/>
          <w:iCs/>
        </w:rPr>
        <w:t>n</w:t>
      </w:r>
      <w:r>
        <w:t xml:space="preserve"> = 5 per group </w:t>
      </w:r>
      <w:r>
        <w:rPr>
          <w:rFonts w:hint="eastAsia"/>
        </w:rPr>
        <w:t>(</w:t>
      </w:r>
      <w:r>
        <w:rPr>
          <w:rFonts w:hint="eastAsia"/>
          <w:b/>
        </w:rPr>
        <w:t>d</w:t>
      </w:r>
      <w:r w:rsidRPr="0060196F">
        <w:rPr>
          <w:rFonts w:hint="eastAsia"/>
          <w:bCs/>
        </w:rPr>
        <w:t>)</w:t>
      </w:r>
      <w:r w:rsidRPr="00A8309F">
        <w:rPr>
          <w:rFonts w:hint="eastAsia"/>
          <w:bCs/>
        </w:rPr>
        <w:t>.</w:t>
      </w:r>
      <w:r>
        <w:rPr>
          <w:rFonts w:hint="eastAsia"/>
          <w:bCs/>
        </w:rPr>
        <w:t xml:space="preserve"> </w:t>
      </w:r>
      <w:r>
        <w:rPr>
          <w:color w:val="2E2E2E"/>
        </w:rPr>
        <w:t xml:space="preserve">For all graphs, data are shown as the mean ± s.e.m.; *P &lt; 0.05, **P &lt; 0.01; ns, not significant. P values were calculated </w:t>
      </w:r>
      <w:r w:rsidRPr="0060196F">
        <w:rPr>
          <w:color w:val="2E2E2E"/>
        </w:rPr>
        <w:t xml:space="preserve">using the </w:t>
      </w:r>
      <w:r w:rsidRPr="00C57BF8">
        <w:rPr>
          <w:color w:val="2E2E2E"/>
        </w:rPr>
        <w:t>Kruskal–Wallis test followed by Dunn’s post hoc test</w:t>
      </w:r>
      <w:r>
        <w:rPr>
          <w:rFonts w:hint="eastAsia"/>
          <w:color w:val="2E2E2E"/>
        </w:rPr>
        <w:t>.</w:t>
      </w:r>
    </w:p>
    <w:p w14:paraId="3D48F044" w14:textId="77777777" w:rsidR="00B77EB8" w:rsidRDefault="00B77EB8" w:rsidP="00B77EB8">
      <w:pPr>
        <w:spacing w:line="480" w:lineRule="auto"/>
      </w:pPr>
    </w:p>
    <w:p w14:paraId="32362471" w14:textId="77777777" w:rsidR="00B77EB8" w:rsidRDefault="00B77EB8" w:rsidP="00B77EB8">
      <w:pPr>
        <w:spacing w:line="480" w:lineRule="auto"/>
      </w:pPr>
    </w:p>
    <w:p w14:paraId="6220BE51" w14:textId="77777777" w:rsidR="00B77EB8" w:rsidRDefault="00B77EB8" w:rsidP="00B77EB8">
      <w:pPr>
        <w:spacing w:line="480" w:lineRule="auto"/>
      </w:pPr>
    </w:p>
    <w:p w14:paraId="1D321D44" w14:textId="77777777" w:rsidR="00B77EB8" w:rsidRDefault="00B77EB8" w:rsidP="00B77EB8">
      <w:pPr>
        <w:spacing w:line="480" w:lineRule="auto"/>
      </w:pPr>
    </w:p>
    <w:p w14:paraId="26998C80" w14:textId="77777777" w:rsidR="00B77EB8" w:rsidRDefault="00B77EB8" w:rsidP="00B77EB8">
      <w:pPr>
        <w:spacing w:line="480" w:lineRule="auto"/>
      </w:pPr>
    </w:p>
    <w:p w14:paraId="6BAFD952" w14:textId="77777777" w:rsidR="00B77EB8" w:rsidRDefault="00B77EB8" w:rsidP="00B77EB8">
      <w:pPr>
        <w:spacing w:line="480" w:lineRule="auto"/>
      </w:pPr>
    </w:p>
    <w:p w14:paraId="5431224A" w14:textId="77777777" w:rsidR="00B77EB8" w:rsidRDefault="00B77EB8" w:rsidP="00B77EB8">
      <w:pPr>
        <w:spacing w:line="480" w:lineRule="auto"/>
      </w:pPr>
    </w:p>
    <w:p w14:paraId="7BFD4254" w14:textId="77777777" w:rsidR="00B77EB8" w:rsidRDefault="00B77EB8" w:rsidP="00B77EB8">
      <w:pPr>
        <w:spacing w:line="480" w:lineRule="auto"/>
      </w:pPr>
    </w:p>
    <w:p w14:paraId="3DE67B5D" w14:textId="77777777" w:rsidR="00B77EB8" w:rsidRDefault="00B77EB8" w:rsidP="00B77EB8">
      <w:pPr>
        <w:spacing w:line="480" w:lineRule="auto"/>
      </w:pPr>
    </w:p>
    <w:p w14:paraId="4E177986" w14:textId="77777777" w:rsidR="00B77EB8" w:rsidRDefault="00B77EB8" w:rsidP="00B77EB8">
      <w:pPr>
        <w:spacing w:line="480" w:lineRule="auto"/>
      </w:pPr>
    </w:p>
    <w:p w14:paraId="759DE23E" w14:textId="77777777" w:rsidR="00B77EB8" w:rsidRDefault="00B77EB8" w:rsidP="00B77EB8">
      <w:pPr>
        <w:spacing w:line="480" w:lineRule="auto"/>
      </w:pPr>
    </w:p>
    <w:p w14:paraId="44FD5930" w14:textId="77777777" w:rsidR="00B77EB8" w:rsidRDefault="00B77EB8" w:rsidP="00B77EB8">
      <w:pPr>
        <w:spacing w:line="480" w:lineRule="auto"/>
      </w:pPr>
      <w:r>
        <w:rPr>
          <w:b/>
        </w:rPr>
        <w:t xml:space="preserve">Extended Data Fig. </w:t>
      </w:r>
      <w:r>
        <w:rPr>
          <w:rFonts w:hint="eastAsia"/>
          <w:b/>
        </w:rPr>
        <w:t>4</w:t>
      </w:r>
    </w:p>
    <w:p w14:paraId="4653593C" w14:textId="77777777" w:rsidR="00B77EB8" w:rsidRDefault="00B77EB8" w:rsidP="00B77EB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1640242" wp14:editId="34B76A54">
            <wp:extent cx="5731510" cy="3313430"/>
            <wp:effectExtent l="0" t="0" r="2540" b="1270"/>
            <wp:docPr id="1645353568" name="그림 9" descr="텍스트, 도표, 평면도, 기술 도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353568" name="그림 9" descr="텍스트, 도표, 평면도, 기술 도면이(가) 표시된 사진&#10;&#10;AI 생성 콘텐츠는 정확하지 않을 수 있습니다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321A0" w14:textId="77777777" w:rsidR="00B77EB8" w:rsidRDefault="00B77EB8" w:rsidP="00B77EB8">
      <w:pPr>
        <w:spacing w:line="480" w:lineRule="auto"/>
        <w:jc w:val="both"/>
        <w:rPr>
          <w:b/>
        </w:rPr>
      </w:pPr>
      <w:r>
        <w:rPr>
          <w:b/>
        </w:rPr>
        <w:t xml:space="preserve">Extended Data Fig. </w:t>
      </w:r>
      <w:r>
        <w:rPr>
          <w:rFonts w:hint="eastAsia"/>
          <w:b/>
        </w:rPr>
        <w:t>4</w:t>
      </w:r>
      <w:r>
        <w:rPr>
          <w:b/>
        </w:rPr>
        <w:t xml:space="preserve">: Comparison of antitumor effects </w:t>
      </w:r>
      <w:r>
        <w:rPr>
          <w:rFonts w:hint="eastAsia"/>
          <w:b/>
        </w:rPr>
        <w:t>of</w:t>
      </w:r>
      <w:r>
        <w:rPr>
          <w:b/>
        </w:rPr>
        <w:t xml:space="preserve"> extracted membrane fractions of </w:t>
      </w:r>
      <w:r>
        <w:rPr>
          <w:b/>
          <w:i/>
        </w:rPr>
        <w:t>V. parvula</w:t>
      </w:r>
      <w:r>
        <w:rPr>
          <w:b/>
        </w:rPr>
        <w:t xml:space="preserve"> (VP-MF) and </w:t>
      </w:r>
      <w:r>
        <w:rPr>
          <w:b/>
          <w:i/>
        </w:rPr>
        <w:t xml:space="preserve">V. atypica </w:t>
      </w:r>
      <w:r>
        <w:rPr>
          <w:b/>
        </w:rPr>
        <w:t>(VA-MF) in MC38 tumor-bearing mice</w:t>
      </w:r>
    </w:p>
    <w:p w14:paraId="557DADE6" w14:textId="77777777" w:rsidR="00B77EB8" w:rsidRDefault="00B77EB8" w:rsidP="00B77EB8">
      <w:pPr>
        <w:spacing w:line="480" w:lineRule="auto"/>
        <w:rPr>
          <w:color w:val="2E2E2E"/>
        </w:rPr>
      </w:pPr>
      <w:r>
        <w:rPr>
          <w:b/>
        </w:rPr>
        <w:t>a,</w:t>
      </w:r>
      <w:r>
        <w:t xml:space="preserve"> </w:t>
      </w:r>
      <w:r w:rsidRPr="00B16CEF">
        <w:rPr>
          <w:color w:val="2E2E2E"/>
        </w:rPr>
        <w:t>Experimental scheme (</w:t>
      </w:r>
      <w:r>
        <w:rPr>
          <w:rFonts w:hint="eastAsia"/>
          <w:color w:val="2E2E2E"/>
        </w:rPr>
        <w:t>left</w:t>
      </w:r>
      <w:r w:rsidRPr="00B16CEF">
        <w:rPr>
          <w:color w:val="2E2E2E"/>
        </w:rPr>
        <w:t>)</w:t>
      </w:r>
      <w:r>
        <w:rPr>
          <w:rFonts w:hint="eastAsia"/>
          <w:color w:val="2E2E2E"/>
        </w:rPr>
        <w:t xml:space="preserve">: </w:t>
      </w:r>
      <w:r w:rsidRPr="00D24279">
        <w:rPr>
          <w:color w:val="2E2E2E"/>
        </w:rPr>
        <w:t xml:space="preserve">wild-type C57BL/6 mice were treated </w:t>
      </w:r>
      <w:r>
        <w:rPr>
          <w:rFonts w:hint="eastAsia"/>
          <w:color w:val="2E2E2E"/>
        </w:rPr>
        <w:t xml:space="preserve">i.p. </w:t>
      </w:r>
      <w:r w:rsidRPr="00D24279">
        <w:rPr>
          <w:color w:val="2E2E2E"/>
        </w:rPr>
        <w:t>with</w:t>
      </w:r>
      <w:r w:rsidRPr="00B16CEF">
        <w:rPr>
          <w:color w:val="2E2E2E"/>
        </w:rPr>
        <w:t xml:space="preserve"> </w:t>
      </w:r>
      <w:r>
        <w:t>PBS, VP-MF, or VA-MF</w:t>
      </w:r>
      <w:r w:rsidRPr="00D24279">
        <w:rPr>
          <w:color w:val="2E2E2E"/>
        </w:rPr>
        <w:t xml:space="preserve"> </w:t>
      </w:r>
      <w:r w:rsidRPr="00B16CEF">
        <w:rPr>
          <w:color w:val="2E2E2E"/>
        </w:rPr>
        <w:t>every 3 days beginning on day 7 after</w:t>
      </w:r>
      <w:r>
        <w:rPr>
          <w:rFonts w:hint="eastAsia"/>
          <w:color w:val="2E2E2E"/>
        </w:rPr>
        <w:t xml:space="preserve"> s.c. </w:t>
      </w:r>
      <w:r w:rsidRPr="00B16CEF">
        <w:rPr>
          <w:color w:val="2E2E2E"/>
        </w:rPr>
        <w:t>MC38 tumor implantation. Tumor growth curves (</w:t>
      </w:r>
      <w:r>
        <w:rPr>
          <w:rFonts w:hint="eastAsia"/>
          <w:color w:val="2E2E2E"/>
        </w:rPr>
        <w:t>middle</w:t>
      </w:r>
      <w:r w:rsidRPr="00B16CEF">
        <w:rPr>
          <w:color w:val="2E2E2E"/>
        </w:rPr>
        <w:t xml:space="preserve">) and final tumor weights (right) are shown. </w:t>
      </w:r>
      <w:r w:rsidRPr="00A8309F">
        <w:rPr>
          <w:i/>
          <w:iCs/>
        </w:rPr>
        <w:t>n</w:t>
      </w:r>
      <w:r>
        <w:t xml:space="preserve"> = 8 per group</w:t>
      </w:r>
      <w:r w:rsidRPr="00B16CEF">
        <w:rPr>
          <w:color w:val="2E2E2E"/>
        </w:rPr>
        <w:t>.</w:t>
      </w:r>
      <w:r>
        <w:rPr>
          <w:rFonts w:hint="eastAsia"/>
          <w:color w:val="2E2E2E"/>
        </w:rPr>
        <w:t xml:space="preserve"> </w:t>
      </w:r>
      <w:r>
        <w:rPr>
          <w:b/>
        </w:rPr>
        <w:t>b</w:t>
      </w:r>
      <w:r>
        <w:t xml:space="preserve">, Percentage of tumor-infiltrating neutrophils in PBS-, VP-MF-, or VA-MF-treated mice. </w:t>
      </w:r>
      <w:r w:rsidRPr="00C57BF8">
        <w:rPr>
          <w:i/>
          <w:iCs/>
        </w:rPr>
        <w:t>n</w:t>
      </w:r>
      <w:r w:rsidRPr="00C57BF8">
        <w:t xml:space="preserve"> = 8 per group (</w:t>
      </w:r>
      <w:r w:rsidRPr="00C57BF8">
        <w:rPr>
          <w:b/>
          <w:bCs/>
        </w:rPr>
        <w:t>a</w:t>
      </w:r>
      <w:r w:rsidRPr="00C57BF8">
        <w:t xml:space="preserve">); </w:t>
      </w:r>
      <w:r w:rsidRPr="00C57BF8">
        <w:rPr>
          <w:i/>
          <w:iCs/>
        </w:rPr>
        <w:t>n</w:t>
      </w:r>
      <w:r w:rsidRPr="00C57BF8">
        <w:t xml:space="preserve"> = 6 per group (</w:t>
      </w:r>
      <w:r w:rsidRPr="00C57BF8">
        <w:rPr>
          <w:b/>
          <w:bCs/>
        </w:rPr>
        <w:t>b</w:t>
      </w:r>
      <w:r w:rsidRPr="00C57BF8">
        <w:t>).</w:t>
      </w:r>
      <w:r>
        <w:rPr>
          <w:rFonts w:hint="eastAsia"/>
        </w:rPr>
        <w:t xml:space="preserve"> </w:t>
      </w:r>
      <w:r>
        <w:rPr>
          <w:color w:val="2E2E2E"/>
        </w:rPr>
        <w:t>For all graphs, data are shown as the mean ± s.e.m.</w:t>
      </w:r>
      <w:r>
        <w:rPr>
          <w:rFonts w:eastAsia="Malgun Gothic"/>
          <w:color w:val="2E2E2E"/>
        </w:rPr>
        <w:t xml:space="preserve"> </w:t>
      </w:r>
      <w:r>
        <w:rPr>
          <w:color w:val="2E2E2E"/>
        </w:rPr>
        <w:t xml:space="preserve">; ns, not significant. </w:t>
      </w:r>
      <w:r w:rsidRPr="00C57BF8">
        <w:rPr>
          <w:color w:val="2E2E2E"/>
        </w:rPr>
        <w:t>P values were calculated using two-way ANOVA with Tukey’s multiple comparisons test (</w:t>
      </w:r>
      <w:r w:rsidRPr="00C57BF8">
        <w:rPr>
          <w:rFonts w:hint="eastAsia"/>
          <w:b/>
          <w:bCs/>
          <w:color w:val="2E2E2E"/>
        </w:rPr>
        <w:t xml:space="preserve">middle in </w:t>
      </w:r>
      <w:r w:rsidRPr="00C57BF8">
        <w:rPr>
          <w:b/>
          <w:bCs/>
          <w:color w:val="2E2E2E"/>
        </w:rPr>
        <w:t>a</w:t>
      </w:r>
      <w:r w:rsidRPr="00C57BF8">
        <w:rPr>
          <w:color w:val="2E2E2E"/>
        </w:rPr>
        <w:t>), or the Kruskal–Wallis test followed by Dunn’s post hoc test (</w:t>
      </w:r>
      <w:r>
        <w:rPr>
          <w:rFonts w:hint="eastAsia"/>
          <w:b/>
          <w:bCs/>
          <w:color w:val="2E2E2E"/>
        </w:rPr>
        <w:t>right</w:t>
      </w:r>
      <w:r w:rsidRPr="00C57BF8">
        <w:rPr>
          <w:b/>
          <w:bCs/>
          <w:color w:val="2E2E2E"/>
        </w:rPr>
        <w:t xml:space="preserve"> in a</w:t>
      </w:r>
      <w:r w:rsidRPr="00C57BF8">
        <w:rPr>
          <w:color w:val="2E2E2E"/>
        </w:rPr>
        <w:t xml:space="preserve">, and </w:t>
      </w:r>
      <w:r w:rsidRPr="00C57BF8">
        <w:rPr>
          <w:b/>
          <w:bCs/>
          <w:color w:val="2E2E2E"/>
        </w:rPr>
        <w:t>b</w:t>
      </w:r>
      <w:r w:rsidRPr="00C57BF8">
        <w:rPr>
          <w:color w:val="2E2E2E"/>
        </w:rPr>
        <w:t>).</w:t>
      </w:r>
    </w:p>
    <w:p w14:paraId="518521ED" w14:textId="77777777" w:rsidR="00B77EB8" w:rsidRDefault="00B77EB8" w:rsidP="00B77EB8">
      <w:pPr>
        <w:spacing w:line="480" w:lineRule="auto"/>
      </w:pPr>
    </w:p>
    <w:p w14:paraId="7B7364F9" w14:textId="77777777" w:rsidR="00B77EB8" w:rsidRDefault="00B77EB8" w:rsidP="00B77EB8">
      <w:pPr>
        <w:spacing w:line="480" w:lineRule="auto"/>
      </w:pPr>
    </w:p>
    <w:p w14:paraId="14F5A988" w14:textId="77777777" w:rsidR="00B77EB8" w:rsidRDefault="00B77EB8" w:rsidP="00B77EB8">
      <w:pPr>
        <w:spacing w:line="480" w:lineRule="auto"/>
      </w:pPr>
    </w:p>
    <w:p w14:paraId="2F7590A9" w14:textId="77777777" w:rsidR="00B77EB8" w:rsidRDefault="00B77EB8" w:rsidP="00B77EB8">
      <w:pPr>
        <w:spacing w:line="480" w:lineRule="auto"/>
      </w:pPr>
    </w:p>
    <w:p w14:paraId="4C3B7D75" w14:textId="77777777" w:rsidR="00B77EB8" w:rsidRDefault="00B77EB8" w:rsidP="00B77EB8">
      <w:pPr>
        <w:spacing w:line="480" w:lineRule="auto"/>
      </w:pPr>
      <w:r>
        <w:rPr>
          <w:b/>
        </w:rPr>
        <w:t xml:space="preserve">Extended Data Fig. </w:t>
      </w:r>
      <w:r>
        <w:rPr>
          <w:rFonts w:hint="eastAsia"/>
          <w:b/>
        </w:rPr>
        <w:t>5</w:t>
      </w:r>
    </w:p>
    <w:p w14:paraId="2148D815" w14:textId="77777777" w:rsidR="00B77EB8" w:rsidRDefault="00B77EB8" w:rsidP="00B77EB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B76F5DF" wp14:editId="1DC378A8">
            <wp:extent cx="5731510" cy="3392805"/>
            <wp:effectExtent l="0" t="0" r="2540" b="0"/>
            <wp:docPr id="741703200" name="그림 10" descr="도표, 텍스트, 평면도, 기술 도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703200" name="그림 10" descr="도표, 텍스트, 평면도, 기술 도면이(가) 표시된 사진&#10;&#10;AI 생성 콘텐츠는 정확하지 않을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66AA9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</w:rPr>
        <w:t xml:space="preserve">Extended Data Fig. </w:t>
      </w:r>
      <w:r>
        <w:rPr>
          <w:rFonts w:hint="eastAsia"/>
          <w:b/>
        </w:rPr>
        <w:t>5</w:t>
      </w:r>
      <w:r>
        <w:rPr>
          <w:b/>
        </w:rPr>
        <w:t xml:space="preserve">: </w:t>
      </w:r>
      <w:r w:rsidRPr="008F180C">
        <w:rPr>
          <w:b/>
        </w:rPr>
        <w:t>Lack of antitumor activity and neutrophil activation by Vpar0556 in MC38 tumor-bearing mice</w:t>
      </w:r>
    </w:p>
    <w:p w14:paraId="5F867E61" w14:textId="77777777" w:rsidR="00B77EB8" w:rsidRDefault="00B77EB8" w:rsidP="00B77EB8">
      <w:pPr>
        <w:spacing w:line="480" w:lineRule="auto"/>
      </w:pPr>
      <w:r>
        <w:rPr>
          <w:b/>
        </w:rPr>
        <w:t>a,</w:t>
      </w:r>
      <w:r>
        <w:t xml:space="preserve"> </w:t>
      </w:r>
      <w:r w:rsidRPr="00B16CEF">
        <w:rPr>
          <w:color w:val="2E2E2E"/>
        </w:rPr>
        <w:t>Experimental scheme (</w:t>
      </w:r>
      <w:r>
        <w:rPr>
          <w:rFonts w:hint="eastAsia"/>
          <w:color w:val="2E2E2E"/>
        </w:rPr>
        <w:t>left</w:t>
      </w:r>
      <w:r w:rsidRPr="00B16CEF">
        <w:rPr>
          <w:color w:val="2E2E2E"/>
        </w:rPr>
        <w:t>)</w:t>
      </w:r>
      <w:r>
        <w:rPr>
          <w:rFonts w:hint="eastAsia"/>
          <w:color w:val="2E2E2E"/>
        </w:rPr>
        <w:t xml:space="preserve">: </w:t>
      </w:r>
      <w:r w:rsidRPr="00D24279">
        <w:rPr>
          <w:color w:val="2E2E2E"/>
        </w:rPr>
        <w:t xml:space="preserve">wild-type C57BL/6 mice were treated </w:t>
      </w:r>
      <w:r>
        <w:rPr>
          <w:rFonts w:hint="eastAsia"/>
          <w:color w:val="2E2E2E"/>
        </w:rPr>
        <w:t xml:space="preserve">i.p. </w:t>
      </w:r>
      <w:r w:rsidRPr="00D24279">
        <w:rPr>
          <w:color w:val="2E2E2E"/>
        </w:rPr>
        <w:t>with</w:t>
      </w:r>
      <w:r w:rsidRPr="00B16CEF">
        <w:rPr>
          <w:color w:val="2E2E2E"/>
        </w:rPr>
        <w:t xml:space="preserve"> </w:t>
      </w:r>
      <w:r>
        <w:t>PBS</w:t>
      </w:r>
      <w:r>
        <w:rPr>
          <w:rFonts w:hint="eastAsia"/>
        </w:rPr>
        <w:t xml:space="preserve"> or Vpar0556</w:t>
      </w:r>
      <w:r w:rsidRPr="00D24279">
        <w:rPr>
          <w:color w:val="2E2E2E"/>
        </w:rPr>
        <w:t xml:space="preserve"> </w:t>
      </w:r>
      <w:r w:rsidRPr="00B16CEF">
        <w:rPr>
          <w:color w:val="2E2E2E"/>
        </w:rPr>
        <w:t xml:space="preserve">every 3 days beginning on day 7 after </w:t>
      </w:r>
      <w:r>
        <w:rPr>
          <w:rFonts w:hint="eastAsia"/>
          <w:color w:val="2E2E2E"/>
        </w:rPr>
        <w:t>s.c.</w:t>
      </w:r>
      <w:r w:rsidRPr="00B16CEF">
        <w:rPr>
          <w:color w:val="2E2E2E"/>
        </w:rPr>
        <w:t xml:space="preserve"> MC38 tumor implantation. Tumor growth curves (</w:t>
      </w:r>
      <w:r>
        <w:rPr>
          <w:rFonts w:hint="eastAsia"/>
          <w:color w:val="2E2E2E"/>
        </w:rPr>
        <w:t>middle</w:t>
      </w:r>
      <w:r w:rsidRPr="00B16CEF">
        <w:rPr>
          <w:color w:val="2E2E2E"/>
        </w:rPr>
        <w:t xml:space="preserve">) and final tumor weights (right) of MC38 tumors are shown. </w:t>
      </w:r>
      <w:r>
        <w:rPr>
          <w:b/>
        </w:rPr>
        <w:t>b,</w:t>
      </w:r>
      <w:r>
        <w:t xml:space="preserve"> Percentage of tumor-infiltrating neutrophils in PBS- or Vpar0556-treated mice</w:t>
      </w:r>
      <w:r w:rsidRPr="008F180C">
        <w:t xml:space="preserve">. </w:t>
      </w:r>
      <w:r w:rsidRPr="008F180C">
        <w:rPr>
          <w:i/>
          <w:iCs/>
        </w:rPr>
        <w:t>n</w:t>
      </w:r>
      <w:r w:rsidRPr="008F180C">
        <w:t xml:space="preserve"> = </w:t>
      </w:r>
      <w:r w:rsidRPr="008F180C">
        <w:rPr>
          <w:rFonts w:hint="eastAsia"/>
        </w:rPr>
        <w:t>6</w:t>
      </w:r>
      <w:r w:rsidRPr="008F180C">
        <w:t xml:space="preserve"> per group (</w:t>
      </w:r>
      <w:r w:rsidRPr="008F180C">
        <w:rPr>
          <w:b/>
          <w:bCs/>
        </w:rPr>
        <w:t>a</w:t>
      </w:r>
      <w:r w:rsidRPr="008F180C">
        <w:t xml:space="preserve">); </w:t>
      </w:r>
      <w:r w:rsidRPr="008F180C">
        <w:rPr>
          <w:i/>
          <w:iCs/>
        </w:rPr>
        <w:t>n</w:t>
      </w:r>
      <w:r w:rsidRPr="008F180C">
        <w:t xml:space="preserve"> = </w:t>
      </w:r>
      <w:r w:rsidRPr="008F180C">
        <w:rPr>
          <w:rFonts w:hint="eastAsia"/>
        </w:rPr>
        <w:t>5</w:t>
      </w:r>
      <w:r w:rsidRPr="008F180C">
        <w:t xml:space="preserve"> per group (</w:t>
      </w:r>
      <w:r w:rsidRPr="008F180C">
        <w:rPr>
          <w:b/>
          <w:bCs/>
        </w:rPr>
        <w:t>b</w:t>
      </w:r>
      <w:r w:rsidRPr="008F180C">
        <w:t>).</w:t>
      </w:r>
      <w:r w:rsidRPr="008F180C">
        <w:rPr>
          <w:rFonts w:hint="eastAsia"/>
        </w:rPr>
        <w:t xml:space="preserve"> </w:t>
      </w:r>
      <w:r w:rsidRPr="008F180C">
        <w:rPr>
          <w:color w:val="2E2E2E"/>
        </w:rPr>
        <w:t>For all graphs, data are shown as the mean ± s.e.m.</w:t>
      </w:r>
      <w:r w:rsidRPr="008F180C">
        <w:rPr>
          <w:rFonts w:eastAsia="Malgun Gothic"/>
          <w:color w:val="2E2E2E"/>
        </w:rPr>
        <w:t xml:space="preserve"> </w:t>
      </w:r>
      <w:r w:rsidRPr="008F180C">
        <w:rPr>
          <w:color w:val="2E2E2E"/>
        </w:rPr>
        <w:t>;</w:t>
      </w:r>
      <w:r>
        <w:rPr>
          <w:color w:val="2E2E2E"/>
        </w:rPr>
        <w:t xml:space="preserve"> ns, not significant. P values were calculated using two-way ANOVA with Sidak’s test (</w:t>
      </w:r>
      <w:r>
        <w:rPr>
          <w:b/>
          <w:color w:val="2E2E2E"/>
        </w:rPr>
        <w:t>a</w:t>
      </w:r>
      <w:r>
        <w:rPr>
          <w:color w:val="2E2E2E"/>
        </w:rPr>
        <w:t xml:space="preserve">) for multiple </w:t>
      </w:r>
      <w:r>
        <w:rPr>
          <w:rFonts w:eastAsia="Malgun Gothic"/>
          <w:color w:val="2E2E2E"/>
        </w:rPr>
        <w:t>comparisons</w:t>
      </w:r>
      <w:r>
        <w:rPr>
          <w:color w:val="2E2E2E"/>
        </w:rPr>
        <w:t xml:space="preserve"> or two-sided unpaired Mann–Whitney U test (</w:t>
      </w:r>
      <w:r>
        <w:rPr>
          <w:b/>
          <w:color w:val="2E2E2E"/>
        </w:rPr>
        <w:t>b</w:t>
      </w:r>
      <w:r>
        <w:rPr>
          <w:color w:val="2E2E2E"/>
        </w:rPr>
        <w:t>).</w:t>
      </w:r>
    </w:p>
    <w:p w14:paraId="45AB36CB" w14:textId="77777777" w:rsidR="00B77EB8" w:rsidRDefault="00B77EB8" w:rsidP="00B77EB8">
      <w:pPr>
        <w:spacing w:line="480" w:lineRule="auto"/>
      </w:pPr>
    </w:p>
    <w:p w14:paraId="5461D546" w14:textId="77777777" w:rsidR="00B77EB8" w:rsidRDefault="00B77EB8" w:rsidP="00B77EB8">
      <w:pPr>
        <w:spacing w:line="480" w:lineRule="auto"/>
      </w:pPr>
    </w:p>
    <w:p w14:paraId="483FBBDD" w14:textId="77777777" w:rsidR="00B77EB8" w:rsidRDefault="00B77EB8" w:rsidP="00B77EB8">
      <w:pPr>
        <w:spacing w:line="480" w:lineRule="auto"/>
      </w:pPr>
    </w:p>
    <w:p w14:paraId="5016FA88" w14:textId="77777777" w:rsidR="00B77EB8" w:rsidRDefault="00B77EB8" w:rsidP="00B77EB8">
      <w:pPr>
        <w:spacing w:line="480" w:lineRule="auto"/>
      </w:pPr>
    </w:p>
    <w:p w14:paraId="1C9606CE" w14:textId="77777777" w:rsidR="00B77EB8" w:rsidRDefault="00B77EB8" w:rsidP="00B77EB8">
      <w:pPr>
        <w:spacing w:line="480" w:lineRule="auto"/>
      </w:pPr>
    </w:p>
    <w:p w14:paraId="428FC6AE" w14:textId="77777777" w:rsidR="00B77EB8" w:rsidRDefault="00B77EB8" w:rsidP="00B77EB8">
      <w:pPr>
        <w:spacing w:line="480" w:lineRule="auto"/>
      </w:pPr>
      <w:r>
        <w:rPr>
          <w:b/>
        </w:rPr>
        <w:t xml:space="preserve">Extended Data Fig. </w:t>
      </w:r>
      <w:r>
        <w:rPr>
          <w:rFonts w:hint="eastAsia"/>
          <w:b/>
        </w:rPr>
        <w:t>6</w:t>
      </w:r>
    </w:p>
    <w:p w14:paraId="20C5E3BE" w14:textId="77777777" w:rsidR="00B77EB8" w:rsidRDefault="00B77EB8" w:rsidP="00B77EB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6EF87642" wp14:editId="4CDDA8C7">
            <wp:extent cx="5731510" cy="2033270"/>
            <wp:effectExtent l="0" t="0" r="2540" b="5080"/>
            <wp:docPr id="294688167" name="그림 11" descr="텍스트, 도표, 라인, 평면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688167" name="그림 11" descr="텍스트, 도표, 라인, 평면도이(가) 표시된 사진&#10;&#10;AI 생성 콘텐츠는 정확하지 않을 수 있습니다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EC464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</w:rPr>
        <w:t xml:space="preserve">Extended Data Fig. </w:t>
      </w:r>
      <w:r>
        <w:rPr>
          <w:rFonts w:hint="eastAsia"/>
          <w:b/>
        </w:rPr>
        <w:t>6</w:t>
      </w:r>
      <w:r>
        <w:rPr>
          <w:b/>
        </w:rPr>
        <w:t xml:space="preserve">: </w:t>
      </w:r>
      <w:r w:rsidRPr="00121847">
        <w:rPr>
          <w:b/>
        </w:rPr>
        <w:t>Flow cytometry analysis of TLR2 and TLR4 expression on tumor-infiltrating neutrophils in MC38-bearing mice treated with PBS or Vpar0143</w:t>
      </w:r>
    </w:p>
    <w:p w14:paraId="4B811E66" w14:textId="77777777" w:rsidR="00B77EB8" w:rsidRDefault="00B77EB8" w:rsidP="00B77EB8">
      <w:pPr>
        <w:spacing w:line="480" w:lineRule="auto"/>
      </w:pPr>
      <w:r>
        <w:rPr>
          <w:b/>
        </w:rPr>
        <w:t>a-b</w:t>
      </w:r>
      <w:r>
        <w:t>, Mean fluorescence intensity (MFI) of TLR2 (</w:t>
      </w:r>
      <w:r>
        <w:rPr>
          <w:b/>
        </w:rPr>
        <w:t>a</w:t>
      </w:r>
      <w:r>
        <w:t>) or TLR4 (</w:t>
      </w:r>
      <w:r>
        <w:rPr>
          <w:b/>
        </w:rPr>
        <w:t>b</w:t>
      </w:r>
      <w:r>
        <w:t>) in tumor-infiltrating neutrophils</w:t>
      </w:r>
      <w:r>
        <w:rPr>
          <w:rFonts w:hint="eastAsia"/>
        </w:rPr>
        <w:t xml:space="preserve"> </w:t>
      </w:r>
      <w:r w:rsidRPr="009A25A7">
        <w:t xml:space="preserve">from mice treated </w:t>
      </w:r>
      <w:r>
        <w:rPr>
          <w:rFonts w:hint="eastAsia"/>
        </w:rPr>
        <w:t>i.p.</w:t>
      </w:r>
      <w:r w:rsidRPr="009A25A7">
        <w:t xml:space="preserve"> with PBS or </w:t>
      </w:r>
      <w:r>
        <w:rPr>
          <w:rFonts w:hint="eastAsia"/>
        </w:rPr>
        <w:t>Vpar0143</w:t>
      </w:r>
      <w:r w:rsidRPr="009A25A7">
        <w:t xml:space="preserve"> for four doses</w:t>
      </w:r>
      <w:r>
        <w:t xml:space="preserve">. </w:t>
      </w:r>
      <w:r w:rsidRPr="00AE06D6">
        <w:rPr>
          <w:i/>
          <w:iCs/>
        </w:rPr>
        <w:t>n</w:t>
      </w:r>
      <w:r w:rsidRPr="00121847">
        <w:t xml:space="preserve"> = 8 per group </w:t>
      </w:r>
      <w:r>
        <w:rPr>
          <w:rFonts w:hint="eastAsia"/>
        </w:rPr>
        <w:t>(</w:t>
      </w:r>
      <w:r w:rsidRPr="00121847">
        <w:rPr>
          <w:b/>
          <w:bCs/>
        </w:rPr>
        <w:t>a</w:t>
      </w:r>
      <w:r>
        <w:rPr>
          <w:rFonts w:hint="eastAsia"/>
        </w:rPr>
        <w:t>)</w:t>
      </w:r>
      <w:r w:rsidRPr="00121847">
        <w:t xml:space="preserve">; </w:t>
      </w:r>
      <w:r w:rsidRPr="00AE06D6">
        <w:rPr>
          <w:i/>
          <w:iCs/>
        </w:rPr>
        <w:t>n</w:t>
      </w:r>
      <w:r w:rsidRPr="00121847">
        <w:t xml:space="preserve"> = 5 per group </w:t>
      </w:r>
      <w:r>
        <w:rPr>
          <w:rFonts w:hint="eastAsia"/>
        </w:rPr>
        <w:t>(</w:t>
      </w:r>
      <w:r w:rsidRPr="00121847">
        <w:rPr>
          <w:rFonts w:hint="eastAsia"/>
          <w:b/>
          <w:bCs/>
        </w:rPr>
        <w:t>b</w:t>
      </w:r>
      <w:r>
        <w:rPr>
          <w:rFonts w:hint="eastAsia"/>
        </w:rPr>
        <w:t>)</w:t>
      </w:r>
      <w:r w:rsidRPr="00121847">
        <w:t>.</w:t>
      </w:r>
      <w:r>
        <w:rPr>
          <w:rFonts w:hint="eastAsia"/>
        </w:rPr>
        <w:t xml:space="preserve"> </w:t>
      </w:r>
      <w:r>
        <w:rPr>
          <w:color w:val="2E2E2E"/>
        </w:rPr>
        <w:t xml:space="preserve">For all graphs, data are shown as the mean ± s.e.m.; *P &lt; 0.05. P values were calculated using </w:t>
      </w:r>
      <w:r>
        <w:rPr>
          <w:rFonts w:eastAsia="Malgun Gothic"/>
          <w:color w:val="2E2E2E"/>
        </w:rPr>
        <w:t xml:space="preserve">a </w:t>
      </w:r>
      <w:r>
        <w:rPr>
          <w:color w:val="2E2E2E"/>
        </w:rPr>
        <w:t>two-sided unpaired Mann–Whitney U test.</w:t>
      </w:r>
    </w:p>
    <w:p w14:paraId="33780260" w14:textId="77777777" w:rsidR="00B77EB8" w:rsidRDefault="00B77EB8" w:rsidP="00B77EB8">
      <w:pPr>
        <w:spacing w:line="480" w:lineRule="auto"/>
      </w:pPr>
    </w:p>
    <w:p w14:paraId="1DFFF61E" w14:textId="77777777" w:rsidR="00B77EB8" w:rsidRDefault="00B77EB8" w:rsidP="00B77EB8">
      <w:pPr>
        <w:spacing w:line="480" w:lineRule="auto"/>
        <w:rPr>
          <w:b/>
          <w:bCs/>
        </w:rPr>
      </w:pPr>
    </w:p>
    <w:p w14:paraId="7F919D2F" w14:textId="77777777" w:rsidR="00B77EB8" w:rsidRDefault="00B77EB8" w:rsidP="00B77EB8">
      <w:pPr>
        <w:spacing w:line="480" w:lineRule="auto"/>
        <w:rPr>
          <w:b/>
          <w:bCs/>
        </w:rPr>
      </w:pPr>
    </w:p>
    <w:p w14:paraId="10480E6F" w14:textId="77777777" w:rsidR="00B77EB8" w:rsidRDefault="00B77EB8" w:rsidP="00B77EB8">
      <w:pPr>
        <w:spacing w:line="480" w:lineRule="auto"/>
        <w:rPr>
          <w:b/>
          <w:bCs/>
        </w:rPr>
      </w:pPr>
    </w:p>
    <w:p w14:paraId="375E83A1" w14:textId="77777777" w:rsidR="00B77EB8" w:rsidRDefault="00B77EB8" w:rsidP="00B77EB8">
      <w:pPr>
        <w:spacing w:line="480" w:lineRule="auto"/>
        <w:rPr>
          <w:b/>
          <w:bCs/>
        </w:rPr>
      </w:pPr>
    </w:p>
    <w:p w14:paraId="3FEC8005" w14:textId="77777777" w:rsidR="00B77EB8" w:rsidRDefault="00B77EB8" w:rsidP="00B77EB8">
      <w:pPr>
        <w:spacing w:line="480" w:lineRule="auto"/>
        <w:rPr>
          <w:b/>
          <w:bCs/>
        </w:rPr>
      </w:pPr>
    </w:p>
    <w:p w14:paraId="6EF8130F" w14:textId="77777777" w:rsidR="00B77EB8" w:rsidRDefault="00B77EB8" w:rsidP="00B77EB8">
      <w:pPr>
        <w:spacing w:line="480" w:lineRule="auto"/>
        <w:rPr>
          <w:b/>
          <w:bCs/>
        </w:rPr>
      </w:pPr>
    </w:p>
    <w:p w14:paraId="3E001F16" w14:textId="77777777" w:rsidR="00B77EB8" w:rsidRDefault="00B77EB8" w:rsidP="00B77EB8">
      <w:pPr>
        <w:spacing w:line="480" w:lineRule="auto"/>
        <w:rPr>
          <w:b/>
          <w:bCs/>
        </w:rPr>
      </w:pPr>
    </w:p>
    <w:p w14:paraId="25B5538E" w14:textId="77777777" w:rsidR="00B77EB8" w:rsidRDefault="00B77EB8" w:rsidP="00B77EB8">
      <w:pPr>
        <w:spacing w:line="480" w:lineRule="auto"/>
        <w:rPr>
          <w:b/>
          <w:bCs/>
        </w:rPr>
      </w:pPr>
    </w:p>
    <w:p w14:paraId="385329C8" w14:textId="77777777" w:rsidR="00B77EB8" w:rsidRDefault="00B77EB8" w:rsidP="00B77EB8">
      <w:pPr>
        <w:spacing w:line="480" w:lineRule="auto"/>
        <w:rPr>
          <w:b/>
          <w:bCs/>
        </w:rPr>
      </w:pPr>
    </w:p>
    <w:p w14:paraId="6976A429" w14:textId="77777777" w:rsidR="00B77EB8" w:rsidRDefault="00B77EB8" w:rsidP="00B77EB8">
      <w:pPr>
        <w:spacing w:line="480" w:lineRule="auto"/>
        <w:rPr>
          <w:b/>
          <w:bCs/>
        </w:rPr>
      </w:pPr>
    </w:p>
    <w:p w14:paraId="0784B62E" w14:textId="77777777" w:rsidR="00B77EB8" w:rsidRDefault="00B77EB8" w:rsidP="00B77EB8">
      <w:pPr>
        <w:spacing w:line="480" w:lineRule="auto"/>
        <w:rPr>
          <w:b/>
          <w:bCs/>
        </w:rPr>
      </w:pPr>
      <w:r>
        <w:rPr>
          <w:b/>
        </w:rPr>
        <w:t xml:space="preserve">Extended Data Fig. </w:t>
      </w:r>
      <w:r>
        <w:rPr>
          <w:rFonts w:hint="eastAsia"/>
          <w:b/>
        </w:rPr>
        <w:t>7</w:t>
      </w:r>
    </w:p>
    <w:p w14:paraId="094DAACD" w14:textId="77777777" w:rsidR="00B77EB8" w:rsidRDefault="00B77EB8" w:rsidP="00B77EB8">
      <w:pPr>
        <w:spacing w:line="48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EA0BC39" wp14:editId="2761C00F">
            <wp:extent cx="5731510" cy="2980055"/>
            <wp:effectExtent l="0" t="0" r="2540" b="0"/>
            <wp:docPr id="1999096356" name="그림 12" descr="텍스트, 도표, 평면도, 기술 도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096356" name="그림 12" descr="텍스트, 도표, 평면도, 기술 도면이(가) 표시된 사진&#10;&#10;AI 생성 콘텐츠는 정확하지 않을 수 있습니다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E34C5" w14:textId="77777777" w:rsidR="00B77EB8" w:rsidRDefault="00B77EB8" w:rsidP="00B77EB8">
      <w:pPr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Extended Data Fig. </w:t>
      </w:r>
      <w:r>
        <w:rPr>
          <w:rFonts w:hint="eastAsia"/>
          <w:b/>
          <w:bCs/>
        </w:rPr>
        <w:t>7</w:t>
      </w:r>
      <w:r>
        <w:rPr>
          <w:b/>
          <w:bCs/>
        </w:rPr>
        <w:t>: Flow cytometry gating strategies for analysis of lymphoid and myeloid cells</w:t>
      </w:r>
    </w:p>
    <w:p w14:paraId="675B292E" w14:textId="77777777" w:rsidR="00B77EB8" w:rsidRDefault="00B77EB8" w:rsidP="00B77EB8">
      <w:pPr>
        <w:spacing w:line="480" w:lineRule="auto"/>
      </w:pPr>
    </w:p>
    <w:p w14:paraId="3E0D80C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B8"/>
    <w:rsid w:val="005C0D39"/>
    <w:rsid w:val="0070406C"/>
    <w:rsid w:val="00724754"/>
    <w:rsid w:val="009802CA"/>
    <w:rsid w:val="00B77EB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B91B3"/>
  <w15:chartTrackingRefBased/>
  <w15:docId w15:val="{FE4F5B92-A3A1-4B59-9B27-838295CA2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EB8"/>
    <w:pPr>
      <w:spacing w:after="0" w:line="240" w:lineRule="auto"/>
    </w:pPr>
    <w:rPr>
      <w:rFonts w:ascii="Times New Roman" w:eastAsiaTheme="minorEastAsia" w:hAnsi="Times New Roman" w:cs="Times New Roman"/>
      <w:kern w:val="0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E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E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E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E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E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E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E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E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E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E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E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E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7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E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7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E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7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E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7E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E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E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586</Words>
  <Characters>3389</Characters>
  <Application>Microsoft Office Word</Application>
  <DocSecurity>0</DocSecurity>
  <Lines>65</Lines>
  <Paragraphs>12</Paragraphs>
  <ScaleCrop>false</ScaleCrop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2025-10-16T05:43:00Z</dcterms:created>
  <dcterms:modified xsi:type="dcterms:W3CDTF">2025-10-16T05:44:00Z</dcterms:modified>
</cp:coreProperties>
</file>