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009A1" w14:textId="4BC7501F" w:rsidR="00865217" w:rsidRDefault="002F49F6">
      <w:r>
        <w:rPr>
          <w:rFonts w:ascii="Lora" w:eastAsia="Lora" w:hAnsi="Lora" w:cs="Lora"/>
          <w:noProof/>
          <w:color w:val="424242"/>
          <w:highlight w:val="white"/>
        </w:rPr>
        <w:drawing>
          <wp:inline distT="114300" distB="114300" distL="114300" distR="114300" wp14:anchorId="3859A43B" wp14:editId="094F0D57">
            <wp:extent cx="5943600" cy="2414574"/>
            <wp:effectExtent l="0" t="6985" r="0" b="0"/>
            <wp:docPr id="8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943600" cy="24145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F63DDE2" w14:textId="77777777" w:rsidR="002F49F6" w:rsidRDefault="002F49F6"/>
    <w:p w14:paraId="0DD4F732" w14:textId="77777777" w:rsidR="002F49F6" w:rsidRDefault="002F49F6" w:rsidP="002F49F6">
      <w:pPr>
        <w:spacing w:before="240" w:after="240" w:line="240" w:lineRule="auto"/>
        <w:rPr>
          <w:rFonts w:ascii="Lora" w:eastAsia="Lora" w:hAnsi="Lora" w:cs="Lora"/>
          <w:b/>
          <w:color w:val="424242"/>
          <w:sz w:val="8"/>
          <w:szCs w:val="8"/>
          <w:highlight w:val="white"/>
        </w:rPr>
      </w:pP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Table 1. Abbreviations:</w:t>
      </w:r>
    </w:p>
    <w:p w14:paraId="3E1BEA3E" w14:textId="77777777" w:rsidR="002F49F6" w:rsidRDefault="002F49F6" w:rsidP="002F49F6">
      <w:pPr>
        <w:spacing w:before="240" w:after="240" w:line="240" w:lineRule="auto"/>
        <w:rPr>
          <w:rFonts w:ascii="Lora" w:eastAsia="Lora" w:hAnsi="Lora" w:cs="Lora"/>
          <w:color w:val="424242"/>
          <w:sz w:val="16"/>
          <w:szCs w:val="16"/>
          <w:highlight w:val="white"/>
        </w:rPr>
      </w:pP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ESRD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, end-stage renal disease; </w:t>
      </w: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HD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, hemodialysis; </w:t>
      </w: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MV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, mechanical ventilation; </w:t>
      </w: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CIP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, critical-illness polyneuropathy; </w:t>
      </w: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KTR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, kidney transplant recipient; </w:t>
      </w: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SPK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, simultaneous pancreas–kidney (transplant) recipient </w:t>
      </w:r>
      <w:r>
        <w:rPr>
          <w:rFonts w:ascii="Lora" w:eastAsia="Lora" w:hAnsi="Lora" w:cs="Lora"/>
          <w:i/>
          <w:color w:val="424242"/>
          <w:sz w:val="16"/>
          <w:szCs w:val="16"/>
          <w:highlight w:val="white"/>
        </w:rPr>
        <w:t xml:space="preserve">(si en la tabla dejaste “PK recipient”, sugerencia: cambiar a </w:t>
      </w:r>
      <w:r>
        <w:rPr>
          <w:rFonts w:ascii="Lora" w:eastAsia="Lora" w:hAnsi="Lora" w:cs="Lora"/>
          <w:b/>
          <w:i/>
          <w:color w:val="424242"/>
          <w:sz w:val="16"/>
          <w:szCs w:val="16"/>
          <w:highlight w:val="white"/>
        </w:rPr>
        <w:t>SPK</w:t>
      </w:r>
      <w:r>
        <w:rPr>
          <w:rFonts w:ascii="Lora" w:eastAsia="Lora" w:hAnsi="Lora" w:cs="Lora"/>
          <w:i/>
          <w:color w:val="424242"/>
          <w:sz w:val="16"/>
          <w:szCs w:val="16"/>
          <w:highlight w:val="white"/>
        </w:rPr>
        <w:t xml:space="preserve"> por claridad)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; </w:t>
      </w: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PKD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, polycystic kidney disease; </w:t>
      </w: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NE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, norepinephrine; </w:t>
      </w: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MAP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, mean arterial pressure; </w:t>
      </w: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s-VTI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, splenic velocity–time integral; </w:t>
      </w: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CRT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, capillary refill time; </w:t>
      </w: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RI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, resistive index; </w:t>
      </w: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PI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>, pulsatility index.</w:t>
      </w:r>
    </w:p>
    <w:p w14:paraId="4FF62563" w14:textId="77777777" w:rsidR="002F49F6" w:rsidRDefault="002F49F6" w:rsidP="002F49F6">
      <w:pPr>
        <w:spacing w:before="240" w:after="240" w:line="240" w:lineRule="auto"/>
        <w:rPr>
          <w:rFonts w:ascii="Lora" w:eastAsia="Lora" w:hAnsi="Lora" w:cs="Lora"/>
          <w:color w:val="424242"/>
          <w:sz w:val="16"/>
          <w:szCs w:val="16"/>
          <w:highlight w:val="white"/>
        </w:rPr>
      </w:pP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Acquisition order: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 </w:t>
      </w:r>
      <w:r>
        <w:rPr>
          <w:rFonts w:ascii="Nova Mono" w:eastAsia="Nova Mono" w:hAnsi="Nova Mono" w:cs="Nova Mono"/>
          <w:b/>
          <w:color w:val="424242"/>
          <w:sz w:val="16"/>
          <w:szCs w:val="16"/>
          <w:highlight w:val="white"/>
        </w:rPr>
        <w:t>W→B</w:t>
      </w:r>
      <w:r>
        <w:rPr>
          <w:rFonts w:ascii="Nova Mono" w:eastAsia="Nova Mono" w:hAnsi="Nova Mono" w:cs="Nova Mono"/>
          <w:color w:val="424242"/>
          <w:sz w:val="16"/>
          <w:szCs w:val="16"/>
          <w:highlight w:val="white"/>
        </w:rPr>
        <w:t xml:space="preserve">, sampling chronology worse→better; </w:t>
      </w:r>
      <w:r>
        <w:rPr>
          <w:rFonts w:ascii="Nova Mono" w:eastAsia="Nova Mono" w:hAnsi="Nova Mono" w:cs="Nova Mono"/>
          <w:b/>
          <w:color w:val="424242"/>
          <w:sz w:val="16"/>
          <w:szCs w:val="16"/>
          <w:highlight w:val="white"/>
        </w:rPr>
        <w:t>B→W</w:t>
      </w:r>
      <w:r>
        <w:rPr>
          <w:rFonts w:ascii="Nova Mono" w:eastAsia="Nova Mono" w:hAnsi="Nova Mono" w:cs="Nova Mono"/>
          <w:color w:val="424242"/>
          <w:sz w:val="16"/>
          <w:szCs w:val="16"/>
          <w:highlight w:val="white"/>
        </w:rPr>
        <w:t>, better→worse.</w:t>
      </w:r>
    </w:p>
    <w:p w14:paraId="31053124" w14:textId="77777777" w:rsidR="002F49F6" w:rsidRDefault="002F49F6" w:rsidP="002F49F6">
      <w:pPr>
        <w:spacing w:before="240" w:after="240" w:line="240" w:lineRule="auto"/>
        <w:rPr>
          <w:rFonts w:ascii="Lora" w:eastAsia="Lora" w:hAnsi="Lora" w:cs="Lora"/>
          <w:color w:val="424242"/>
          <w:sz w:val="16"/>
          <w:szCs w:val="16"/>
          <w:highlight w:val="white"/>
        </w:rPr>
      </w:pP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Units: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 NE in </w:t>
      </w:r>
      <w:r>
        <w:rPr>
          <w:rFonts w:ascii="Cardo" w:eastAsia="Cardo" w:hAnsi="Cardo" w:cs="Cardo"/>
          <w:b/>
          <w:color w:val="424242"/>
          <w:sz w:val="16"/>
          <w:szCs w:val="16"/>
          <w:highlight w:val="white"/>
        </w:rPr>
        <w:t>μg/kg/min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; MAP in </w:t>
      </w: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mmHg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; s-VTI in </w:t>
      </w: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cm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 xml:space="preserve">; CRT in </w:t>
      </w:r>
      <w:r>
        <w:rPr>
          <w:rFonts w:ascii="Lora" w:eastAsia="Lora" w:hAnsi="Lora" w:cs="Lora"/>
          <w:b/>
          <w:color w:val="424242"/>
          <w:sz w:val="16"/>
          <w:szCs w:val="16"/>
          <w:highlight w:val="white"/>
        </w:rPr>
        <w:t>s</w:t>
      </w:r>
      <w:r>
        <w:rPr>
          <w:rFonts w:ascii="Lora" w:eastAsia="Lora" w:hAnsi="Lora" w:cs="Lora"/>
          <w:color w:val="424242"/>
          <w:sz w:val="16"/>
          <w:szCs w:val="16"/>
          <w:highlight w:val="white"/>
        </w:rPr>
        <w:t>.</w:t>
      </w:r>
    </w:p>
    <w:p w14:paraId="28924104" w14:textId="77777777" w:rsidR="002F49F6" w:rsidRDefault="002F49F6"/>
    <w:sectPr w:rsidR="002F49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ora">
    <w:charset w:val="00"/>
    <w:family w:val="auto"/>
    <w:pitch w:val="variable"/>
    <w:sig w:usb0="A00002FF" w:usb1="5000204B" w:usb2="00000000" w:usb3="00000000" w:csb0="00000097" w:csb1="00000000"/>
  </w:font>
  <w:font w:name="Nova Mono">
    <w:altName w:val="Calibri"/>
    <w:charset w:val="00"/>
    <w:family w:val="auto"/>
    <w:pitch w:val="default"/>
  </w:font>
  <w:font w:name="Cardo">
    <w:altName w:val="Calibri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9F6"/>
    <w:rsid w:val="002E281E"/>
    <w:rsid w:val="002F49F6"/>
    <w:rsid w:val="003201BB"/>
    <w:rsid w:val="00865217"/>
    <w:rsid w:val="00AE5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FC846"/>
  <w15:chartTrackingRefBased/>
  <w15:docId w15:val="{6D89F94A-CC85-4AFB-B4DA-E04329A1A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49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49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49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49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49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49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49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49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49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9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49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49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49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49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49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49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49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49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49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49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49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49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49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49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49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49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49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49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49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548</Characters>
  <Application>Microsoft Office Word</Application>
  <DocSecurity>0</DocSecurity>
  <Lines>4</Lines>
  <Paragraphs>1</Paragraphs>
  <ScaleCrop>false</ScaleCrop>
  <Company>Springer Nature</Company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2025-09-23T22:28:00Z</dcterms:created>
  <dcterms:modified xsi:type="dcterms:W3CDTF">2025-09-23T22:28:00Z</dcterms:modified>
</cp:coreProperties>
</file>