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5D3A2" w14:textId="7B7E1C41" w:rsidR="0047666A" w:rsidRPr="006A0F46" w:rsidRDefault="0047666A" w:rsidP="0047666A">
      <w:pPr>
        <w:jc w:val="center"/>
        <w:rPr>
          <w:rFonts w:cs="Calibri"/>
          <w:b/>
          <w:bCs/>
          <w:color w:val="000000" w:themeColor="text1"/>
          <w:sz w:val="28"/>
          <w:szCs w:val="28"/>
        </w:rPr>
      </w:pPr>
      <w:r w:rsidRPr="006A0F46">
        <w:rPr>
          <w:rFonts w:cs="Calibri"/>
          <w:b/>
          <w:bCs/>
          <w:color w:val="000000" w:themeColor="text1"/>
          <w:sz w:val="28"/>
          <w:szCs w:val="28"/>
        </w:rPr>
        <w:t>SUPPLEMENTARY MATERIAL</w:t>
      </w:r>
    </w:p>
    <w:p w14:paraId="50C4D447" w14:textId="77777777" w:rsidR="0047666A" w:rsidRPr="006A0F46" w:rsidRDefault="0047666A" w:rsidP="0047666A">
      <w:pPr>
        <w:rPr>
          <w:rFonts w:cs="Calibri"/>
          <w:b/>
          <w:bCs/>
          <w:color w:val="000000" w:themeColor="text1"/>
          <w:sz w:val="28"/>
          <w:szCs w:val="28"/>
        </w:rPr>
      </w:pPr>
      <w:proofErr w:type="spellStart"/>
      <w:r w:rsidRPr="006A0F46">
        <w:rPr>
          <w:rFonts w:cs="Calibri"/>
          <w:b/>
          <w:bCs/>
          <w:color w:val="000000" w:themeColor="text1"/>
          <w:sz w:val="28"/>
          <w:szCs w:val="28"/>
        </w:rPr>
        <w:t>eSupplementary</w:t>
      </w:r>
      <w:proofErr w:type="spellEnd"/>
      <w:r w:rsidRPr="006A0F46">
        <w:rPr>
          <w:rFonts w:cs="Calibri"/>
          <w:b/>
          <w:bCs/>
          <w:color w:val="000000" w:themeColor="text1"/>
          <w:sz w:val="28"/>
          <w:szCs w:val="28"/>
        </w:rPr>
        <w:t xml:space="preserve"> Table 1. </w:t>
      </w:r>
      <w:r w:rsidRPr="006A0F46">
        <w:rPr>
          <w:rFonts w:cs="Calibri"/>
          <w:color w:val="000000" w:themeColor="text1"/>
          <w:sz w:val="28"/>
          <w:szCs w:val="28"/>
        </w:rPr>
        <w:t>Search Strategy</w:t>
      </w:r>
      <w:r w:rsidRPr="006A0F46">
        <w:rPr>
          <w:rFonts w:cs="Calibri"/>
          <w:b/>
          <w:bCs/>
          <w:color w:val="000000" w:themeColor="text1"/>
          <w:sz w:val="28"/>
          <w:szCs w:val="28"/>
        </w:rPr>
        <w:t xml:space="preserve"> </w:t>
      </w:r>
    </w:p>
    <w:p w14:paraId="549D540F" w14:textId="77777777" w:rsidR="0047666A" w:rsidRPr="006A0F46" w:rsidRDefault="0047666A" w:rsidP="0047666A">
      <w:pPr>
        <w:rPr>
          <w:rFonts w:cs="Calibri"/>
          <w:color w:val="000000" w:themeColor="text1"/>
          <w:sz w:val="28"/>
          <w:szCs w:val="28"/>
        </w:rPr>
      </w:pPr>
      <w:proofErr w:type="spellStart"/>
      <w:r w:rsidRPr="006A0F46">
        <w:rPr>
          <w:rFonts w:cs="Calibri"/>
          <w:b/>
          <w:bCs/>
          <w:color w:val="000000" w:themeColor="text1"/>
          <w:sz w:val="28"/>
          <w:szCs w:val="28"/>
        </w:rPr>
        <w:t>eSupplementary</w:t>
      </w:r>
      <w:proofErr w:type="spellEnd"/>
      <w:r w:rsidRPr="006A0F46">
        <w:rPr>
          <w:rFonts w:cs="Calibri"/>
          <w:b/>
          <w:bCs/>
          <w:color w:val="000000" w:themeColor="text1"/>
          <w:sz w:val="28"/>
          <w:szCs w:val="28"/>
        </w:rPr>
        <w:t xml:space="preserve"> Table 2. </w:t>
      </w:r>
      <w:r w:rsidRPr="006A0F46">
        <w:rPr>
          <w:rFonts w:cs="Calibri"/>
          <w:color w:val="000000" w:themeColor="text1"/>
          <w:sz w:val="28"/>
          <w:szCs w:val="28"/>
        </w:rPr>
        <w:t>Summary of literatures included in this review</w:t>
      </w:r>
    </w:p>
    <w:p w14:paraId="7341BE99" w14:textId="77777777" w:rsidR="0047666A" w:rsidRPr="006A0F46" w:rsidRDefault="0047666A">
      <w:pPr>
        <w:spacing w:before="0" w:after="160" w:line="278" w:lineRule="auto"/>
        <w:rPr>
          <w:rFonts w:cs="Calibri"/>
          <w:b/>
          <w:bCs/>
          <w:color w:val="000000" w:themeColor="text1"/>
          <w:sz w:val="24"/>
        </w:rPr>
      </w:pPr>
      <w:r w:rsidRPr="006A0F46">
        <w:rPr>
          <w:rFonts w:cs="Calibri"/>
          <w:b/>
          <w:bCs/>
          <w:color w:val="000000" w:themeColor="text1"/>
          <w:sz w:val="24"/>
        </w:rPr>
        <w:br w:type="page"/>
      </w:r>
    </w:p>
    <w:p w14:paraId="0AF42E35" w14:textId="3C39E553" w:rsidR="0047666A" w:rsidRPr="006A0F46" w:rsidRDefault="0047666A" w:rsidP="0047666A">
      <w:pPr>
        <w:rPr>
          <w:rFonts w:cs="Calibri"/>
          <w:b/>
          <w:bCs/>
          <w:color w:val="000000" w:themeColor="text1"/>
          <w:sz w:val="24"/>
        </w:rPr>
      </w:pPr>
      <w:proofErr w:type="spellStart"/>
      <w:r w:rsidRPr="006A0F46">
        <w:rPr>
          <w:rFonts w:cs="Calibri"/>
          <w:b/>
          <w:bCs/>
          <w:color w:val="000000" w:themeColor="text1"/>
          <w:sz w:val="24"/>
        </w:rPr>
        <w:lastRenderedPageBreak/>
        <w:t>eSupplementary</w:t>
      </w:r>
      <w:proofErr w:type="spellEnd"/>
      <w:r w:rsidRPr="006A0F46">
        <w:rPr>
          <w:rFonts w:cs="Calibri"/>
          <w:b/>
          <w:bCs/>
          <w:color w:val="000000" w:themeColor="text1"/>
          <w:sz w:val="24"/>
        </w:rPr>
        <w:t xml:space="preserve"> Table 1. Search Strategy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271"/>
        <w:gridCol w:w="8505"/>
      </w:tblGrid>
      <w:tr w:rsidR="0047666A" w:rsidRPr="006A0F46" w14:paraId="21457604" w14:textId="77777777" w:rsidTr="008C2B83">
        <w:tc>
          <w:tcPr>
            <w:tcW w:w="1271" w:type="dxa"/>
          </w:tcPr>
          <w:p w14:paraId="2A108D53" w14:textId="77777777" w:rsidR="0047666A" w:rsidRPr="006A0F46" w:rsidRDefault="0047666A" w:rsidP="008C2B83">
            <w:pPr>
              <w:spacing w:before="0" w:after="0" w:line="240" w:lineRule="auto"/>
              <w:rPr>
                <w:rFonts w:cs="Calibri"/>
                <w:b/>
                <w:bCs/>
                <w:color w:val="000000" w:themeColor="text1"/>
                <w:sz w:val="24"/>
              </w:rPr>
            </w:pPr>
            <w:r w:rsidRPr="006A0F46">
              <w:rPr>
                <w:rFonts w:cs="Calibri"/>
                <w:b/>
                <w:bCs/>
                <w:color w:val="000000" w:themeColor="text1"/>
                <w:sz w:val="24"/>
              </w:rPr>
              <w:t>Databases</w:t>
            </w:r>
          </w:p>
        </w:tc>
        <w:tc>
          <w:tcPr>
            <w:tcW w:w="8505" w:type="dxa"/>
          </w:tcPr>
          <w:p w14:paraId="580A6159" w14:textId="77777777" w:rsidR="0047666A" w:rsidRPr="006A0F46" w:rsidRDefault="0047666A" w:rsidP="008C2B83">
            <w:pPr>
              <w:spacing w:before="0" w:after="0" w:line="240" w:lineRule="auto"/>
              <w:rPr>
                <w:rFonts w:cs="Calibri"/>
                <w:b/>
                <w:bCs/>
                <w:color w:val="000000" w:themeColor="text1"/>
                <w:sz w:val="24"/>
              </w:rPr>
            </w:pPr>
            <w:r w:rsidRPr="006A0F46">
              <w:rPr>
                <w:rFonts w:cs="Calibri"/>
                <w:b/>
                <w:bCs/>
                <w:color w:val="000000" w:themeColor="text1"/>
                <w:sz w:val="24"/>
              </w:rPr>
              <w:t>Search Strategy</w:t>
            </w:r>
          </w:p>
        </w:tc>
      </w:tr>
      <w:tr w:rsidR="0047666A" w:rsidRPr="006A0F46" w14:paraId="7BF4EDA3" w14:textId="77777777" w:rsidTr="008C2B83">
        <w:tc>
          <w:tcPr>
            <w:tcW w:w="1271" w:type="dxa"/>
          </w:tcPr>
          <w:p w14:paraId="00CD3366" w14:textId="77777777" w:rsidR="0047666A" w:rsidRPr="006A0F46" w:rsidRDefault="0047666A" w:rsidP="008C2B83">
            <w:pPr>
              <w:spacing w:before="0" w:after="0" w:line="240" w:lineRule="auto"/>
              <w:rPr>
                <w:rFonts w:cs="Calibri"/>
                <w:b/>
                <w:bCs/>
                <w:color w:val="000000" w:themeColor="text1"/>
                <w:sz w:val="24"/>
              </w:rPr>
            </w:pPr>
          </w:p>
          <w:p w14:paraId="5B398F85" w14:textId="77777777" w:rsidR="0047666A" w:rsidRPr="006A0F46" w:rsidRDefault="0047666A" w:rsidP="008C2B83">
            <w:pPr>
              <w:spacing w:before="0" w:after="0" w:line="240" w:lineRule="auto"/>
              <w:rPr>
                <w:rFonts w:cs="Calibri"/>
                <w:b/>
                <w:bCs/>
                <w:color w:val="000000" w:themeColor="text1"/>
                <w:sz w:val="24"/>
              </w:rPr>
            </w:pPr>
          </w:p>
          <w:p w14:paraId="4A43B563" w14:textId="77777777" w:rsidR="0047666A" w:rsidRPr="006A0F46" w:rsidRDefault="0047666A" w:rsidP="008C2B83">
            <w:pPr>
              <w:spacing w:before="0" w:after="0" w:line="240" w:lineRule="auto"/>
              <w:rPr>
                <w:rFonts w:cs="Calibri"/>
                <w:b/>
                <w:bCs/>
                <w:color w:val="000000" w:themeColor="text1"/>
                <w:sz w:val="24"/>
              </w:rPr>
            </w:pPr>
          </w:p>
          <w:p w14:paraId="229274A1" w14:textId="77777777" w:rsidR="0047666A" w:rsidRPr="006A0F46" w:rsidRDefault="0047666A" w:rsidP="008C2B83">
            <w:pPr>
              <w:spacing w:before="0" w:after="0" w:line="240" w:lineRule="auto"/>
              <w:rPr>
                <w:rFonts w:cs="Calibri"/>
                <w:b/>
                <w:bCs/>
                <w:color w:val="000000" w:themeColor="text1"/>
                <w:sz w:val="24"/>
              </w:rPr>
            </w:pPr>
          </w:p>
          <w:p w14:paraId="6790F9E9" w14:textId="77777777" w:rsidR="0047666A" w:rsidRPr="006A0F46" w:rsidRDefault="0047666A" w:rsidP="008C2B83">
            <w:pPr>
              <w:spacing w:before="0" w:after="0" w:line="240" w:lineRule="auto"/>
              <w:rPr>
                <w:rFonts w:cs="Calibri"/>
                <w:b/>
                <w:bCs/>
                <w:color w:val="000000" w:themeColor="text1"/>
                <w:sz w:val="24"/>
              </w:rPr>
            </w:pPr>
          </w:p>
          <w:p w14:paraId="3FD04D0A" w14:textId="77777777" w:rsidR="0047666A" w:rsidRPr="006A0F46" w:rsidRDefault="0047666A" w:rsidP="008C2B83">
            <w:pPr>
              <w:spacing w:before="0" w:after="0" w:line="240" w:lineRule="auto"/>
              <w:rPr>
                <w:rFonts w:cs="Calibri"/>
                <w:b/>
                <w:bCs/>
                <w:color w:val="000000" w:themeColor="text1"/>
                <w:sz w:val="24"/>
              </w:rPr>
            </w:pPr>
          </w:p>
          <w:p w14:paraId="352859F7" w14:textId="77777777" w:rsidR="0047666A" w:rsidRPr="006A0F46" w:rsidRDefault="0047666A" w:rsidP="008C2B83">
            <w:pPr>
              <w:spacing w:before="0" w:after="0" w:line="240" w:lineRule="auto"/>
              <w:rPr>
                <w:rFonts w:cs="Calibri"/>
                <w:b/>
                <w:bCs/>
                <w:color w:val="000000" w:themeColor="text1"/>
                <w:sz w:val="24"/>
              </w:rPr>
            </w:pPr>
            <w:proofErr w:type="spellStart"/>
            <w:r w:rsidRPr="006A0F46">
              <w:rPr>
                <w:rFonts w:cs="Calibri"/>
                <w:b/>
                <w:bCs/>
                <w:color w:val="000000" w:themeColor="text1"/>
                <w:sz w:val="24"/>
              </w:rPr>
              <w:t>Pubmed</w:t>
            </w:r>
            <w:proofErr w:type="spellEnd"/>
            <w:r w:rsidRPr="006A0F46">
              <w:rPr>
                <w:rFonts w:cs="Calibri"/>
                <w:b/>
                <w:bCs/>
                <w:color w:val="000000" w:themeColor="text1"/>
                <w:sz w:val="24"/>
              </w:rPr>
              <w:t xml:space="preserve"> (via NLM)</w:t>
            </w:r>
          </w:p>
        </w:tc>
        <w:tc>
          <w:tcPr>
            <w:tcW w:w="8505" w:type="dxa"/>
          </w:tcPr>
          <w:p w14:paraId="681030B2" w14:textId="77777777" w:rsidR="0047666A" w:rsidRPr="006A0F46" w:rsidRDefault="0047666A" w:rsidP="008C2B83">
            <w:pPr>
              <w:spacing w:before="0" w:after="0" w:line="240" w:lineRule="auto"/>
              <w:rPr>
                <w:rFonts w:cs="Calibri"/>
                <w:color w:val="000000" w:themeColor="text1"/>
                <w:sz w:val="24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("Community Health Services"[</w:t>
            </w:r>
            <w:proofErr w:type="spellStart"/>
            <w:r w:rsidRPr="006A0F46">
              <w:rPr>
                <w:rFonts w:cs="Calibri"/>
                <w:color w:val="000000" w:themeColor="text1"/>
                <w:sz w:val="24"/>
              </w:rPr>
              <w:t>MeSH</w:t>
            </w:r>
            <w:proofErr w:type="spellEnd"/>
            <w:r w:rsidRPr="006A0F46">
              <w:rPr>
                <w:rFonts w:cs="Calibri"/>
                <w:color w:val="000000" w:themeColor="text1"/>
                <w:sz w:val="24"/>
              </w:rPr>
              <w:t>] OR "community-based care"[</w:t>
            </w:r>
            <w:proofErr w:type="spellStart"/>
            <w:r w:rsidRPr="006A0F46">
              <w:rPr>
                <w:rFonts w:cs="Calibri"/>
                <w:color w:val="000000" w:themeColor="text1"/>
                <w:sz w:val="24"/>
              </w:rPr>
              <w:t>tiab</w:t>
            </w:r>
            <w:proofErr w:type="spellEnd"/>
            <w:r w:rsidRPr="006A0F46">
              <w:rPr>
                <w:rFonts w:cs="Calibri"/>
                <w:color w:val="000000" w:themeColor="text1"/>
                <w:sz w:val="24"/>
              </w:rPr>
              <w:t>] OR "community health services"[</w:t>
            </w:r>
            <w:proofErr w:type="spellStart"/>
            <w:r w:rsidRPr="006A0F46">
              <w:rPr>
                <w:rFonts w:cs="Calibri"/>
                <w:color w:val="000000" w:themeColor="text1"/>
                <w:sz w:val="24"/>
              </w:rPr>
              <w:t>tiab</w:t>
            </w:r>
            <w:proofErr w:type="spellEnd"/>
            <w:r w:rsidRPr="006A0F46">
              <w:rPr>
                <w:rFonts w:cs="Calibri"/>
                <w:color w:val="000000" w:themeColor="text1"/>
                <w:sz w:val="24"/>
              </w:rPr>
              <w:t xml:space="preserve">] </w:t>
            </w:r>
          </w:p>
          <w:p w14:paraId="5028FFF2" w14:textId="77777777" w:rsidR="0047666A" w:rsidRPr="006A0F46" w:rsidRDefault="0047666A" w:rsidP="008C2B83">
            <w:pPr>
              <w:spacing w:before="0" w:after="0" w:line="240" w:lineRule="auto"/>
              <w:rPr>
                <w:rFonts w:cs="Calibri"/>
                <w:color w:val="000000" w:themeColor="text1"/>
                <w:sz w:val="24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 xml:space="preserve">    OR "community-oriented primary care"[</w:t>
            </w:r>
            <w:proofErr w:type="spellStart"/>
            <w:r w:rsidRPr="006A0F46">
              <w:rPr>
                <w:rFonts w:cs="Calibri"/>
                <w:color w:val="000000" w:themeColor="text1"/>
                <w:sz w:val="24"/>
              </w:rPr>
              <w:t>tiab</w:t>
            </w:r>
            <w:proofErr w:type="spellEnd"/>
            <w:r w:rsidRPr="006A0F46">
              <w:rPr>
                <w:rFonts w:cs="Calibri"/>
                <w:color w:val="000000" w:themeColor="text1"/>
                <w:sz w:val="24"/>
              </w:rPr>
              <w:t>] OR "community health worker"[</w:t>
            </w:r>
            <w:proofErr w:type="spellStart"/>
            <w:r w:rsidRPr="006A0F46">
              <w:rPr>
                <w:rFonts w:cs="Calibri"/>
                <w:color w:val="000000" w:themeColor="text1"/>
                <w:sz w:val="24"/>
              </w:rPr>
              <w:t>tiab</w:t>
            </w:r>
            <w:proofErr w:type="spellEnd"/>
            <w:r w:rsidRPr="006A0F46">
              <w:rPr>
                <w:rFonts w:cs="Calibri"/>
                <w:color w:val="000000" w:themeColor="text1"/>
                <w:sz w:val="24"/>
              </w:rPr>
              <w:t>] OR CHW [</w:t>
            </w:r>
            <w:proofErr w:type="spellStart"/>
            <w:r w:rsidRPr="006A0F46">
              <w:rPr>
                <w:rFonts w:cs="Calibri"/>
                <w:color w:val="000000" w:themeColor="text1"/>
                <w:sz w:val="24"/>
              </w:rPr>
              <w:t>tiab</w:t>
            </w:r>
            <w:proofErr w:type="spellEnd"/>
            <w:r w:rsidRPr="006A0F46">
              <w:rPr>
                <w:rFonts w:cs="Calibri"/>
                <w:color w:val="000000" w:themeColor="text1"/>
                <w:sz w:val="24"/>
              </w:rPr>
              <w:t xml:space="preserve">] </w:t>
            </w:r>
          </w:p>
          <w:p w14:paraId="4FEFB43D" w14:textId="77777777" w:rsidR="0047666A" w:rsidRPr="006A0F46" w:rsidRDefault="0047666A" w:rsidP="008C2B83">
            <w:pPr>
              <w:spacing w:before="0" w:after="0" w:line="240" w:lineRule="auto"/>
              <w:rPr>
                <w:rFonts w:cs="Calibri"/>
                <w:color w:val="000000" w:themeColor="text1"/>
                <w:sz w:val="24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 xml:space="preserve">    OR "volunteer health worker"[</w:t>
            </w:r>
            <w:proofErr w:type="spellStart"/>
            <w:r w:rsidRPr="006A0F46">
              <w:rPr>
                <w:rFonts w:cs="Calibri"/>
                <w:color w:val="000000" w:themeColor="text1"/>
                <w:sz w:val="24"/>
              </w:rPr>
              <w:t>tiab</w:t>
            </w:r>
            <w:proofErr w:type="spellEnd"/>
            <w:r w:rsidRPr="006A0F46">
              <w:rPr>
                <w:rFonts w:cs="Calibri"/>
                <w:color w:val="000000" w:themeColor="text1"/>
                <w:sz w:val="24"/>
              </w:rPr>
              <w:t>] OR "digital health"[</w:t>
            </w:r>
            <w:proofErr w:type="spellStart"/>
            <w:r w:rsidRPr="006A0F46">
              <w:rPr>
                <w:rFonts w:cs="Calibri"/>
                <w:color w:val="000000" w:themeColor="text1"/>
                <w:sz w:val="24"/>
              </w:rPr>
              <w:t>tiab</w:t>
            </w:r>
            <w:proofErr w:type="spellEnd"/>
            <w:r w:rsidRPr="006A0F46">
              <w:rPr>
                <w:rFonts w:cs="Calibri"/>
                <w:color w:val="000000" w:themeColor="text1"/>
                <w:sz w:val="24"/>
              </w:rPr>
              <w:t>] OR telemedicine[</w:t>
            </w:r>
            <w:proofErr w:type="spellStart"/>
            <w:r w:rsidRPr="006A0F46">
              <w:rPr>
                <w:rFonts w:cs="Calibri"/>
                <w:color w:val="000000" w:themeColor="text1"/>
                <w:sz w:val="24"/>
              </w:rPr>
              <w:t>MeSH</w:t>
            </w:r>
            <w:proofErr w:type="spellEnd"/>
            <w:r w:rsidRPr="006A0F46">
              <w:rPr>
                <w:rFonts w:cs="Calibri"/>
                <w:color w:val="000000" w:themeColor="text1"/>
                <w:sz w:val="24"/>
              </w:rPr>
              <w:t>] OR telemedicine[</w:t>
            </w:r>
            <w:proofErr w:type="spellStart"/>
            <w:r w:rsidRPr="006A0F46">
              <w:rPr>
                <w:rFonts w:cs="Calibri"/>
                <w:color w:val="000000" w:themeColor="text1"/>
                <w:sz w:val="24"/>
              </w:rPr>
              <w:t>tiab</w:t>
            </w:r>
            <w:proofErr w:type="spellEnd"/>
            <w:r w:rsidRPr="006A0F46">
              <w:rPr>
                <w:rFonts w:cs="Calibri"/>
                <w:color w:val="000000" w:themeColor="text1"/>
                <w:sz w:val="24"/>
              </w:rPr>
              <w:t xml:space="preserve">] </w:t>
            </w:r>
          </w:p>
          <w:p w14:paraId="39E27362" w14:textId="77777777" w:rsidR="0047666A" w:rsidRPr="006A0F46" w:rsidRDefault="0047666A" w:rsidP="008C2B83">
            <w:pPr>
              <w:spacing w:before="0" w:after="0" w:line="240" w:lineRule="auto"/>
              <w:rPr>
                <w:rFonts w:cs="Calibri"/>
                <w:color w:val="000000" w:themeColor="text1"/>
                <w:sz w:val="24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 xml:space="preserve">    OR "mobile health"[</w:t>
            </w:r>
            <w:proofErr w:type="spellStart"/>
            <w:r w:rsidRPr="006A0F46">
              <w:rPr>
                <w:rFonts w:cs="Calibri"/>
                <w:color w:val="000000" w:themeColor="text1"/>
                <w:sz w:val="24"/>
              </w:rPr>
              <w:t>tiab</w:t>
            </w:r>
            <w:proofErr w:type="spellEnd"/>
            <w:r w:rsidRPr="006A0F46">
              <w:rPr>
                <w:rFonts w:cs="Calibri"/>
                <w:color w:val="000000" w:themeColor="text1"/>
                <w:sz w:val="24"/>
              </w:rPr>
              <w:t>] OR mHealth[</w:t>
            </w:r>
            <w:proofErr w:type="spellStart"/>
            <w:r w:rsidRPr="006A0F46">
              <w:rPr>
                <w:rFonts w:cs="Calibri"/>
                <w:color w:val="000000" w:themeColor="text1"/>
                <w:sz w:val="24"/>
              </w:rPr>
              <w:t>tiab</w:t>
            </w:r>
            <w:proofErr w:type="spellEnd"/>
            <w:r w:rsidRPr="006A0F46">
              <w:rPr>
                <w:rFonts w:cs="Calibri"/>
                <w:color w:val="000000" w:themeColor="text1"/>
                <w:sz w:val="24"/>
              </w:rPr>
              <w:t>] OR "artificial intelligence"[</w:t>
            </w:r>
            <w:proofErr w:type="spellStart"/>
            <w:r w:rsidRPr="006A0F46">
              <w:rPr>
                <w:rFonts w:cs="Calibri"/>
                <w:color w:val="000000" w:themeColor="text1"/>
                <w:sz w:val="24"/>
              </w:rPr>
              <w:t>MeSH</w:t>
            </w:r>
            <w:proofErr w:type="spellEnd"/>
            <w:r w:rsidRPr="006A0F46">
              <w:rPr>
                <w:rFonts w:cs="Calibri"/>
                <w:color w:val="000000" w:themeColor="text1"/>
                <w:sz w:val="24"/>
              </w:rPr>
              <w:t>] OR "artificial intelligence"[</w:t>
            </w:r>
            <w:proofErr w:type="spellStart"/>
            <w:r w:rsidRPr="006A0F46">
              <w:rPr>
                <w:rFonts w:cs="Calibri"/>
                <w:color w:val="000000" w:themeColor="text1"/>
                <w:sz w:val="24"/>
              </w:rPr>
              <w:t>tiab</w:t>
            </w:r>
            <w:proofErr w:type="spellEnd"/>
            <w:r w:rsidRPr="006A0F46">
              <w:rPr>
                <w:rFonts w:cs="Calibri"/>
                <w:color w:val="000000" w:themeColor="text1"/>
                <w:sz w:val="24"/>
              </w:rPr>
              <w:t xml:space="preserve">] </w:t>
            </w:r>
          </w:p>
          <w:p w14:paraId="3F714DAB" w14:textId="77777777" w:rsidR="0047666A" w:rsidRPr="006A0F46" w:rsidRDefault="0047666A" w:rsidP="008C2B83">
            <w:pPr>
              <w:spacing w:before="0" w:after="0" w:line="240" w:lineRule="auto"/>
              <w:rPr>
                <w:rFonts w:cs="Calibri"/>
                <w:color w:val="000000" w:themeColor="text1"/>
                <w:sz w:val="24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 xml:space="preserve">    OR "AI in health care"[</w:t>
            </w:r>
            <w:proofErr w:type="spellStart"/>
            <w:r w:rsidRPr="006A0F46">
              <w:rPr>
                <w:rFonts w:cs="Calibri"/>
                <w:color w:val="000000" w:themeColor="text1"/>
                <w:sz w:val="24"/>
              </w:rPr>
              <w:t>tiab</w:t>
            </w:r>
            <w:proofErr w:type="spellEnd"/>
            <w:r w:rsidRPr="006A0F46">
              <w:rPr>
                <w:rFonts w:cs="Calibri"/>
                <w:color w:val="000000" w:themeColor="text1"/>
                <w:sz w:val="24"/>
              </w:rPr>
              <w:t>] OR "machine learning"[</w:t>
            </w:r>
            <w:proofErr w:type="spellStart"/>
            <w:r w:rsidRPr="006A0F46">
              <w:rPr>
                <w:rFonts w:cs="Calibri"/>
                <w:color w:val="000000" w:themeColor="text1"/>
                <w:sz w:val="24"/>
              </w:rPr>
              <w:t>MeSH</w:t>
            </w:r>
            <w:proofErr w:type="spellEnd"/>
            <w:r w:rsidRPr="006A0F46">
              <w:rPr>
                <w:rFonts w:cs="Calibri"/>
                <w:color w:val="000000" w:themeColor="text1"/>
                <w:sz w:val="24"/>
              </w:rPr>
              <w:t>] OR "machine learning"[</w:t>
            </w:r>
            <w:proofErr w:type="spellStart"/>
            <w:r w:rsidRPr="006A0F46">
              <w:rPr>
                <w:rFonts w:cs="Calibri"/>
                <w:color w:val="000000" w:themeColor="text1"/>
                <w:sz w:val="24"/>
              </w:rPr>
              <w:t>tiab</w:t>
            </w:r>
            <w:proofErr w:type="spellEnd"/>
            <w:r w:rsidRPr="006A0F46">
              <w:rPr>
                <w:rFonts w:cs="Calibri"/>
                <w:color w:val="000000" w:themeColor="text1"/>
                <w:sz w:val="24"/>
              </w:rPr>
              <w:t xml:space="preserve">] </w:t>
            </w:r>
          </w:p>
          <w:p w14:paraId="78BD7581" w14:textId="77777777" w:rsidR="0047666A" w:rsidRPr="006A0F46" w:rsidRDefault="0047666A" w:rsidP="008C2B83">
            <w:pPr>
              <w:spacing w:before="0" w:after="0" w:line="240" w:lineRule="auto"/>
              <w:rPr>
                <w:rFonts w:cs="Calibri"/>
                <w:color w:val="000000" w:themeColor="text1"/>
                <w:sz w:val="24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 xml:space="preserve">    OR "health system integration"[</w:t>
            </w:r>
            <w:proofErr w:type="spellStart"/>
            <w:r w:rsidRPr="006A0F46">
              <w:rPr>
                <w:rFonts w:cs="Calibri"/>
                <w:color w:val="000000" w:themeColor="text1"/>
                <w:sz w:val="24"/>
              </w:rPr>
              <w:t>tiab</w:t>
            </w:r>
            <w:proofErr w:type="spellEnd"/>
            <w:r w:rsidRPr="006A0F46">
              <w:rPr>
                <w:rFonts w:cs="Calibri"/>
                <w:color w:val="000000" w:themeColor="text1"/>
                <w:sz w:val="24"/>
              </w:rPr>
              <w:t>] OR "diagonal integration"[</w:t>
            </w:r>
            <w:proofErr w:type="spellStart"/>
            <w:r w:rsidRPr="006A0F46">
              <w:rPr>
                <w:rFonts w:cs="Calibri"/>
                <w:color w:val="000000" w:themeColor="text1"/>
                <w:sz w:val="24"/>
              </w:rPr>
              <w:t>tiab</w:t>
            </w:r>
            <w:proofErr w:type="spellEnd"/>
            <w:r w:rsidRPr="006A0F46">
              <w:rPr>
                <w:rFonts w:cs="Calibri"/>
                <w:color w:val="000000" w:themeColor="text1"/>
                <w:sz w:val="24"/>
              </w:rPr>
              <w:t>] OR "horizontal integration"[</w:t>
            </w:r>
            <w:proofErr w:type="spellStart"/>
            <w:r w:rsidRPr="006A0F46">
              <w:rPr>
                <w:rFonts w:cs="Calibri"/>
                <w:color w:val="000000" w:themeColor="text1"/>
                <w:sz w:val="24"/>
              </w:rPr>
              <w:t>tiab</w:t>
            </w:r>
            <w:proofErr w:type="spellEnd"/>
            <w:r w:rsidRPr="006A0F46">
              <w:rPr>
                <w:rFonts w:cs="Calibri"/>
                <w:color w:val="000000" w:themeColor="text1"/>
                <w:sz w:val="24"/>
              </w:rPr>
              <w:t xml:space="preserve">] </w:t>
            </w:r>
          </w:p>
          <w:p w14:paraId="1751D4A5" w14:textId="77777777" w:rsidR="0047666A" w:rsidRPr="006A0F46" w:rsidRDefault="0047666A" w:rsidP="008C2B83">
            <w:pPr>
              <w:spacing w:before="0" w:after="0" w:line="240" w:lineRule="auto"/>
              <w:rPr>
                <w:rFonts w:cs="Calibri"/>
                <w:color w:val="000000" w:themeColor="text1"/>
                <w:sz w:val="24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 xml:space="preserve">    OR </w:t>
            </w:r>
            <w:proofErr w:type="spellStart"/>
            <w:r w:rsidRPr="006A0F46">
              <w:rPr>
                <w:rFonts w:cs="Calibri"/>
                <w:color w:val="000000" w:themeColor="text1"/>
                <w:sz w:val="24"/>
              </w:rPr>
              <w:t>syndemic</w:t>
            </w:r>
            <w:proofErr w:type="spellEnd"/>
            <w:r w:rsidRPr="006A0F46">
              <w:rPr>
                <w:rFonts w:cs="Calibri"/>
                <w:color w:val="000000" w:themeColor="text1"/>
                <w:sz w:val="24"/>
              </w:rPr>
              <w:t>[</w:t>
            </w:r>
            <w:proofErr w:type="spellStart"/>
            <w:r w:rsidRPr="006A0F46">
              <w:rPr>
                <w:rFonts w:cs="Calibri"/>
                <w:color w:val="000000" w:themeColor="text1"/>
                <w:sz w:val="24"/>
              </w:rPr>
              <w:t>tiab</w:t>
            </w:r>
            <w:proofErr w:type="spellEnd"/>
            <w:r w:rsidRPr="006A0F46">
              <w:rPr>
                <w:rFonts w:cs="Calibri"/>
                <w:color w:val="000000" w:themeColor="text1"/>
                <w:sz w:val="24"/>
              </w:rPr>
              <w:t xml:space="preserve">] OR </w:t>
            </w:r>
            <w:proofErr w:type="spellStart"/>
            <w:r w:rsidRPr="006A0F46">
              <w:rPr>
                <w:rFonts w:cs="Calibri"/>
                <w:color w:val="000000" w:themeColor="text1"/>
                <w:sz w:val="24"/>
              </w:rPr>
              <w:t>syndemics</w:t>
            </w:r>
            <w:proofErr w:type="spellEnd"/>
            <w:r w:rsidRPr="006A0F46">
              <w:rPr>
                <w:rFonts w:cs="Calibri"/>
                <w:color w:val="000000" w:themeColor="text1"/>
                <w:sz w:val="24"/>
              </w:rPr>
              <w:t>[</w:t>
            </w:r>
            <w:proofErr w:type="spellStart"/>
            <w:r w:rsidRPr="006A0F46">
              <w:rPr>
                <w:rFonts w:cs="Calibri"/>
                <w:color w:val="000000" w:themeColor="text1"/>
                <w:sz w:val="24"/>
              </w:rPr>
              <w:t>tiab</w:t>
            </w:r>
            <w:proofErr w:type="spellEnd"/>
            <w:r w:rsidRPr="006A0F46">
              <w:rPr>
                <w:rFonts w:cs="Calibri"/>
                <w:color w:val="000000" w:themeColor="text1"/>
                <w:sz w:val="24"/>
              </w:rPr>
              <w:t>] OR "pandemic preparedness"[</w:t>
            </w:r>
            <w:proofErr w:type="spellStart"/>
            <w:r w:rsidRPr="006A0F46">
              <w:rPr>
                <w:rFonts w:cs="Calibri"/>
                <w:color w:val="000000" w:themeColor="text1"/>
                <w:sz w:val="24"/>
              </w:rPr>
              <w:t>tiab</w:t>
            </w:r>
            <w:proofErr w:type="spellEnd"/>
            <w:r w:rsidRPr="006A0F46">
              <w:rPr>
                <w:rFonts w:cs="Calibri"/>
                <w:color w:val="000000" w:themeColor="text1"/>
                <w:sz w:val="24"/>
              </w:rPr>
              <w:t>] OR "COVID-19"[</w:t>
            </w:r>
            <w:proofErr w:type="spellStart"/>
            <w:r w:rsidRPr="006A0F46">
              <w:rPr>
                <w:rFonts w:cs="Calibri"/>
                <w:color w:val="000000" w:themeColor="text1"/>
                <w:sz w:val="24"/>
              </w:rPr>
              <w:t>MeSH</w:t>
            </w:r>
            <w:proofErr w:type="spellEnd"/>
            <w:r w:rsidRPr="006A0F46">
              <w:rPr>
                <w:rFonts w:cs="Calibri"/>
                <w:color w:val="000000" w:themeColor="text1"/>
                <w:sz w:val="24"/>
              </w:rPr>
              <w:t>] OR COVID-19[</w:t>
            </w:r>
            <w:proofErr w:type="spellStart"/>
            <w:r w:rsidRPr="006A0F46">
              <w:rPr>
                <w:rFonts w:cs="Calibri"/>
                <w:color w:val="000000" w:themeColor="text1"/>
                <w:sz w:val="24"/>
              </w:rPr>
              <w:t>tiab</w:t>
            </w:r>
            <w:proofErr w:type="spellEnd"/>
            <w:r w:rsidRPr="006A0F46">
              <w:rPr>
                <w:rFonts w:cs="Calibri"/>
                <w:color w:val="000000" w:themeColor="text1"/>
                <w:sz w:val="24"/>
              </w:rPr>
              <w:t xml:space="preserve">] </w:t>
            </w:r>
          </w:p>
          <w:p w14:paraId="39577E4E" w14:textId="77777777" w:rsidR="0047666A" w:rsidRPr="006A0F46" w:rsidRDefault="0047666A" w:rsidP="008C2B83">
            <w:pPr>
              <w:spacing w:before="0" w:after="0" w:line="240" w:lineRule="auto"/>
              <w:rPr>
                <w:rFonts w:cs="Calibri"/>
                <w:color w:val="000000" w:themeColor="text1"/>
                <w:sz w:val="24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 xml:space="preserve">    OR "primary health care"[</w:t>
            </w:r>
            <w:proofErr w:type="spellStart"/>
            <w:r w:rsidRPr="006A0F46">
              <w:rPr>
                <w:rFonts w:cs="Calibri"/>
                <w:color w:val="000000" w:themeColor="text1"/>
                <w:sz w:val="24"/>
              </w:rPr>
              <w:t>MeSH</w:t>
            </w:r>
            <w:proofErr w:type="spellEnd"/>
            <w:r w:rsidRPr="006A0F46">
              <w:rPr>
                <w:rFonts w:cs="Calibri"/>
                <w:color w:val="000000" w:themeColor="text1"/>
                <w:sz w:val="24"/>
              </w:rPr>
              <w:t>] OR "primary health care"[</w:t>
            </w:r>
            <w:proofErr w:type="spellStart"/>
            <w:r w:rsidRPr="006A0F46">
              <w:rPr>
                <w:rFonts w:cs="Calibri"/>
                <w:color w:val="000000" w:themeColor="text1"/>
                <w:sz w:val="24"/>
              </w:rPr>
              <w:t>tiab</w:t>
            </w:r>
            <w:proofErr w:type="spellEnd"/>
            <w:r w:rsidRPr="006A0F46">
              <w:rPr>
                <w:rFonts w:cs="Calibri"/>
                <w:color w:val="000000" w:themeColor="text1"/>
                <w:sz w:val="24"/>
              </w:rPr>
              <w:t xml:space="preserve">] </w:t>
            </w:r>
          </w:p>
          <w:p w14:paraId="6C95514C" w14:textId="77777777" w:rsidR="0047666A" w:rsidRPr="006A0F46" w:rsidRDefault="0047666A" w:rsidP="008C2B83">
            <w:pPr>
              <w:spacing w:before="0" w:after="0" w:line="240" w:lineRule="auto"/>
              <w:rPr>
                <w:rFonts w:cs="Calibri"/>
                <w:color w:val="000000" w:themeColor="text1"/>
                <w:sz w:val="24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 xml:space="preserve">    OR "universal health coverage"[</w:t>
            </w:r>
            <w:proofErr w:type="spellStart"/>
            <w:r w:rsidRPr="006A0F46">
              <w:rPr>
                <w:rFonts w:cs="Calibri"/>
                <w:color w:val="000000" w:themeColor="text1"/>
                <w:sz w:val="24"/>
              </w:rPr>
              <w:t>MeSH</w:t>
            </w:r>
            <w:proofErr w:type="spellEnd"/>
            <w:r w:rsidRPr="006A0F46">
              <w:rPr>
                <w:rFonts w:cs="Calibri"/>
                <w:color w:val="000000" w:themeColor="text1"/>
                <w:sz w:val="24"/>
              </w:rPr>
              <w:t>] OR "universal health coverage"[</w:t>
            </w:r>
            <w:proofErr w:type="spellStart"/>
            <w:r w:rsidRPr="006A0F46">
              <w:rPr>
                <w:rFonts w:cs="Calibri"/>
                <w:color w:val="000000" w:themeColor="text1"/>
                <w:sz w:val="24"/>
              </w:rPr>
              <w:t>tiab</w:t>
            </w:r>
            <w:proofErr w:type="spellEnd"/>
            <w:r w:rsidRPr="006A0F46">
              <w:rPr>
                <w:rFonts w:cs="Calibri"/>
                <w:color w:val="000000" w:themeColor="text1"/>
                <w:sz w:val="24"/>
              </w:rPr>
              <w:t xml:space="preserve">] </w:t>
            </w:r>
          </w:p>
          <w:p w14:paraId="375CBE15" w14:textId="77777777" w:rsidR="0047666A" w:rsidRPr="006A0F46" w:rsidRDefault="0047666A" w:rsidP="008C2B83">
            <w:pPr>
              <w:spacing w:before="0" w:after="0" w:line="240" w:lineRule="auto"/>
              <w:rPr>
                <w:rFonts w:cs="Calibri"/>
                <w:color w:val="000000" w:themeColor="text1"/>
                <w:sz w:val="24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 xml:space="preserve">    OR "low- and middle-income countries"[</w:t>
            </w:r>
            <w:proofErr w:type="spellStart"/>
            <w:r w:rsidRPr="006A0F46">
              <w:rPr>
                <w:rFonts w:cs="Calibri"/>
                <w:color w:val="000000" w:themeColor="text1"/>
                <w:sz w:val="24"/>
              </w:rPr>
              <w:t>tiab</w:t>
            </w:r>
            <w:proofErr w:type="spellEnd"/>
            <w:r w:rsidRPr="006A0F46">
              <w:rPr>
                <w:rFonts w:cs="Calibri"/>
                <w:color w:val="000000" w:themeColor="text1"/>
                <w:sz w:val="24"/>
              </w:rPr>
              <w:t>] OR LMIC[</w:t>
            </w:r>
            <w:proofErr w:type="spellStart"/>
            <w:r w:rsidRPr="006A0F46">
              <w:rPr>
                <w:rFonts w:cs="Calibri"/>
                <w:color w:val="000000" w:themeColor="text1"/>
                <w:sz w:val="24"/>
              </w:rPr>
              <w:t>tiab</w:t>
            </w:r>
            <w:proofErr w:type="spellEnd"/>
            <w:r w:rsidRPr="006A0F46">
              <w:rPr>
                <w:rFonts w:cs="Calibri"/>
                <w:color w:val="000000" w:themeColor="text1"/>
                <w:sz w:val="24"/>
              </w:rPr>
              <w:t>] OR LMICs[</w:t>
            </w:r>
            <w:proofErr w:type="spellStart"/>
            <w:r w:rsidRPr="006A0F46">
              <w:rPr>
                <w:rFonts w:cs="Calibri"/>
                <w:color w:val="000000" w:themeColor="text1"/>
                <w:sz w:val="24"/>
              </w:rPr>
              <w:t>tiab</w:t>
            </w:r>
            <w:proofErr w:type="spellEnd"/>
            <w:r w:rsidRPr="006A0F46">
              <w:rPr>
                <w:rFonts w:cs="Calibri"/>
                <w:color w:val="000000" w:themeColor="text1"/>
                <w:sz w:val="24"/>
              </w:rPr>
              <w:t>])</w:t>
            </w:r>
          </w:p>
        </w:tc>
      </w:tr>
      <w:tr w:rsidR="0047666A" w:rsidRPr="006A0F46" w14:paraId="35247516" w14:textId="77777777" w:rsidTr="008C2B83">
        <w:tc>
          <w:tcPr>
            <w:tcW w:w="1271" w:type="dxa"/>
          </w:tcPr>
          <w:p w14:paraId="7E4D8763" w14:textId="77777777" w:rsidR="0047666A" w:rsidRPr="006A0F46" w:rsidRDefault="0047666A" w:rsidP="008C2B83">
            <w:pPr>
              <w:spacing w:before="0" w:after="0" w:line="240" w:lineRule="auto"/>
              <w:rPr>
                <w:rFonts w:cs="Calibri"/>
                <w:b/>
                <w:bCs/>
                <w:color w:val="000000" w:themeColor="text1"/>
                <w:sz w:val="24"/>
              </w:rPr>
            </w:pPr>
          </w:p>
          <w:p w14:paraId="7F4FE6DC" w14:textId="77777777" w:rsidR="0047666A" w:rsidRPr="006A0F46" w:rsidRDefault="0047666A" w:rsidP="008C2B83">
            <w:pPr>
              <w:spacing w:before="0" w:after="0" w:line="240" w:lineRule="auto"/>
              <w:rPr>
                <w:rFonts w:cs="Calibri"/>
                <w:b/>
                <w:bCs/>
                <w:color w:val="000000" w:themeColor="text1"/>
                <w:sz w:val="24"/>
              </w:rPr>
            </w:pPr>
          </w:p>
          <w:p w14:paraId="3758768A" w14:textId="77777777" w:rsidR="0047666A" w:rsidRPr="006A0F46" w:rsidRDefault="0047666A" w:rsidP="008C2B83">
            <w:pPr>
              <w:spacing w:before="0" w:after="0" w:line="240" w:lineRule="auto"/>
              <w:rPr>
                <w:rFonts w:cs="Calibri"/>
                <w:b/>
                <w:bCs/>
                <w:color w:val="000000" w:themeColor="text1"/>
                <w:sz w:val="24"/>
              </w:rPr>
            </w:pPr>
            <w:r w:rsidRPr="006A0F46">
              <w:rPr>
                <w:rFonts w:cs="Calibri"/>
                <w:b/>
                <w:bCs/>
                <w:color w:val="000000" w:themeColor="text1"/>
                <w:sz w:val="24"/>
              </w:rPr>
              <w:t>Web of Science</w:t>
            </w:r>
          </w:p>
        </w:tc>
        <w:tc>
          <w:tcPr>
            <w:tcW w:w="8505" w:type="dxa"/>
          </w:tcPr>
          <w:p w14:paraId="57C86645" w14:textId="77777777" w:rsidR="0047666A" w:rsidRPr="006A0F46" w:rsidRDefault="0047666A" w:rsidP="008C2B83">
            <w:pPr>
              <w:spacing w:before="0" w:after="0" w:line="240" w:lineRule="auto"/>
              <w:rPr>
                <w:rFonts w:cs="Calibri"/>
                <w:color w:val="000000" w:themeColor="text1"/>
                <w:sz w:val="24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 xml:space="preserve">TS=("community-based care" OR "community health services" OR "community-oriented primary care" </w:t>
            </w:r>
          </w:p>
          <w:p w14:paraId="3E08529D" w14:textId="77777777" w:rsidR="0047666A" w:rsidRPr="006A0F46" w:rsidRDefault="0047666A" w:rsidP="008C2B83">
            <w:pPr>
              <w:spacing w:before="0" w:after="0" w:line="240" w:lineRule="auto"/>
              <w:rPr>
                <w:rFonts w:cs="Calibri"/>
                <w:color w:val="000000" w:themeColor="text1"/>
                <w:sz w:val="24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 xml:space="preserve">OR "community health worker" OR CHW OR "volunteer health worker" </w:t>
            </w:r>
          </w:p>
          <w:p w14:paraId="605619F0" w14:textId="77777777" w:rsidR="0047666A" w:rsidRPr="006A0F46" w:rsidRDefault="0047666A" w:rsidP="008C2B83">
            <w:pPr>
              <w:spacing w:before="0" w:after="0" w:line="240" w:lineRule="auto"/>
              <w:rPr>
                <w:rFonts w:cs="Calibri"/>
                <w:color w:val="000000" w:themeColor="text1"/>
                <w:sz w:val="24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 xml:space="preserve">OR "digital health" OR telemedicine OR "mobile health" OR mHealth </w:t>
            </w:r>
          </w:p>
          <w:p w14:paraId="622E0246" w14:textId="77777777" w:rsidR="0047666A" w:rsidRPr="006A0F46" w:rsidRDefault="0047666A" w:rsidP="008C2B83">
            <w:pPr>
              <w:spacing w:before="0" w:after="0" w:line="240" w:lineRule="auto"/>
              <w:rPr>
                <w:rFonts w:cs="Calibri"/>
                <w:color w:val="000000" w:themeColor="text1"/>
                <w:sz w:val="24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 xml:space="preserve">OR "artificial intelligence" OR "AI in health care" OR "machine learning" </w:t>
            </w:r>
          </w:p>
          <w:p w14:paraId="1A1A1B76" w14:textId="77777777" w:rsidR="0047666A" w:rsidRPr="006A0F46" w:rsidRDefault="0047666A" w:rsidP="008C2B83">
            <w:pPr>
              <w:spacing w:before="0" w:after="0" w:line="240" w:lineRule="auto"/>
              <w:rPr>
                <w:rFonts w:cs="Calibri"/>
                <w:color w:val="000000" w:themeColor="text1"/>
                <w:sz w:val="24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 xml:space="preserve">OR "health system integration" OR "diagonal integration" OR "horizontal integration" </w:t>
            </w:r>
          </w:p>
          <w:p w14:paraId="769C4426" w14:textId="77777777" w:rsidR="0047666A" w:rsidRPr="006A0F46" w:rsidRDefault="0047666A" w:rsidP="008C2B83">
            <w:pPr>
              <w:spacing w:before="0" w:after="0" w:line="240" w:lineRule="auto"/>
              <w:rPr>
                <w:rFonts w:cs="Calibri"/>
                <w:color w:val="000000" w:themeColor="text1"/>
                <w:sz w:val="24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 xml:space="preserve">OR </w:t>
            </w:r>
            <w:proofErr w:type="spellStart"/>
            <w:r w:rsidRPr="006A0F46">
              <w:rPr>
                <w:rFonts w:cs="Calibri"/>
                <w:color w:val="000000" w:themeColor="text1"/>
                <w:sz w:val="24"/>
              </w:rPr>
              <w:t>syndemic</w:t>
            </w:r>
            <w:proofErr w:type="spellEnd"/>
            <w:r w:rsidRPr="006A0F46">
              <w:rPr>
                <w:rFonts w:cs="Calibri"/>
                <w:color w:val="000000" w:themeColor="text1"/>
                <w:sz w:val="24"/>
              </w:rPr>
              <w:t xml:space="preserve"> OR </w:t>
            </w:r>
            <w:proofErr w:type="spellStart"/>
            <w:r w:rsidRPr="006A0F46">
              <w:rPr>
                <w:rFonts w:cs="Calibri"/>
                <w:color w:val="000000" w:themeColor="text1"/>
                <w:sz w:val="24"/>
              </w:rPr>
              <w:t>syndemics</w:t>
            </w:r>
            <w:proofErr w:type="spellEnd"/>
            <w:r w:rsidRPr="006A0F46">
              <w:rPr>
                <w:rFonts w:cs="Calibri"/>
                <w:color w:val="000000" w:themeColor="text1"/>
                <w:sz w:val="24"/>
              </w:rPr>
              <w:t xml:space="preserve"> OR "pandemic preparedness" OR "COVID-19" </w:t>
            </w:r>
          </w:p>
          <w:p w14:paraId="63EF4E2E" w14:textId="77777777" w:rsidR="0047666A" w:rsidRPr="006A0F46" w:rsidRDefault="0047666A" w:rsidP="008C2B83">
            <w:pPr>
              <w:spacing w:before="0" w:after="0" w:line="240" w:lineRule="auto"/>
              <w:rPr>
                <w:rFonts w:cs="Calibri"/>
                <w:color w:val="000000" w:themeColor="text1"/>
                <w:sz w:val="24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 xml:space="preserve">OR "primary health care" OR "universal health coverage" </w:t>
            </w:r>
          </w:p>
          <w:p w14:paraId="6E971599" w14:textId="77777777" w:rsidR="0047666A" w:rsidRPr="006A0F46" w:rsidRDefault="0047666A" w:rsidP="008C2B83">
            <w:pPr>
              <w:spacing w:before="0" w:after="0" w:line="240" w:lineRule="auto"/>
              <w:rPr>
                <w:rFonts w:cs="Calibri"/>
                <w:color w:val="000000" w:themeColor="text1"/>
                <w:sz w:val="24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OR "low- and middle-income countries" OR LMIC OR LMICs)</w:t>
            </w:r>
          </w:p>
        </w:tc>
      </w:tr>
      <w:tr w:rsidR="0047666A" w:rsidRPr="006A0F46" w14:paraId="6F746F3C" w14:textId="77777777" w:rsidTr="008C2B83">
        <w:tc>
          <w:tcPr>
            <w:tcW w:w="1271" w:type="dxa"/>
          </w:tcPr>
          <w:p w14:paraId="52AC930D" w14:textId="77777777" w:rsidR="0047666A" w:rsidRPr="006A0F46" w:rsidRDefault="0047666A" w:rsidP="008C2B83">
            <w:pPr>
              <w:spacing w:before="0" w:after="0" w:line="240" w:lineRule="auto"/>
              <w:rPr>
                <w:rFonts w:cs="Calibri"/>
                <w:b/>
                <w:bCs/>
                <w:color w:val="000000" w:themeColor="text1"/>
                <w:sz w:val="24"/>
              </w:rPr>
            </w:pPr>
          </w:p>
          <w:p w14:paraId="41922D31" w14:textId="77777777" w:rsidR="0047666A" w:rsidRPr="006A0F46" w:rsidRDefault="0047666A" w:rsidP="008C2B83">
            <w:pPr>
              <w:spacing w:before="0" w:after="0" w:line="240" w:lineRule="auto"/>
              <w:rPr>
                <w:rFonts w:cs="Calibri"/>
                <w:b/>
                <w:bCs/>
                <w:color w:val="000000" w:themeColor="text1"/>
                <w:sz w:val="24"/>
              </w:rPr>
            </w:pPr>
          </w:p>
          <w:p w14:paraId="1FDC97FB" w14:textId="77777777" w:rsidR="0047666A" w:rsidRPr="006A0F46" w:rsidRDefault="0047666A" w:rsidP="008C2B83">
            <w:pPr>
              <w:spacing w:before="0" w:after="0" w:line="240" w:lineRule="auto"/>
              <w:rPr>
                <w:rFonts w:cs="Calibri"/>
                <w:b/>
                <w:bCs/>
                <w:color w:val="000000" w:themeColor="text1"/>
                <w:sz w:val="24"/>
              </w:rPr>
            </w:pPr>
          </w:p>
          <w:p w14:paraId="6CBF303A" w14:textId="77777777" w:rsidR="0047666A" w:rsidRPr="006A0F46" w:rsidRDefault="0047666A" w:rsidP="008C2B83">
            <w:pPr>
              <w:spacing w:before="0" w:after="0" w:line="240" w:lineRule="auto"/>
              <w:rPr>
                <w:rFonts w:cs="Calibri"/>
                <w:b/>
                <w:bCs/>
                <w:color w:val="000000" w:themeColor="text1"/>
                <w:sz w:val="24"/>
              </w:rPr>
            </w:pPr>
            <w:r w:rsidRPr="006A0F46">
              <w:rPr>
                <w:rFonts w:cs="Calibri"/>
                <w:b/>
                <w:bCs/>
                <w:color w:val="000000" w:themeColor="text1"/>
                <w:sz w:val="24"/>
              </w:rPr>
              <w:t xml:space="preserve">Google Scholar </w:t>
            </w:r>
          </w:p>
        </w:tc>
        <w:tc>
          <w:tcPr>
            <w:tcW w:w="8505" w:type="dxa"/>
          </w:tcPr>
          <w:p w14:paraId="7DAA1C2D" w14:textId="77777777" w:rsidR="0047666A" w:rsidRPr="006A0F46" w:rsidRDefault="0047666A" w:rsidP="008C2B83">
            <w:pPr>
              <w:spacing w:before="0" w:after="0" w:line="240" w:lineRule="auto"/>
              <w:rPr>
                <w:rFonts w:cs="Calibri"/>
                <w:color w:val="000000" w:themeColor="text1"/>
                <w:sz w:val="24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 xml:space="preserve">"community-based care" OR "community health services" OR "community-oriented primary care" </w:t>
            </w:r>
          </w:p>
          <w:p w14:paraId="0207D4FA" w14:textId="77777777" w:rsidR="0047666A" w:rsidRPr="006A0F46" w:rsidRDefault="0047666A" w:rsidP="008C2B83">
            <w:pPr>
              <w:spacing w:before="0" w:after="0" w:line="240" w:lineRule="auto"/>
              <w:rPr>
                <w:rFonts w:cs="Calibri"/>
                <w:color w:val="000000" w:themeColor="text1"/>
                <w:sz w:val="24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 xml:space="preserve">OR "community health worker" OR CHW OR "volunteer health worker" </w:t>
            </w:r>
          </w:p>
          <w:p w14:paraId="01821A38" w14:textId="77777777" w:rsidR="0047666A" w:rsidRPr="006A0F46" w:rsidRDefault="0047666A" w:rsidP="008C2B83">
            <w:pPr>
              <w:spacing w:before="0" w:after="0" w:line="240" w:lineRule="auto"/>
              <w:rPr>
                <w:rFonts w:cs="Calibri"/>
                <w:color w:val="000000" w:themeColor="text1"/>
                <w:sz w:val="24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 xml:space="preserve">OR "digital health" OR telemedicine OR "mobile health" OR mHealth </w:t>
            </w:r>
          </w:p>
          <w:p w14:paraId="77348DF1" w14:textId="77777777" w:rsidR="0047666A" w:rsidRPr="006A0F46" w:rsidRDefault="0047666A" w:rsidP="008C2B83">
            <w:pPr>
              <w:spacing w:before="0" w:after="0" w:line="240" w:lineRule="auto"/>
              <w:rPr>
                <w:rFonts w:cs="Calibri"/>
                <w:color w:val="000000" w:themeColor="text1"/>
                <w:sz w:val="24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 xml:space="preserve">OR "artificial intelligence" OR "AI in health care" OR "machine learning" </w:t>
            </w:r>
          </w:p>
          <w:p w14:paraId="36363ED9" w14:textId="77777777" w:rsidR="0047666A" w:rsidRPr="006A0F46" w:rsidRDefault="0047666A" w:rsidP="008C2B83">
            <w:pPr>
              <w:spacing w:before="0" w:after="0" w:line="240" w:lineRule="auto"/>
              <w:rPr>
                <w:rFonts w:cs="Calibri"/>
                <w:color w:val="000000" w:themeColor="text1"/>
                <w:sz w:val="24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 xml:space="preserve">OR "health system integration" OR "diagonal integration" OR "horizontal integration" </w:t>
            </w:r>
          </w:p>
          <w:p w14:paraId="5A15CBA5" w14:textId="77777777" w:rsidR="0047666A" w:rsidRPr="006A0F46" w:rsidRDefault="0047666A" w:rsidP="008C2B83">
            <w:pPr>
              <w:spacing w:before="0" w:after="0" w:line="240" w:lineRule="auto"/>
              <w:rPr>
                <w:rFonts w:cs="Calibri"/>
                <w:color w:val="000000" w:themeColor="text1"/>
                <w:sz w:val="24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 xml:space="preserve">OR </w:t>
            </w:r>
            <w:proofErr w:type="spellStart"/>
            <w:r w:rsidRPr="006A0F46">
              <w:rPr>
                <w:rFonts w:cs="Calibri"/>
                <w:color w:val="000000" w:themeColor="text1"/>
                <w:sz w:val="24"/>
              </w:rPr>
              <w:t>syndemic</w:t>
            </w:r>
            <w:proofErr w:type="spellEnd"/>
            <w:r w:rsidRPr="006A0F46">
              <w:rPr>
                <w:rFonts w:cs="Calibri"/>
                <w:color w:val="000000" w:themeColor="text1"/>
                <w:sz w:val="24"/>
              </w:rPr>
              <w:t xml:space="preserve"> OR </w:t>
            </w:r>
            <w:proofErr w:type="spellStart"/>
            <w:r w:rsidRPr="006A0F46">
              <w:rPr>
                <w:rFonts w:cs="Calibri"/>
                <w:color w:val="000000" w:themeColor="text1"/>
                <w:sz w:val="24"/>
              </w:rPr>
              <w:t>syndemics</w:t>
            </w:r>
            <w:proofErr w:type="spellEnd"/>
            <w:r w:rsidRPr="006A0F46">
              <w:rPr>
                <w:rFonts w:cs="Calibri"/>
                <w:color w:val="000000" w:themeColor="text1"/>
                <w:sz w:val="24"/>
              </w:rPr>
              <w:t xml:space="preserve"> OR "pandemic preparedness" OR "COVID-19" </w:t>
            </w:r>
          </w:p>
          <w:p w14:paraId="1132575B" w14:textId="77777777" w:rsidR="0047666A" w:rsidRPr="006A0F46" w:rsidRDefault="0047666A" w:rsidP="008C2B83">
            <w:pPr>
              <w:spacing w:before="0" w:after="0" w:line="240" w:lineRule="auto"/>
              <w:rPr>
                <w:rFonts w:cs="Calibri"/>
                <w:color w:val="000000" w:themeColor="text1"/>
                <w:sz w:val="24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 xml:space="preserve">OR "primary health care" OR "universal health coverage" </w:t>
            </w:r>
          </w:p>
          <w:p w14:paraId="534DEC70" w14:textId="77777777" w:rsidR="0047666A" w:rsidRPr="006A0F46" w:rsidRDefault="0047666A" w:rsidP="008C2B83">
            <w:pPr>
              <w:spacing w:before="0" w:after="0" w:line="240" w:lineRule="auto"/>
              <w:rPr>
                <w:rFonts w:cs="Calibri"/>
                <w:color w:val="000000" w:themeColor="text1"/>
                <w:sz w:val="24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OR "low- and middle-income countries" OR LMIC OR LMICs</w:t>
            </w:r>
          </w:p>
        </w:tc>
      </w:tr>
    </w:tbl>
    <w:p w14:paraId="60DC35E0" w14:textId="77777777" w:rsidR="0047666A" w:rsidRPr="006A0F46" w:rsidRDefault="0047666A" w:rsidP="0047666A">
      <w:pPr>
        <w:rPr>
          <w:rFonts w:cs="Calibri"/>
          <w:color w:val="000000" w:themeColor="text1"/>
          <w:sz w:val="24"/>
        </w:rPr>
      </w:pPr>
    </w:p>
    <w:p w14:paraId="7B0BAD8F" w14:textId="77777777" w:rsidR="0047666A" w:rsidRPr="006A0F46" w:rsidRDefault="0047666A" w:rsidP="0047666A">
      <w:pPr>
        <w:rPr>
          <w:rFonts w:cs="Calibri"/>
          <w:b/>
          <w:bCs/>
          <w:color w:val="000000" w:themeColor="text1"/>
          <w:sz w:val="24"/>
        </w:rPr>
        <w:sectPr w:rsidR="0047666A" w:rsidRPr="006A0F46" w:rsidSect="0047666A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6A0F46">
        <w:rPr>
          <w:rFonts w:cs="Calibri"/>
          <w:b/>
          <w:bCs/>
          <w:color w:val="000000" w:themeColor="text1"/>
          <w:sz w:val="24"/>
        </w:rPr>
        <w:br w:type="page"/>
      </w:r>
    </w:p>
    <w:p w14:paraId="0A0E4954" w14:textId="77777777" w:rsidR="0047666A" w:rsidRPr="006A0F46" w:rsidRDefault="0047666A" w:rsidP="0047666A">
      <w:pPr>
        <w:rPr>
          <w:rFonts w:cs="Calibri"/>
          <w:color w:val="000000" w:themeColor="text1"/>
          <w:sz w:val="24"/>
        </w:rPr>
      </w:pPr>
      <w:proofErr w:type="spellStart"/>
      <w:r w:rsidRPr="006A0F46">
        <w:rPr>
          <w:rFonts w:cs="Calibri"/>
          <w:b/>
          <w:bCs/>
          <w:color w:val="000000" w:themeColor="text1"/>
          <w:sz w:val="24"/>
        </w:rPr>
        <w:lastRenderedPageBreak/>
        <w:t>eSupplementary</w:t>
      </w:r>
      <w:proofErr w:type="spellEnd"/>
      <w:r w:rsidRPr="006A0F46">
        <w:rPr>
          <w:rFonts w:cs="Calibri"/>
          <w:b/>
          <w:bCs/>
          <w:color w:val="000000" w:themeColor="text1"/>
          <w:sz w:val="24"/>
        </w:rPr>
        <w:t xml:space="preserve"> Table 2. </w:t>
      </w:r>
      <w:r w:rsidRPr="006A0F46">
        <w:rPr>
          <w:rFonts w:cs="Calibri"/>
          <w:color w:val="000000" w:themeColor="text1"/>
          <w:sz w:val="24"/>
        </w:rPr>
        <w:t>Summary of literatures included in this review</w:t>
      </w:r>
    </w:p>
    <w:tbl>
      <w:tblPr>
        <w:tblW w:w="15168" w:type="dxa"/>
        <w:tblInd w:w="-431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6220"/>
        <w:gridCol w:w="1759"/>
        <w:gridCol w:w="1943"/>
        <w:gridCol w:w="2533"/>
        <w:gridCol w:w="2131"/>
      </w:tblGrid>
      <w:tr w:rsidR="0047666A" w:rsidRPr="006A0F46" w14:paraId="685A833E" w14:textId="77777777" w:rsidTr="008C2B83">
        <w:trPr>
          <w:trHeight w:val="30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11FD116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bookmarkStart w:id="0" w:name="_Hlk206149326"/>
            <w:r w:rsidRPr="006A0F46">
              <w:rPr>
                <w:rFonts w:eastAsia="Times New Roman" w:cs="Calibri"/>
                <w:b/>
                <w:bCs/>
                <w:color w:val="000000" w:themeColor="text1"/>
                <w:kern w:val="0"/>
                <w:sz w:val="24"/>
                <w:lang w:eastAsia="en-AU"/>
                <w14:ligatures w14:val="none"/>
              </w:rPr>
              <w:t>SN</w:t>
            </w:r>
          </w:p>
        </w:tc>
        <w:tc>
          <w:tcPr>
            <w:tcW w:w="6271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1CA53454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b/>
                <w:bCs/>
                <w:color w:val="000000" w:themeColor="text1"/>
                <w:kern w:val="0"/>
                <w:sz w:val="24"/>
                <w:lang w:eastAsia="en-AU"/>
                <w14:ligatures w14:val="none"/>
              </w:rPr>
              <w:t>DOCUMENT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14:paraId="08D52D3F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b/>
                <w:bCs/>
                <w:color w:val="000000" w:themeColor="text1"/>
                <w:kern w:val="0"/>
                <w:sz w:val="24"/>
                <w:lang w:eastAsia="en-AU"/>
                <w14:ligatures w14:val="none"/>
              </w:rPr>
              <w:t>COUNTRY</w:t>
            </w: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14:paraId="75357C3C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b/>
                <w:bCs/>
                <w:color w:val="000000" w:themeColor="text1"/>
                <w:kern w:val="0"/>
                <w:sz w:val="24"/>
                <w:lang w:eastAsia="en-AU"/>
                <w14:ligatures w14:val="none"/>
              </w:rPr>
              <w:t>METHODS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FEC0C66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b/>
                <w:bCs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RESULTS 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3DA46F9C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b/>
                <w:bCs/>
                <w:color w:val="000000" w:themeColor="text1"/>
                <w:kern w:val="0"/>
                <w:sz w:val="24"/>
                <w:lang w:eastAsia="en-AU"/>
                <w14:ligatures w14:val="none"/>
              </w:rPr>
              <w:t>LIMITATIONS</w:t>
            </w:r>
          </w:p>
        </w:tc>
      </w:tr>
      <w:tr w:rsidR="0047666A" w:rsidRPr="006A0F46" w14:paraId="6C288B8E" w14:textId="77777777" w:rsidTr="008C2B83">
        <w:trPr>
          <w:trHeight w:val="60"/>
        </w:trPr>
        <w:tc>
          <w:tcPr>
            <w:tcW w:w="56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369DDFA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1</w:t>
            </w:r>
          </w:p>
        </w:tc>
        <w:tc>
          <w:tcPr>
            <w:tcW w:w="6271" w:type="dxa"/>
            <w:tcBorders>
              <w:top w:val="single" w:sz="4" w:space="0" w:color="auto"/>
            </w:tcBorders>
            <w:vAlign w:val="center"/>
            <w:hideMark/>
          </w:tcPr>
          <w:p w14:paraId="3F75B4B5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Sieverding M, Beyeler N. Integrating informal providers into a people-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centered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health systems approach: qualitative evidence from local health systems in rural Nigeria. BMC Health Services Research 2016; 16(1): 526.</w:t>
            </w:r>
          </w:p>
        </w:tc>
        <w:tc>
          <w:tcPr>
            <w:tcW w:w="1630" w:type="dxa"/>
            <w:tcBorders>
              <w:top w:val="single" w:sz="4" w:space="0" w:color="auto"/>
            </w:tcBorders>
          </w:tcPr>
          <w:p w14:paraId="21A26B62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Nigeria</w:t>
            </w:r>
          </w:p>
        </w:tc>
        <w:tc>
          <w:tcPr>
            <w:tcW w:w="1799" w:type="dxa"/>
            <w:tcBorders>
              <w:top w:val="single" w:sz="4" w:space="0" w:color="auto"/>
            </w:tcBorders>
          </w:tcPr>
          <w:p w14:paraId="6EFE4A18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Qualitative interviews/ focus groups/ thematic analysis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C6D5D1A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Provides qualitative insights into implementation, acceptability and system-level enablers and barriers.</w:t>
            </w:r>
          </w:p>
        </w:tc>
        <w:tc>
          <w:tcPr>
            <w:tcW w:w="2213" w:type="dxa"/>
            <w:tcBorders>
              <w:top w:val="single" w:sz="4" w:space="0" w:color="auto"/>
            </w:tcBorders>
          </w:tcPr>
          <w:p w14:paraId="7A9974F3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Context-specific findings from purposive samples; Not widely applicable</w:t>
            </w:r>
          </w:p>
        </w:tc>
      </w:tr>
      <w:tr w:rsidR="0047666A" w:rsidRPr="006A0F46" w14:paraId="06BEBD68" w14:textId="77777777" w:rsidTr="008C2B83">
        <w:trPr>
          <w:trHeight w:val="900"/>
        </w:trPr>
        <w:tc>
          <w:tcPr>
            <w:tcW w:w="562" w:type="dxa"/>
            <w:noWrap/>
            <w:vAlign w:val="center"/>
            <w:hideMark/>
          </w:tcPr>
          <w:p w14:paraId="6A7EBB66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2</w:t>
            </w:r>
          </w:p>
        </w:tc>
        <w:tc>
          <w:tcPr>
            <w:tcW w:w="6271" w:type="dxa"/>
            <w:vAlign w:val="center"/>
            <w:hideMark/>
          </w:tcPr>
          <w:p w14:paraId="1AE818CA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Anand TN, Joseph LM, Geetha AV, Prabhakaran D,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Jeemon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P. Task sharing with non-physician health-care workers for management of blood pressure in low-income and middle-income countries: a systematic review and meta-analysis. Lancet Glob Health 2019; 7(6): e761-e71.</w:t>
            </w:r>
          </w:p>
        </w:tc>
        <w:tc>
          <w:tcPr>
            <w:tcW w:w="1630" w:type="dxa"/>
          </w:tcPr>
          <w:p w14:paraId="550BC3F7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Global/ Multiple regions</w:t>
            </w:r>
          </w:p>
        </w:tc>
        <w:tc>
          <w:tcPr>
            <w:tcW w:w="1799" w:type="dxa"/>
          </w:tcPr>
          <w:p w14:paraId="3F69B89E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Systematic/ scoping review or meta-analysis</w:t>
            </w:r>
          </w:p>
        </w:tc>
        <w:tc>
          <w:tcPr>
            <w:tcW w:w="2693" w:type="dxa"/>
          </w:tcPr>
          <w:p w14:paraId="55DC4FBA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Synthesizes evidence showing community or digital interventions impact access/quality; key enablers and barriers identified.</w:t>
            </w:r>
          </w:p>
        </w:tc>
        <w:tc>
          <w:tcPr>
            <w:tcW w:w="2213" w:type="dxa"/>
          </w:tcPr>
          <w:p w14:paraId="7FEB7399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Study variability and risk of publication bias</w:t>
            </w:r>
          </w:p>
        </w:tc>
      </w:tr>
      <w:tr w:rsidR="0047666A" w:rsidRPr="006A0F46" w14:paraId="0513375D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5E74E5F8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3</w:t>
            </w:r>
          </w:p>
        </w:tc>
        <w:tc>
          <w:tcPr>
            <w:tcW w:w="6271" w:type="dxa"/>
            <w:vAlign w:val="center"/>
            <w:hideMark/>
          </w:tcPr>
          <w:p w14:paraId="45A734DC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Bhattarai HK, Khanal P, Khanal V, et al. Factors associated with child health service delivery by female community health volunteers in Nepal: findings from a national survey. BMC Health Services Research 2020; 20(1): 561.</w:t>
            </w:r>
          </w:p>
        </w:tc>
        <w:tc>
          <w:tcPr>
            <w:tcW w:w="1630" w:type="dxa"/>
          </w:tcPr>
          <w:p w14:paraId="3AA3A6A0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Nepal</w:t>
            </w:r>
          </w:p>
        </w:tc>
        <w:tc>
          <w:tcPr>
            <w:tcW w:w="1799" w:type="dxa"/>
          </w:tcPr>
          <w:p w14:paraId="333C25A3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Cross-sectional survey/ secondary data analysis</w:t>
            </w:r>
          </w:p>
        </w:tc>
        <w:tc>
          <w:tcPr>
            <w:tcW w:w="2693" w:type="dxa"/>
          </w:tcPr>
          <w:p w14:paraId="257CAC11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outlines community, health system or digital health approaches with implications for policy/practice.</w:t>
            </w:r>
          </w:p>
        </w:tc>
        <w:tc>
          <w:tcPr>
            <w:tcW w:w="2213" w:type="dxa"/>
          </w:tcPr>
          <w:p w14:paraId="3AE1D773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Causality cannot be inferred due to study design; risk of publication bias</w:t>
            </w:r>
          </w:p>
        </w:tc>
      </w:tr>
      <w:tr w:rsidR="0047666A" w:rsidRPr="006A0F46" w14:paraId="3106B773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4D3FA36E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4</w:t>
            </w:r>
          </w:p>
        </w:tc>
        <w:tc>
          <w:tcPr>
            <w:tcW w:w="6271" w:type="dxa"/>
            <w:vAlign w:val="center"/>
            <w:hideMark/>
          </w:tcPr>
          <w:p w14:paraId="1D6D9917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Gilmore B,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Dsane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-Aidoo PH, Rosato M, Yaqub NO, Doe R, Baral S. Institutionalising community engagement for quality of care: moving beyond the rhetoric. BMJ 2023; 381: e072638.</w:t>
            </w:r>
          </w:p>
        </w:tc>
        <w:tc>
          <w:tcPr>
            <w:tcW w:w="1630" w:type="dxa"/>
          </w:tcPr>
          <w:p w14:paraId="1096D0F0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Not specified/ general</w:t>
            </w:r>
          </w:p>
        </w:tc>
        <w:tc>
          <w:tcPr>
            <w:tcW w:w="1799" w:type="dxa"/>
          </w:tcPr>
          <w:p w14:paraId="04DA48E7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Narrative review/ program description</w:t>
            </w:r>
          </w:p>
        </w:tc>
        <w:tc>
          <w:tcPr>
            <w:tcW w:w="2693" w:type="dxa"/>
          </w:tcPr>
          <w:p w14:paraId="452B84DC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Summarizes community, health system or digital health approaches with relevant outcomes for policy/practice.</w:t>
            </w:r>
          </w:p>
        </w:tc>
        <w:tc>
          <w:tcPr>
            <w:tcW w:w="2213" w:type="dxa"/>
          </w:tcPr>
          <w:p w14:paraId="3194B594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may not be generalized due to data and context limitations</w:t>
            </w:r>
          </w:p>
        </w:tc>
      </w:tr>
      <w:tr w:rsidR="0047666A" w:rsidRPr="006A0F46" w14:paraId="72E0C7BA" w14:textId="77777777" w:rsidTr="008C2B83">
        <w:trPr>
          <w:trHeight w:val="300"/>
        </w:trPr>
        <w:tc>
          <w:tcPr>
            <w:tcW w:w="562" w:type="dxa"/>
            <w:noWrap/>
            <w:vAlign w:val="center"/>
            <w:hideMark/>
          </w:tcPr>
          <w:p w14:paraId="69B87198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5</w:t>
            </w:r>
          </w:p>
        </w:tc>
        <w:tc>
          <w:tcPr>
            <w:tcW w:w="6271" w:type="dxa"/>
            <w:vAlign w:val="center"/>
            <w:hideMark/>
          </w:tcPr>
          <w:p w14:paraId="63EAC49C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Nelson A. Body and soul: The Black Panther Party and the fight against medical discrimination: U of Minnesota Press; 2011.</w:t>
            </w:r>
          </w:p>
        </w:tc>
        <w:tc>
          <w:tcPr>
            <w:tcW w:w="1630" w:type="dxa"/>
          </w:tcPr>
          <w:p w14:paraId="40858032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Not specified/   general</w:t>
            </w:r>
          </w:p>
        </w:tc>
        <w:tc>
          <w:tcPr>
            <w:tcW w:w="1799" w:type="dxa"/>
          </w:tcPr>
          <w:p w14:paraId="5C93CABD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Narrative review/ program description</w:t>
            </w:r>
          </w:p>
        </w:tc>
        <w:tc>
          <w:tcPr>
            <w:tcW w:w="2693" w:type="dxa"/>
          </w:tcPr>
          <w:p w14:paraId="2CD5A6ED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Historical or program narrative illustrating foundational community health models and their legacy.</w:t>
            </w:r>
          </w:p>
        </w:tc>
        <w:tc>
          <w:tcPr>
            <w:tcW w:w="2213" w:type="dxa"/>
          </w:tcPr>
          <w:p w14:paraId="1B71AC04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 xml:space="preserve">Findings may be affected by data limitations and setting-specific factors </w:t>
            </w:r>
          </w:p>
        </w:tc>
      </w:tr>
      <w:tr w:rsidR="0047666A" w:rsidRPr="006A0F46" w14:paraId="1933D1FA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345B2634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lastRenderedPageBreak/>
              <w:t>6</w:t>
            </w:r>
          </w:p>
        </w:tc>
        <w:tc>
          <w:tcPr>
            <w:tcW w:w="6271" w:type="dxa"/>
            <w:vAlign w:val="center"/>
            <w:hideMark/>
          </w:tcPr>
          <w:p w14:paraId="27D567A4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Leslie T, Rowland M, Mikhail A, et al. Use of malaria rapid diagnostic tests by community health workers in Afghanistan: cluster randomised trial. BMC medicine 2017; 15: 1-11.</w:t>
            </w:r>
          </w:p>
        </w:tc>
        <w:tc>
          <w:tcPr>
            <w:tcW w:w="1630" w:type="dxa"/>
          </w:tcPr>
          <w:p w14:paraId="40F5D4BF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Afghanistan</w:t>
            </w:r>
          </w:p>
        </w:tc>
        <w:tc>
          <w:tcPr>
            <w:tcW w:w="1799" w:type="dxa"/>
          </w:tcPr>
          <w:p w14:paraId="31EF78E2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Randomized/ cluster randomized trial</w:t>
            </w:r>
          </w:p>
        </w:tc>
        <w:tc>
          <w:tcPr>
            <w:tcW w:w="2693" w:type="dxa"/>
          </w:tcPr>
          <w:p w14:paraId="4AFD333E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Evaluates an intervention showing improved programmatic or clinical outcomes with contextual caveats.</w:t>
            </w:r>
          </w:p>
        </w:tc>
        <w:tc>
          <w:tcPr>
            <w:tcW w:w="2213" w:type="dxa"/>
          </w:tcPr>
          <w:p w14:paraId="6EA3B3C0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 xml:space="preserve">External validity and consistent implementation may not be ascertained </w:t>
            </w:r>
          </w:p>
        </w:tc>
      </w:tr>
      <w:tr w:rsidR="0047666A" w:rsidRPr="006A0F46" w14:paraId="1DF4BA52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740B15CB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7</w:t>
            </w:r>
          </w:p>
        </w:tc>
        <w:tc>
          <w:tcPr>
            <w:tcW w:w="6271" w:type="dxa"/>
            <w:vAlign w:val="center"/>
            <w:hideMark/>
          </w:tcPr>
          <w:p w14:paraId="685012DE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Fenta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MD,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Ogundijo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OA, Warsame AAA, Belay AG. Facilitators and barriers to tuberculosis active case findings in low-and middle-income countries: a systematic review of qualitative research. BMC Infectious Diseases 2023; 23(1): 515.</w:t>
            </w:r>
          </w:p>
        </w:tc>
        <w:tc>
          <w:tcPr>
            <w:tcW w:w="1630" w:type="dxa"/>
          </w:tcPr>
          <w:p w14:paraId="62F0ADE1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Global/ Multiple regions</w:t>
            </w:r>
          </w:p>
        </w:tc>
        <w:tc>
          <w:tcPr>
            <w:tcW w:w="1799" w:type="dxa"/>
          </w:tcPr>
          <w:p w14:paraId="464B8BC5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Systematic/ scoping review or meta-analysis, Qualitative interviews/ focus groups discussion/ thematic analysis</w:t>
            </w:r>
          </w:p>
        </w:tc>
        <w:tc>
          <w:tcPr>
            <w:tcW w:w="2693" w:type="dxa"/>
          </w:tcPr>
          <w:p w14:paraId="5B3DE825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Recapitulates evidence showing community or digital interventions impact access/quality; key enablers and barriers identified.</w:t>
            </w:r>
          </w:p>
        </w:tc>
        <w:tc>
          <w:tcPr>
            <w:tcW w:w="2213" w:type="dxa"/>
          </w:tcPr>
          <w:p w14:paraId="70FFBCA3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Limited by heterogeneity of included studies and potential publication bias.</w:t>
            </w:r>
          </w:p>
        </w:tc>
      </w:tr>
      <w:tr w:rsidR="0047666A" w:rsidRPr="006A0F46" w14:paraId="2C8C4391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509C8E11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8</w:t>
            </w:r>
          </w:p>
        </w:tc>
        <w:tc>
          <w:tcPr>
            <w:tcW w:w="6271" w:type="dxa"/>
            <w:vAlign w:val="center"/>
            <w:hideMark/>
          </w:tcPr>
          <w:p w14:paraId="2102F772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val="pt-PT" w:eastAsia="en-AU"/>
                <w14:ligatures w14:val="none"/>
              </w:rPr>
              <w:t xml:space="preserve">Gizaw Z, Astale T, Kassie GM. </w:t>
            </w: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What improves access to primary healthcare services in rural communities? A systematic review. BMC Prim Care 2022; 23(1): 313.</w:t>
            </w:r>
          </w:p>
        </w:tc>
        <w:tc>
          <w:tcPr>
            <w:tcW w:w="1630" w:type="dxa"/>
          </w:tcPr>
          <w:p w14:paraId="09DB9F04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Global/ Multiple regions</w:t>
            </w:r>
          </w:p>
        </w:tc>
        <w:tc>
          <w:tcPr>
            <w:tcW w:w="1799" w:type="dxa"/>
          </w:tcPr>
          <w:p w14:paraId="497024AF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Systematic/ scoping review or meta-analysis</w:t>
            </w:r>
          </w:p>
        </w:tc>
        <w:tc>
          <w:tcPr>
            <w:tcW w:w="2693" w:type="dxa"/>
          </w:tcPr>
          <w:p w14:paraId="6E3C2B4F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Reviews evidence showing community or digital interventions impact on access/quality; key enablers and barriers are identified.</w:t>
            </w:r>
          </w:p>
        </w:tc>
        <w:tc>
          <w:tcPr>
            <w:tcW w:w="2213" w:type="dxa"/>
          </w:tcPr>
          <w:p w14:paraId="15565875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Inconsistent study designs and possible reporting bias</w:t>
            </w:r>
          </w:p>
        </w:tc>
      </w:tr>
      <w:tr w:rsidR="0047666A" w:rsidRPr="006A0F46" w14:paraId="72B76613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1C08DAF5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9</w:t>
            </w:r>
          </w:p>
        </w:tc>
        <w:tc>
          <w:tcPr>
            <w:tcW w:w="6271" w:type="dxa"/>
            <w:vAlign w:val="center"/>
            <w:hideMark/>
          </w:tcPr>
          <w:p w14:paraId="1AC4B535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val="pt-PT" w:eastAsia="en-AU"/>
                <w14:ligatures w14:val="none"/>
              </w:rPr>
              <w:t xml:space="preserve">Karuga R, Dieleman M, Mbindyo P, et al. </w:t>
            </w: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Community participation in the health system: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analyzing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the implementation of community health committee policies in Kenya. Primary Health Care Research &amp; Development 2023; 24: e33.</w:t>
            </w:r>
          </w:p>
        </w:tc>
        <w:tc>
          <w:tcPr>
            <w:tcW w:w="1630" w:type="dxa"/>
          </w:tcPr>
          <w:p w14:paraId="076881AF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Kenya</w:t>
            </w:r>
          </w:p>
        </w:tc>
        <w:tc>
          <w:tcPr>
            <w:tcW w:w="1799" w:type="dxa"/>
          </w:tcPr>
          <w:p w14:paraId="4F43B85E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Narrative review/ program description</w:t>
            </w:r>
          </w:p>
        </w:tc>
        <w:tc>
          <w:tcPr>
            <w:tcW w:w="2693" w:type="dxa"/>
          </w:tcPr>
          <w:p w14:paraId="7404C4EA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Abstracts community, health system or digital health approaches with its impacts on policies/ practices.</w:t>
            </w:r>
          </w:p>
        </w:tc>
        <w:tc>
          <w:tcPr>
            <w:tcW w:w="2213" w:type="dxa"/>
          </w:tcPr>
          <w:p w14:paraId="76032BE2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limited by data availability and contextual factors</w:t>
            </w:r>
          </w:p>
        </w:tc>
      </w:tr>
      <w:tr w:rsidR="0047666A" w:rsidRPr="006A0F46" w14:paraId="5EC412BA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00D3D32E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10</w:t>
            </w:r>
          </w:p>
        </w:tc>
        <w:tc>
          <w:tcPr>
            <w:tcW w:w="6271" w:type="dxa"/>
            <w:vAlign w:val="center"/>
            <w:hideMark/>
          </w:tcPr>
          <w:p w14:paraId="59592AF4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Singh S, Miller E, Closser S. Nurturing transformative local structures of multisectoral collaboration for primary health </w:t>
            </w: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lastRenderedPageBreak/>
              <w:t>care: qualitative insights from select states in India. BMC Health Services Research 2024; 24(1): 634.</w:t>
            </w:r>
          </w:p>
        </w:tc>
        <w:tc>
          <w:tcPr>
            <w:tcW w:w="1630" w:type="dxa"/>
          </w:tcPr>
          <w:p w14:paraId="4CD1C907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lastRenderedPageBreak/>
              <w:t>India</w:t>
            </w:r>
          </w:p>
        </w:tc>
        <w:tc>
          <w:tcPr>
            <w:tcW w:w="1799" w:type="dxa"/>
          </w:tcPr>
          <w:p w14:paraId="2719F68C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 xml:space="preserve">Qualitative interviews/ focus groups/ </w:t>
            </w:r>
            <w:r w:rsidRPr="006A0F46">
              <w:rPr>
                <w:rFonts w:cs="Calibri"/>
                <w:color w:val="000000" w:themeColor="text1"/>
                <w:sz w:val="24"/>
              </w:rPr>
              <w:lastRenderedPageBreak/>
              <w:t>thematic analysis</w:t>
            </w:r>
          </w:p>
        </w:tc>
        <w:tc>
          <w:tcPr>
            <w:tcW w:w="2693" w:type="dxa"/>
          </w:tcPr>
          <w:p w14:paraId="2A142D01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lastRenderedPageBreak/>
              <w:t xml:space="preserve">Provides qualitative insights into implementation, </w:t>
            </w:r>
            <w:r w:rsidRPr="006A0F46">
              <w:rPr>
                <w:rFonts w:cs="Calibri"/>
                <w:color w:val="000000" w:themeColor="text1"/>
                <w:sz w:val="24"/>
              </w:rPr>
              <w:lastRenderedPageBreak/>
              <w:t>acceptability and system-level enablers and barriers.</w:t>
            </w:r>
          </w:p>
        </w:tc>
        <w:tc>
          <w:tcPr>
            <w:tcW w:w="2213" w:type="dxa"/>
          </w:tcPr>
          <w:p w14:paraId="630F5887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lastRenderedPageBreak/>
              <w:t xml:space="preserve">Context-specific findings from purposive samples; </w:t>
            </w:r>
            <w:r w:rsidRPr="006A0F46">
              <w:rPr>
                <w:rFonts w:cs="Calibri"/>
                <w:color w:val="000000" w:themeColor="text1"/>
                <w:sz w:val="24"/>
              </w:rPr>
              <w:lastRenderedPageBreak/>
              <w:t>limited external validity</w:t>
            </w:r>
          </w:p>
        </w:tc>
      </w:tr>
      <w:tr w:rsidR="0047666A" w:rsidRPr="006A0F46" w14:paraId="21C5A9F3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230F41B0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lastRenderedPageBreak/>
              <w:t>11</w:t>
            </w:r>
          </w:p>
        </w:tc>
        <w:tc>
          <w:tcPr>
            <w:tcW w:w="6271" w:type="dxa"/>
            <w:vAlign w:val="center"/>
            <w:hideMark/>
          </w:tcPr>
          <w:p w14:paraId="1B57C7CB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Kapuya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HA, Maluka SO, Hurtig A-K, Sebastian MS. Assessing community awareness and participation in health facility governing committees in two districts of Tanzania: a cross-sectional study. Archives of Public Health 2024; 82(1): 194.</w:t>
            </w:r>
          </w:p>
        </w:tc>
        <w:tc>
          <w:tcPr>
            <w:tcW w:w="1630" w:type="dxa"/>
          </w:tcPr>
          <w:p w14:paraId="11987BD5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Tanzania</w:t>
            </w:r>
          </w:p>
        </w:tc>
        <w:tc>
          <w:tcPr>
            <w:tcW w:w="1799" w:type="dxa"/>
          </w:tcPr>
          <w:p w14:paraId="21D35FFD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Cross-sectional survey/ secondary data analysis</w:t>
            </w:r>
          </w:p>
        </w:tc>
        <w:tc>
          <w:tcPr>
            <w:tcW w:w="2693" w:type="dxa"/>
          </w:tcPr>
          <w:p w14:paraId="45163CEF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Recaps community, health system or digital health approaches with ramification on policies/ practices.</w:t>
            </w:r>
          </w:p>
        </w:tc>
        <w:tc>
          <w:tcPr>
            <w:tcW w:w="2213" w:type="dxa"/>
          </w:tcPr>
          <w:p w14:paraId="012C765E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Cross-sectional design limits causal inference; risk of reporting bias.</w:t>
            </w:r>
          </w:p>
        </w:tc>
      </w:tr>
      <w:tr w:rsidR="0047666A" w:rsidRPr="006A0F46" w14:paraId="790E5A7D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371592CA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12</w:t>
            </w:r>
          </w:p>
        </w:tc>
        <w:tc>
          <w:tcPr>
            <w:tcW w:w="6271" w:type="dxa"/>
            <w:vAlign w:val="center"/>
            <w:hideMark/>
          </w:tcPr>
          <w:p w14:paraId="51AD279C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Godlee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F, Pakenham-Walsh N,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Ncayiyana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D, Cohen B, Packer A. Can we achieve health information for all by 2015? The Lancet 2004; 364(9430): 295-300.</w:t>
            </w:r>
          </w:p>
        </w:tc>
        <w:tc>
          <w:tcPr>
            <w:tcW w:w="1630" w:type="dxa"/>
          </w:tcPr>
          <w:p w14:paraId="7AD5741E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Not specified/ general</w:t>
            </w:r>
          </w:p>
        </w:tc>
        <w:tc>
          <w:tcPr>
            <w:tcW w:w="1799" w:type="dxa"/>
          </w:tcPr>
          <w:p w14:paraId="69D4AB0A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Narrative review/ program description</w:t>
            </w:r>
          </w:p>
        </w:tc>
        <w:tc>
          <w:tcPr>
            <w:tcW w:w="2693" w:type="dxa"/>
          </w:tcPr>
          <w:p w14:paraId="1EB2A07C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Gives an overview of community, health system or digital health approaches with its bearings on governance/ practice.</w:t>
            </w:r>
          </w:p>
        </w:tc>
        <w:tc>
          <w:tcPr>
            <w:tcW w:w="2213" w:type="dxa"/>
          </w:tcPr>
          <w:p w14:paraId="45C38692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Limited by data availability and contextual factors.</w:t>
            </w:r>
          </w:p>
        </w:tc>
      </w:tr>
      <w:tr w:rsidR="0047666A" w:rsidRPr="006A0F46" w14:paraId="6DE615BC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36B26A3E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13</w:t>
            </w:r>
          </w:p>
        </w:tc>
        <w:tc>
          <w:tcPr>
            <w:tcW w:w="6271" w:type="dxa"/>
            <w:vAlign w:val="center"/>
            <w:hideMark/>
          </w:tcPr>
          <w:p w14:paraId="75A297AC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Kerasidou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A. Artificial intelligence and the ongoing need for empathy, compassion and trust in healthcare. Bulletin of the World Health Organization 2020; 98(4): 245.</w:t>
            </w:r>
          </w:p>
        </w:tc>
        <w:tc>
          <w:tcPr>
            <w:tcW w:w="1630" w:type="dxa"/>
          </w:tcPr>
          <w:p w14:paraId="79A1A8CD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Not specified/ general</w:t>
            </w:r>
          </w:p>
        </w:tc>
        <w:tc>
          <w:tcPr>
            <w:tcW w:w="1799" w:type="dxa"/>
          </w:tcPr>
          <w:p w14:paraId="49D5C279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Narrative review/ program description</w:t>
            </w:r>
          </w:p>
        </w:tc>
        <w:tc>
          <w:tcPr>
            <w:tcW w:w="2693" w:type="dxa"/>
          </w:tcPr>
          <w:p w14:paraId="28927B7E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Presents on summary on community, health system or digital health approaches with implications for policy/ practice.</w:t>
            </w:r>
          </w:p>
        </w:tc>
        <w:tc>
          <w:tcPr>
            <w:tcW w:w="2213" w:type="dxa"/>
          </w:tcPr>
          <w:p w14:paraId="16985AF5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may be limited by data availability and context-specific factors.</w:t>
            </w:r>
          </w:p>
        </w:tc>
      </w:tr>
      <w:tr w:rsidR="0047666A" w:rsidRPr="006A0F46" w14:paraId="6D97AD6A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2EDCB7FF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14</w:t>
            </w:r>
          </w:p>
        </w:tc>
        <w:tc>
          <w:tcPr>
            <w:tcW w:w="6271" w:type="dxa"/>
            <w:vAlign w:val="center"/>
            <w:hideMark/>
          </w:tcPr>
          <w:p w14:paraId="648B7E49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Organization WH. The World Health Report 2010, Health Systems Financing: the Path to Universal Coverage; https://www.who.int/publications/i/item/9789241564021; assessed 6/2/2025 2012.</w:t>
            </w:r>
          </w:p>
        </w:tc>
        <w:tc>
          <w:tcPr>
            <w:tcW w:w="1630" w:type="dxa"/>
          </w:tcPr>
          <w:p w14:paraId="5678AFC1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Global/ Multiple regions</w:t>
            </w:r>
          </w:p>
        </w:tc>
        <w:tc>
          <w:tcPr>
            <w:tcW w:w="1799" w:type="dxa"/>
          </w:tcPr>
          <w:p w14:paraId="6EFB54E7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Historical/ policy/ case study</w:t>
            </w:r>
          </w:p>
        </w:tc>
        <w:tc>
          <w:tcPr>
            <w:tcW w:w="2693" w:type="dxa"/>
          </w:tcPr>
          <w:p w14:paraId="3AF5214C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Policy-oriented synthesis or perspective outlining priorities and frameworks for strengthening PHC or digital health.</w:t>
            </w:r>
          </w:p>
        </w:tc>
        <w:tc>
          <w:tcPr>
            <w:tcW w:w="2213" w:type="dxa"/>
          </w:tcPr>
          <w:p w14:paraId="690B325B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Not primary empirical research; limited quantitative effect estimates.</w:t>
            </w:r>
          </w:p>
        </w:tc>
      </w:tr>
      <w:tr w:rsidR="0047666A" w:rsidRPr="006A0F46" w14:paraId="3E3CB6DC" w14:textId="77777777" w:rsidTr="008C2B83">
        <w:trPr>
          <w:trHeight w:val="900"/>
        </w:trPr>
        <w:tc>
          <w:tcPr>
            <w:tcW w:w="562" w:type="dxa"/>
            <w:noWrap/>
            <w:vAlign w:val="center"/>
            <w:hideMark/>
          </w:tcPr>
          <w:p w14:paraId="6EE4ABF9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15</w:t>
            </w:r>
          </w:p>
        </w:tc>
        <w:tc>
          <w:tcPr>
            <w:tcW w:w="6271" w:type="dxa"/>
            <w:vAlign w:val="center"/>
            <w:hideMark/>
          </w:tcPr>
          <w:p w14:paraId="55A66205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Aantjes C, Quinlan T, Bunders J. Integration of community home based care programmes within national primary health care revitalisation strategies in Ethiopia, Malawi, South-Africa </w:t>
            </w: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lastRenderedPageBreak/>
              <w:t>and Zambia: a comparative assessment. Globalization and Health 2014; 10(1): 85.</w:t>
            </w:r>
          </w:p>
        </w:tc>
        <w:tc>
          <w:tcPr>
            <w:tcW w:w="1630" w:type="dxa"/>
          </w:tcPr>
          <w:p w14:paraId="6B0B4FAD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lastRenderedPageBreak/>
              <w:t>Ethiopia</w:t>
            </w:r>
          </w:p>
        </w:tc>
        <w:tc>
          <w:tcPr>
            <w:tcW w:w="1799" w:type="dxa"/>
          </w:tcPr>
          <w:p w14:paraId="2BFC9556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Narrative review/ program description</w:t>
            </w:r>
          </w:p>
        </w:tc>
        <w:tc>
          <w:tcPr>
            <w:tcW w:w="2693" w:type="dxa"/>
          </w:tcPr>
          <w:p w14:paraId="13F9D6E4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 xml:space="preserve">Synthesizes community, health system or digital health approaches with </w:t>
            </w:r>
            <w:r w:rsidRPr="006A0F46">
              <w:rPr>
                <w:rFonts w:cs="Calibri"/>
                <w:color w:val="000000" w:themeColor="text1"/>
                <w:sz w:val="24"/>
              </w:rPr>
              <w:lastRenderedPageBreak/>
              <w:t>implications for policy/ implementation.</w:t>
            </w:r>
          </w:p>
        </w:tc>
        <w:tc>
          <w:tcPr>
            <w:tcW w:w="2213" w:type="dxa"/>
          </w:tcPr>
          <w:p w14:paraId="72B5A9B7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lastRenderedPageBreak/>
              <w:t xml:space="preserve">Findings may be limited by data availability and </w:t>
            </w:r>
            <w:r w:rsidRPr="006A0F46">
              <w:rPr>
                <w:rFonts w:cs="Calibri"/>
                <w:color w:val="000000" w:themeColor="text1"/>
                <w:sz w:val="24"/>
              </w:rPr>
              <w:lastRenderedPageBreak/>
              <w:t>context-specific factors.</w:t>
            </w:r>
          </w:p>
        </w:tc>
      </w:tr>
      <w:tr w:rsidR="0047666A" w:rsidRPr="006A0F46" w14:paraId="1B4B4F73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3A3FE69F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lastRenderedPageBreak/>
              <w:t>16</w:t>
            </w:r>
          </w:p>
        </w:tc>
        <w:tc>
          <w:tcPr>
            <w:tcW w:w="6271" w:type="dxa"/>
            <w:vAlign w:val="center"/>
            <w:hideMark/>
          </w:tcPr>
          <w:p w14:paraId="407F2D4A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Shahmanesh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M,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Okesola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N,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Chimbindi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N, et al.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Thetha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Nami: participatory development of a peer-navigator intervention to deliver biosocial HIV prevention for adolescents and youth in rural South Africa. BMC Public Health 2021; 21(1): 1393.</w:t>
            </w:r>
          </w:p>
        </w:tc>
        <w:tc>
          <w:tcPr>
            <w:tcW w:w="1630" w:type="dxa"/>
          </w:tcPr>
          <w:p w14:paraId="69F94D51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South Africa</w:t>
            </w:r>
          </w:p>
        </w:tc>
        <w:tc>
          <w:tcPr>
            <w:tcW w:w="1799" w:type="dxa"/>
          </w:tcPr>
          <w:p w14:paraId="1C1809AC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Narrative review/ program description</w:t>
            </w:r>
          </w:p>
        </w:tc>
        <w:tc>
          <w:tcPr>
            <w:tcW w:w="2693" w:type="dxa"/>
          </w:tcPr>
          <w:p w14:paraId="6137DEE1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Condenses community, health system or digital health approaches with its use for policy/practice.</w:t>
            </w:r>
          </w:p>
        </w:tc>
        <w:tc>
          <w:tcPr>
            <w:tcW w:w="2213" w:type="dxa"/>
          </w:tcPr>
          <w:p w14:paraId="376E3DF2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may be limited by data availability and context-specific factors.</w:t>
            </w:r>
          </w:p>
        </w:tc>
      </w:tr>
      <w:tr w:rsidR="0047666A" w:rsidRPr="006A0F46" w14:paraId="1E8CE552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33339CC9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17</w:t>
            </w:r>
          </w:p>
        </w:tc>
        <w:tc>
          <w:tcPr>
            <w:tcW w:w="6271" w:type="dxa"/>
            <w:vAlign w:val="center"/>
            <w:hideMark/>
          </w:tcPr>
          <w:p w14:paraId="5E1292B9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Olaniran A, Smith H,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Unkels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R, Bar-Zeev S, van den Broek N. Who is a community health worker? - a systematic review of definitions. Glob Health Action 2017; 10(1): 1272223.</w:t>
            </w:r>
          </w:p>
        </w:tc>
        <w:tc>
          <w:tcPr>
            <w:tcW w:w="1630" w:type="dxa"/>
          </w:tcPr>
          <w:p w14:paraId="0993BCE5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Global/ Multiple regions</w:t>
            </w:r>
          </w:p>
        </w:tc>
        <w:tc>
          <w:tcPr>
            <w:tcW w:w="1799" w:type="dxa"/>
          </w:tcPr>
          <w:p w14:paraId="03C25012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Systematic/ scoping review or meta-analysis</w:t>
            </w:r>
          </w:p>
        </w:tc>
        <w:tc>
          <w:tcPr>
            <w:tcW w:w="2693" w:type="dxa"/>
          </w:tcPr>
          <w:p w14:paraId="508682D4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 xml:space="preserve">Outlines evidence showing community or digital interventions impact access/ quality; key enablers and barriers identified. </w:t>
            </w:r>
          </w:p>
        </w:tc>
        <w:tc>
          <w:tcPr>
            <w:tcW w:w="2213" w:type="dxa"/>
          </w:tcPr>
          <w:p w14:paraId="5355D302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Limited by heterogeneity of included studies and potential of publication bias.</w:t>
            </w:r>
          </w:p>
        </w:tc>
      </w:tr>
      <w:tr w:rsidR="0047666A" w:rsidRPr="006A0F46" w14:paraId="42D8C9CC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1E463C5B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18</w:t>
            </w:r>
          </w:p>
        </w:tc>
        <w:tc>
          <w:tcPr>
            <w:tcW w:w="6271" w:type="dxa"/>
            <w:vAlign w:val="center"/>
            <w:hideMark/>
          </w:tcPr>
          <w:p w14:paraId="07862011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Gunderson JM, Wieland ML, Quirindongo-Cedeno O, et al. Community Health Workers as an Extension of Care Coordination in Primary Care: A Community-Based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Cosupervisory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Model. J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Ambul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Care Manage 2018; 41(4): 333-40.</w:t>
            </w:r>
          </w:p>
        </w:tc>
        <w:tc>
          <w:tcPr>
            <w:tcW w:w="1630" w:type="dxa"/>
          </w:tcPr>
          <w:p w14:paraId="3F88D7B6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Not specified/ general</w:t>
            </w:r>
          </w:p>
        </w:tc>
        <w:tc>
          <w:tcPr>
            <w:tcW w:w="1799" w:type="dxa"/>
          </w:tcPr>
          <w:p w14:paraId="7FC8290B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Narrative review/ program description</w:t>
            </w:r>
          </w:p>
        </w:tc>
        <w:tc>
          <w:tcPr>
            <w:tcW w:w="2693" w:type="dxa"/>
          </w:tcPr>
          <w:p w14:paraId="3CDB9996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Summarizes community, health system or digital health approaches with implications for policy/ practice.</w:t>
            </w:r>
          </w:p>
        </w:tc>
        <w:tc>
          <w:tcPr>
            <w:tcW w:w="2213" w:type="dxa"/>
          </w:tcPr>
          <w:p w14:paraId="4F9FDC71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may be limited by data availability and context-specific factors.</w:t>
            </w:r>
          </w:p>
        </w:tc>
      </w:tr>
      <w:tr w:rsidR="0047666A" w:rsidRPr="006A0F46" w14:paraId="799ED5A7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11C25C6C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19</w:t>
            </w:r>
          </w:p>
        </w:tc>
        <w:tc>
          <w:tcPr>
            <w:tcW w:w="6271" w:type="dxa"/>
            <w:vAlign w:val="center"/>
            <w:hideMark/>
          </w:tcPr>
          <w:p w14:paraId="68604F62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Woldie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M,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Feyissa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GT, Admasu B, et al. Community health volunteers could help improve access to and use of essential health services by communities in LMICs: an umbrella review. Health Policy Plan 2018; 33(10): 1128-43.</w:t>
            </w:r>
          </w:p>
        </w:tc>
        <w:tc>
          <w:tcPr>
            <w:tcW w:w="1630" w:type="dxa"/>
          </w:tcPr>
          <w:p w14:paraId="51D24CA0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Multiple LMICs</w:t>
            </w:r>
          </w:p>
        </w:tc>
        <w:tc>
          <w:tcPr>
            <w:tcW w:w="1799" w:type="dxa"/>
          </w:tcPr>
          <w:p w14:paraId="0BD270CB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Systematic/ scoping review or meta-analysis</w:t>
            </w:r>
          </w:p>
        </w:tc>
        <w:tc>
          <w:tcPr>
            <w:tcW w:w="2693" w:type="dxa"/>
          </w:tcPr>
          <w:p w14:paraId="233DC6FB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Reviews evidence showing community or digital interventions impact access/quality; key enablers and barriers identified.</w:t>
            </w:r>
          </w:p>
        </w:tc>
        <w:tc>
          <w:tcPr>
            <w:tcW w:w="2213" w:type="dxa"/>
          </w:tcPr>
          <w:p w14:paraId="14075D9C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Not primary empirical research; limited quantitative effect estimates.</w:t>
            </w:r>
          </w:p>
        </w:tc>
      </w:tr>
      <w:tr w:rsidR="0047666A" w:rsidRPr="006A0F46" w14:paraId="41E40507" w14:textId="77777777" w:rsidTr="008C2B83">
        <w:trPr>
          <w:trHeight w:val="900"/>
        </w:trPr>
        <w:tc>
          <w:tcPr>
            <w:tcW w:w="562" w:type="dxa"/>
            <w:noWrap/>
            <w:vAlign w:val="center"/>
            <w:hideMark/>
          </w:tcPr>
          <w:p w14:paraId="5D775968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20</w:t>
            </w:r>
          </w:p>
        </w:tc>
        <w:tc>
          <w:tcPr>
            <w:tcW w:w="6271" w:type="dxa"/>
            <w:vAlign w:val="center"/>
            <w:hideMark/>
          </w:tcPr>
          <w:p w14:paraId="46ADE0CB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Joag K, Shields-Zeeman L, Kapadia-Kundu N,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Kawade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R, Balaji M,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Pathare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S. Feasibility and acceptability of a novel community-based mental health intervention delivered by community volunteers in Maharashtra, India: the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Atmiyata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programme. BMC Psychiatry 2020; 20(1): 48.</w:t>
            </w:r>
          </w:p>
        </w:tc>
        <w:tc>
          <w:tcPr>
            <w:tcW w:w="1630" w:type="dxa"/>
          </w:tcPr>
          <w:p w14:paraId="1795A8CF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India</w:t>
            </w:r>
          </w:p>
        </w:tc>
        <w:tc>
          <w:tcPr>
            <w:tcW w:w="1799" w:type="dxa"/>
          </w:tcPr>
          <w:p w14:paraId="6379D79A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Narrative review/ program description</w:t>
            </w:r>
          </w:p>
        </w:tc>
        <w:tc>
          <w:tcPr>
            <w:tcW w:w="2693" w:type="dxa"/>
          </w:tcPr>
          <w:p w14:paraId="545116F2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Prioritises community, health system or digital health approaches with implications for policies and practices.</w:t>
            </w:r>
          </w:p>
        </w:tc>
        <w:tc>
          <w:tcPr>
            <w:tcW w:w="2213" w:type="dxa"/>
          </w:tcPr>
          <w:p w14:paraId="45EA2040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limited due to data availability and context-specific factors.</w:t>
            </w:r>
          </w:p>
        </w:tc>
      </w:tr>
      <w:tr w:rsidR="0047666A" w:rsidRPr="006A0F46" w14:paraId="288FECAD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63A1A5D9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lastRenderedPageBreak/>
              <w:t>21</w:t>
            </w:r>
          </w:p>
        </w:tc>
        <w:tc>
          <w:tcPr>
            <w:tcW w:w="6271" w:type="dxa"/>
            <w:vAlign w:val="center"/>
            <w:hideMark/>
          </w:tcPr>
          <w:p w14:paraId="4B645A89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val="pt-PT" w:eastAsia="en-AU"/>
                <w14:ligatures w14:val="none"/>
              </w:rPr>
              <w:t xml:space="preserve">Gaber J, Oliver D, Valaitis R, et al. </w:t>
            </w: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Experiences of integrating community volunteers as extensions of the primary care team to help support older adults at home: a qualitative study. BMC Fam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Pract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2020; 21(1): 92.</w:t>
            </w:r>
          </w:p>
        </w:tc>
        <w:tc>
          <w:tcPr>
            <w:tcW w:w="1630" w:type="dxa"/>
          </w:tcPr>
          <w:p w14:paraId="63F21867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Not specified/ general</w:t>
            </w:r>
          </w:p>
        </w:tc>
        <w:tc>
          <w:tcPr>
            <w:tcW w:w="1799" w:type="dxa"/>
          </w:tcPr>
          <w:p w14:paraId="599F1111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Qualitative interviews/ focus groups/ thematic analysis</w:t>
            </w:r>
          </w:p>
        </w:tc>
        <w:tc>
          <w:tcPr>
            <w:tcW w:w="2693" w:type="dxa"/>
          </w:tcPr>
          <w:p w14:paraId="465E975C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Provides qualitative insights into implementation, acceptability and system-level enablers and barriers.</w:t>
            </w:r>
          </w:p>
        </w:tc>
        <w:tc>
          <w:tcPr>
            <w:tcW w:w="2213" w:type="dxa"/>
          </w:tcPr>
          <w:p w14:paraId="35E18AA0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Context-specific findings from purposive samples; Limited external validity</w:t>
            </w:r>
          </w:p>
        </w:tc>
      </w:tr>
      <w:tr w:rsidR="0047666A" w:rsidRPr="006A0F46" w14:paraId="498ED147" w14:textId="77777777" w:rsidTr="008C2B83">
        <w:trPr>
          <w:trHeight w:val="300"/>
        </w:trPr>
        <w:tc>
          <w:tcPr>
            <w:tcW w:w="562" w:type="dxa"/>
            <w:noWrap/>
            <w:vAlign w:val="center"/>
            <w:hideMark/>
          </w:tcPr>
          <w:p w14:paraId="34776671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22</w:t>
            </w:r>
          </w:p>
        </w:tc>
        <w:tc>
          <w:tcPr>
            <w:tcW w:w="6271" w:type="dxa"/>
            <w:vAlign w:val="center"/>
            <w:hideMark/>
          </w:tcPr>
          <w:p w14:paraId="63A1BC5D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Shalaby RAH, Agyapong VIO. Peer Support in Mental Health: Literature Review. JMIR Ment Health 2020; 7(6): e15572.</w:t>
            </w:r>
          </w:p>
        </w:tc>
        <w:tc>
          <w:tcPr>
            <w:tcW w:w="1630" w:type="dxa"/>
          </w:tcPr>
          <w:p w14:paraId="4EC42848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Not specified/ general</w:t>
            </w:r>
          </w:p>
        </w:tc>
        <w:tc>
          <w:tcPr>
            <w:tcW w:w="1799" w:type="dxa"/>
          </w:tcPr>
          <w:p w14:paraId="564A2C98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Narrative review/ program description</w:t>
            </w:r>
          </w:p>
        </w:tc>
        <w:tc>
          <w:tcPr>
            <w:tcW w:w="2693" w:type="dxa"/>
          </w:tcPr>
          <w:p w14:paraId="769DA645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Policy-oriented synthesis or perspective outlining priorities and frameworks for strengthening PHC or digital health.</w:t>
            </w:r>
          </w:p>
        </w:tc>
        <w:tc>
          <w:tcPr>
            <w:tcW w:w="2213" w:type="dxa"/>
          </w:tcPr>
          <w:p w14:paraId="1900AA37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limited due to data availability and context-specific factors.</w:t>
            </w:r>
          </w:p>
        </w:tc>
      </w:tr>
      <w:tr w:rsidR="0047666A" w:rsidRPr="006A0F46" w14:paraId="15E4D87A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06FF6DB5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23</w:t>
            </w:r>
          </w:p>
        </w:tc>
        <w:tc>
          <w:tcPr>
            <w:tcW w:w="6271" w:type="dxa"/>
            <w:vAlign w:val="center"/>
            <w:hideMark/>
          </w:tcPr>
          <w:p w14:paraId="10207539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val="pt-PT" w:eastAsia="en-AU"/>
                <w14:ligatures w14:val="none"/>
              </w:rPr>
              <w:t xml:space="preserve">Safary E, Mwandeti M, Matanje B, et al. </w:t>
            </w: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Role of community health volunteers in identifying people with elevated blood pressure for diagnosis and monitoring of hypertension in Malawi: a qualitative study. BMC Cardiovascular Disorders 2021; 21(1): 361.</w:t>
            </w:r>
          </w:p>
        </w:tc>
        <w:tc>
          <w:tcPr>
            <w:tcW w:w="1630" w:type="dxa"/>
          </w:tcPr>
          <w:p w14:paraId="483DD596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Malawi</w:t>
            </w:r>
          </w:p>
        </w:tc>
        <w:tc>
          <w:tcPr>
            <w:tcW w:w="1799" w:type="dxa"/>
          </w:tcPr>
          <w:p w14:paraId="0737B915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Qualitative interviews/ focus groups/ thematic analysis</w:t>
            </w:r>
          </w:p>
        </w:tc>
        <w:tc>
          <w:tcPr>
            <w:tcW w:w="2693" w:type="dxa"/>
          </w:tcPr>
          <w:p w14:paraId="7FC40915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Presents qualitative insights into implementation, acceptability and system-level enablers and barriers.</w:t>
            </w:r>
          </w:p>
        </w:tc>
        <w:tc>
          <w:tcPr>
            <w:tcW w:w="2213" w:type="dxa"/>
          </w:tcPr>
          <w:p w14:paraId="1E9D5C26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Context-specific findings from purposive samples; Limited external validity</w:t>
            </w:r>
          </w:p>
        </w:tc>
      </w:tr>
      <w:tr w:rsidR="0047666A" w:rsidRPr="006A0F46" w14:paraId="142B68EF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07517C6B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24</w:t>
            </w:r>
          </w:p>
        </w:tc>
        <w:tc>
          <w:tcPr>
            <w:tcW w:w="6271" w:type="dxa"/>
            <w:vAlign w:val="center"/>
            <w:hideMark/>
          </w:tcPr>
          <w:p w14:paraId="5C1EBBE8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Panday S, Bissell P, van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Teijlingen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E,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Simkhada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P. The contribution of female community health volunteers (FCHVs) to maternity care in Nepal: a qualitative study. BMC Health Services Research 2017; 17(1): 623.</w:t>
            </w:r>
          </w:p>
        </w:tc>
        <w:tc>
          <w:tcPr>
            <w:tcW w:w="1630" w:type="dxa"/>
          </w:tcPr>
          <w:p w14:paraId="221BA579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Nepal</w:t>
            </w:r>
          </w:p>
        </w:tc>
        <w:tc>
          <w:tcPr>
            <w:tcW w:w="1799" w:type="dxa"/>
          </w:tcPr>
          <w:p w14:paraId="19A7E5E8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Qualitative interviews/ focus groups/ thematic analysis</w:t>
            </w:r>
          </w:p>
        </w:tc>
        <w:tc>
          <w:tcPr>
            <w:tcW w:w="2693" w:type="dxa"/>
          </w:tcPr>
          <w:p w14:paraId="592BABAE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Illustrates qualitative details into implementation, acceptability and system-level enablers and barriers.</w:t>
            </w:r>
          </w:p>
        </w:tc>
        <w:tc>
          <w:tcPr>
            <w:tcW w:w="2213" w:type="dxa"/>
          </w:tcPr>
          <w:p w14:paraId="7B66071A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Context-specific findings from purposive samples; Limited external validity</w:t>
            </w:r>
          </w:p>
        </w:tc>
      </w:tr>
      <w:tr w:rsidR="0047666A" w:rsidRPr="006A0F46" w14:paraId="1EF511F2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60654F4C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25</w:t>
            </w:r>
          </w:p>
        </w:tc>
        <w:tc>
          <w:tcPr>
            <w:tcW w:w="6271" w:type="dxa"/>
            <w:vAlign w:val="center"/>
            <w:hideMark/>
          </w:tcPr>
          <w:p w14:paraId="299FF279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Ngilangwa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DP,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Mgomella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GS. Factors associated with retention of community health workers in maternal, newborn and child health programme in Simiyu Region, Tanzania. African Journal of Primary Health Care and Family Medicine 2018; 10(1): 1-8.</w:t>
            </w:r>
          </w:p>
        </w:tc>
        <w:tc>
          <w:tcPr>
            <w:tcW w:w="1630" w:type="dxa"/>
          </w:tcPr>
          <w:p w14:paraId="7825D9F4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Tanzania</w:t>
            </w:r>
          </w:p>
        </w:tc>
        <w:tc>
          <w:tcPr>
            <w:tcW w:w="1799" w:type="dxa"/>
          </w:tcPr>
          <w:p w14:paraId="5F276937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Narrative review/ program description</w:t>
            </w:r>
          </w:p>
        </w:tc>
        <w:tc>
          <w:tcPr>
            <w:tcW w:w="2693" w:type="dxa"/>
          </w:tcPr>
          <w:p w14:paraId="05FC3B53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Overview on community, health system or digital health approaches with implications for policy/practice.</w:t>
            </w:r>
          </w:p>
        </w:tc>
        <w:tc>
          <w:tcPr>
            <w:tcW w:w="2213" w:type="dxa"/>
          </w:tcPr>
          <w:p w14:paraId="387C988C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limited due to data availability and context-specific factors.</w:t>
            </w:r>
          </w:p>
        </w:tc>
      </w:tr>
      <w:tr w:rsidR="0047666A" w:rsidRPr="006A0F46" w14:paraId="0DBEBDB6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3ABE37A6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lastRenderedPageBreak/>
              <w:t>26</w:t>
            </w:r>
          </w:p>
        </w:tc>
        <w:tc>
          <w:tcPr>
            <w:tcW w:w="6271" w:type="dxa"/>
            <w:vAlign w:val="center"/>
            <w:hideMark/>
          </w:tcPr>
          <w:p w14:paraId="2E69A0C4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Olang’o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CO,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Nyamongo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IK, Aagaard-Hansen J. Staff attrition among community health workers in home-based care programmes for people living with HIV and AIDS in western Kenya. Health Policy 2010; 97(2-3): 232-7.</w:t>
            </w:r>
          </w:p>
        </w:tc>
        <w:tc>
          <w:tcPr>
            <w:tcW w:w="1630" w:type="dxa"/>
          </w:tcPr>
          <w:p w14:paraId="2549414B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Kenya</w:t>
            </w:r>
          </w:p>
        </w:tc>
        <w:tc>
          <w:tcPr>
            <w:tcW w:w="1799" w:type="dxa"/>
          </w:tcPr>
          <w:p w14:paraId="065A95AB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Historical/ policy/ commentary or case study</w:t>
            </w:r>
          </w:p>
        </w:tc>
        <w:tc>
          <w:tcPr>
            <w:tcW w:w="2693" w:type="dxa"/>
          </w:tcPr>
          <w:p w14:paraId="5C2C762B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 xml:space="preserve">Policy-oriented synthesis or perspective outlining priorities and frameworks for strengthening PHC or digital health. </w:t>
            </w:r>
          </w:p>
        </w:tc>
        <w:tc>
          <w:tcPr>
            <w:tcW w:w="2213" w:type="dxa"/>
          </w:tcPr>
          <w:p w14:paraId="30BE408A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Not primary empirical research; limited quantitative effect estimates.</w:t>
            </w:r>
          </w:p>
        </w:tc>
      </w:tr>
      <w:tr w:rsidR="0047666A" w:rsidRPr="006A0F46" w14:paraId="0C68E15F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69809ED8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27</w:t>
            </w:r>
          </w:p>
        </w:tc>
        <w:tc>
          <w:tcPr>
            <w:tcW w:w="6271" w:type="dxa"/>
            <w:vAlign w:val="center"/>
            <w:hideMark/>
          </w:tcPr>
          <w:p w14:paraId="065AB95C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Willis-Shattuck M, Bidwell P, Thomas S, Wyness L, Blaauw D,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Ditlopo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P. Motivation and retention of health workers in developing countries: a systematic review. BMC health services research 2008; 8: 1-8.</w:t>
            </w:r>
          </w:p>
        </w:tc>
        <w:tc>
          <w:tcPr>
            <w:tcW w:w="1630" w:type="dxa"/>
          </w:tcPr>
          <w:p w14:paraId="6185BFAF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Global/ Multiple regions</w:t>
            </w:r>
          </w:p>
        </w:tc>
        <w:tc>
          <w:tcPr>
            <w:tcW w:w="1799" w:type="dxa"/>
          </w:tcPr>
          <w:p w14:paraId="63177E6E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Systematic/ scoping review or meta-analysis</w:t>
            </w:r>
          </w:p>
        </w:tc>
        <w:tc>
          <w:tcPr>
            <w:tcW w:w="2693" w:type="dxa"/>
          </w:tcPr>
          <w:p w14:paraId="175A2458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Synthesizes evidence showing community or digital interventions impact access/quality; key enablers and barriers identified.</w:t>
            </w:r>
          </w:p>
        </w:tc>
        <w:tc>
          <w:tcPr>
            <w:tcW w:w="2213" w:type="dxa"/>
          </w:tcPr>
          <w:p w14:paraId="78310A66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Study variability and risk of publication bias</w:t>
            </w:r>
          </w:p>
        </w:tc>
      </w:tr>
      <w:tr w:rsidR="0047666A" w:rsidRPr="006A0F46" w14:paraId="3C70BE54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2E9AA5CC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28</w:t>
            </w:r>
          </w:p>
        </w:tc>
        <w:tc>
          <w:tcPr>
            <w:tcW w:w="6271" w:type="dxa"/>
            <w:vAlign w:val="center"/>
            <w:hideMark/>
          </w:tcPr>
          <w:p w14:paraId="7DD743FE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Rössler W,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Riecher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-Rössler A, Meise U. Wilhelm Griesinger and the concept of community care in 19th-century Germany. Psychiatric Services 1994; 45(8): 818-22.</w:t>
            </w:r>
          </w:p>
        </w:tc>
        <w:tc>
          <w:tcPr>
            <w:tcW w:w="1630" w:type="dxa"/>
          </w:tcPr>
          <w:p w14:paraId="46587304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Not specified/ general</w:t>
            </w:r>
          </w:p>
        </w:tc>
        <w:tc>
          <w:tcPr>
            <w:tcW w:w="1799" w:type="dxa"/>
          </w:tcPr>
          <w:p w14:paraId="4A413127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Narrative review/ program description</w:t>
            </w:r>
          </w:p>
        </w:tc>
        <w:tc>
          <w:tcPr>
            <w:tcW w:w="2693" w:type="dxa"/>
          </w:tcPr>
          <w:p w14:paraId="420770B2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Summarizes community, health system or digital health approaches with implications for policy/practice.</w:t>
            </w:r>
          </w:p>
        </w:tc>
        <w:tc>
          <w:tcPr>
            <w:tcW w:w="2213" w:type="dxa"/>
          </w:tcPr>
          <w:p w14:paraId="327B3A1A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may be limited by data availability and context-specific factors.</w:t>
            </w:r>
          </w:p>
        </w:tc>
      </w:tr>
      <w:tr w:rsidR="0047666A" w:rsidRPr="006A0F46" w14:paraId="46CBD9B8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4C426FE9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29</w:t>
            </w:r>
          </w:p>
        </w:tc>
        <w:tc>
          <w:tcPr>
            <w:tcW w:w="6271" w:type="dxa"/>
            <w:vAlign w:val="center"/>
            <w:hideMark/>
          </w:tcPr>
          <w:p w14:paraId="2BCC1DDB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DANIŞ MZ. Community based care understanding and social services: A care model proposal from Turkey. Turkish Journal of Geriatrics 2008; 11(2).</w:t>
            </w:r>
          </w:p>
        </w:tc>
        <w:tc>
          <w:tcPr>
            <w:tcW w:w="1630" w:type="dxa"/>
          </w:tcPr>
          <w:p w14:paraId="50A216BA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Not specified/ general</w:t>
            </w:r>
          </w:p>
        </w:tc>
        <w:tc>
          <w:tcPr>
            <w:tcW w:w="1799" w:type="dxa"/>
          </w:tcPr>
          <w:p w14:paraId="754EB1F0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Narrative review/ program description</w:t>
            </w:r>
          </w:p>
        </w:tc>
        <w:tc>
          <w:tcPr>
            <w:tcW w:w="2693" w:type="dxa"/>
          </w:tcPr>
          <w:p w14:paraId="670D3241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Summarizes community, health system or digital health approaches with implications for policy/practice.</w:t>
            </w:r>
          </w:p>
        </w:tc>
        <w:tc>
          <w:tcPr>
            <w:tcW w:w="2213" w:type="dxa"/>
          </w:tcPr>
          <w:p w14:paraId="004DE160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may be limited by data availability and context-specific factors.</w:t>
            </w:r>
          </w:p>
        </w:tc>
      </w:tr>
      <w:tr w:rsidR="0047666A" w:rsidRPr="006A0F46" w14:paraId="505A9C62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156C4A61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30</w:t>
            </w:r>
          </w:p>
        </w:tc>
        <w:tc>
          <w:tcPr>
            <w:tcW w:w="6271" w:type="dxa"/>
            <w:vAlign w:val="center"/>
            <w:hideMark/>
          </w:tcPr>
          <w:p w14:paraId="766E27A1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Longlett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SK, Kruse JE, Wesley R. Community-oriented primary care: historical perspective. The Journal of the American Board of Family Practice 2001; 14(1): 54-63.</w:t>
            </w:r>
          </w:p>
        </w:tc>
        <w:tc>
          <w:tcPr>
            <w:tcW w:w="1630" w:type="dxa"/>
          </w:tcPr>
          <w:p w14:paraId="7AF334C2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Americas</w:t>
            </w:r>
          </w:p>
        </w:tc>
        <w:tc>
          <w:tcPr>
            <w:tcW w:w="1799" w:type="dxa"/>
          </w:tcPr>
          <w:p w14:paraId="5F3BFE9F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Historical/ policy/ commentary or case study</w:t>
            </w:r>
          </w:p>
        </w:tc>
        <w:tc>
          <w:tcPr>
            <w:tcW w:w="2693" w:type="dxa"/>
          </w:tcPr>
          <w:p w14:paraId="1BA3F540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Policy-oriented synthesis or perspective outlining priorities and frameworks for strengthening PHC or digital health.</w:t>
            </w:r>
          </w:p>
        </w:tc>
        <w:tc>
          <w:tcPr>
            <w:tcW w:w="2213" w:type="dxa"/>
          </w:tcPr>
          <w:p w14:paraId="7C0469C5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 xml:space="preserve">Not based on primary data, limited quantitative effect estimates </w:t>
            </w:r>
          </w:p>
        </w:tc>
      </w:tr>
      <w:tr w:rsidR="0047666A" w:rsidRPr="006A0F46" w14:paraId="0AE8E95C" w14:textId="77777777" w:rsidTr="008C2B83">
        <w:trPr>
          <w:trHeight w:val="300"/>
        </w:trPr>
        <w:tc>
          <w:tcPr>
            <w:tcW w:w="562" w:type="dxa"/>
            <w:noWrap/>
            <w:vAlign w:val="center"/>
            <w:hideMark/>
          </w:tcPr>
          <w:p w14:paraId="3F2E3225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lastRenderedPageBreak/>
              <w:t>31</w:t>
            </w:r>
          </w:p>
        </w:tc>
        <w:tc>
          <w:tcPr>
            <w:tcW w:w="6271" w:type="dxa"/>
            <w:vAlign w:val="center"/>
            <w:hideMark/>
          </w:tcPr>
          <w:p w14:paraId="6A468769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Tollman S. Community oriented primary care: Origins, evolution, applications. Social Science &amp; Medicine 1991; 32(6): 633-42.</w:t>
            </w:r>
          </w:p>
        </w:tc>
        <w:tc>
          <w:tcPr>
            <w:tcW w:w="1630" w:type="dxa"/>
          </w:tcPr>
          <w:p w14:paraId="2EC5BC69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Not specified/ general</w:t>
            </w:r>
          </w:p>
        </w:tc>
        <w:tc>
          <w:tcPr>
            <w:tcW w:w="1799" w:type="dxa"/>
          </w:tcPr>
          <w:p w14:paraId="72D9C5E2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Narrative review/ program description</w:t>
            </w:r>
          </w:p>
        </w:tc>
        <w:tc>
          <w:tcPr>
            <w:tcW w:w="2693" w:type="dxa"/>
          </w:tcPr>
          <w:p w14:paraId="278962B8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Summarizes community, health system or digital health approaches with implications for policy/ practice.</w:t>
            </w:r>
          </w:p>
        </w:tc>
        <w:tc>
          <w:tcPr>
            <w:tcW w:w="2213" w:type="dxa"/>
          </w:tcPr>
          <w:p w14:paraId="5C9CEACF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could be limited due data availability and context-specific factors.</w:t>
            </w:r>
          </w:p>
        </w:tc>
      </w:tr>
      <w:tr w:rsidR="0047666A" w:rsidRPr="006A0F46" w14:paraId="4748B3B1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244D1FF4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32</w:t>
            </w:r>
          </w:p>
        </w:tc>
        <w:tc>
          <w:tcPr>
            <w:tcW w:w="6271" w:type="dxa"/>
            <w:vAlign w:val="center"/>
            <w:hideMark/>
          </w:tcPr>
          <w:p w14:paraId="3DCF8997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Organization WH. Declaration of Alma-Ata International Conference on Primary Health Care, Alma-Ata. Available online at https://www.who.int/docs/default-source/documents/almaata-declaration-en.pdf (assessed on 8th March 2025). 1979.</w:t>
            </w:r>
          </w:p>
        </w:tc>
        <w:tc>
          <w:tcPr>
            <w:tcW w:w="1630" w:type="dxa"/>
          </w:tcPr>
          <w:p w14:paraId="5DDE374D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Global/ Multiple regions</w:t>
            </w:r>
          </w:p>
        </w:tc>
        <w:tc>
          <w:tcPr>
            <w:tcW w:w="1799" w:type="dxa"/>
          </w:tcPr>
          <w:p w14:paraId="30FC6FD2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Historical/ policy/ commentary or case study</w:t>
            </w:r>
          </w:p>
        </w:tc>
        <w:tc>
          <w:tcPr>
            <w:tcW w:w="2693" w:type="dxa"/>
          </w:tcPr>
          <w:p w14:paraId="5F5AA5E0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Policy-oriented synthesis or perspective outlining priorities and frameworks for strengthening PHC or digital health.</w:t>
            </w:r>
          </w:p>
        </w:tc>
        <w:tc>
          <w:tcPr>
            <w:tcW w:w="2213" w:type="dxa"/>
          </w:tcPr>
          <w:p w14:paraId="339A735E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Derived from secondary sources; lacks robust effect estimates</w:t>
            </w:r>
          </w:p>
        </w:tc>
      </w:tr>
      <w:tr w:rsidR="0047666A" w:rsidRPr="006A0F46" w14:paraId="5F6608DF" w14:textId="77777777" w:rsidTr="008C2B83">
        <w:trPr>
          <w:trHeight w:val="300"/>
        </w:trPr>
        <w:tc>
          <w:tcPr>
            <w:tcW w:w="562" w:type="dxa"/>
            <w:noWrap/>
            <w:vAlign w:val="center"/>
            <w:hideMark/>
          </w:tcPr>
          <w:p w14:paraId="4B225F46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33</w:t>
            </w:r>
          </w:p>
        </w:tc>
        <w:tc>
          <w:tcPr>
            <w:tcW w:w="6271" w:type="dxa"/>
            <w:vAlign w:val="center"/>
            <w:hideMark/>
          </w:tcPr>
          <w:p w14:paraId="00ADCF55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Liu Y. The Impact of Early Childhood Access to Community Health Workers: Evidence from China’s Barefoot Doctors. 2021.</w:t>
            </w:r>
          </w:p>
        </w:tc>
        <w:tc>
          <w:tcPr>
            <w:tcW w:w="1630" w:type="dxa"/>
          </w:tcPr>
          <w:p w14:paraId="26F7AD9F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China</w:t>
            </w:r>
          </w:p>
        </w:tc>
        <w:tc>
          <w:tcPr>
            <w:tcW w:w="1799" w:type="dxa"/>
          </w:tcPr>
          <w:p w14:paraId="06CC7A05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Narrative review/ program description</w:t>
            </w:r>
          </w:p>
        </w:tc>
        <w:tc>
          <w:tcPr>
            <w:tcW w:w="2693" w:type="dxa"/>
          </w:tcPr>
          <w:p w14:paraId="6D71B4D8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Historical or program narrative illustrating foundational community health models and their legacy.</w:t>
            </w:r>
          </w:p>
        </w:tc>
        <w:tc>
          <w:tcPr>
            <w:tcW w:w="2213" w:type="dxa"/>
          </w:tcPr>
          <w:p w14:paraId="3E33AC4E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could be limited due data availability and context-specific factors.</w:t>
            </w:r>
          </w:p>
        </w:tc>
      </w:tr>
      <w:tr w:rsidR="0047666A" w:rsidRPr="006A0F46" w14:paraId="02EAE355" w14:textId="77777777" w:rsidTr="008C2B83">
        <w:trPr>
          <w:trHeight w:val="300"/>
        </w:trPr>
        <w:tc>
          <w:tcPr>
            <w:tcW w:w="562" w:type="dxa"/>
            <w:noWrap/>
            <w:vAlign w:val="center"/>
            <w:hideMark/>
          </w:tcPr>
          <w:p w14:paraId="686F395D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34</w:t>
            </w:r>
          </w:p>
        </w:tc>
        <w:tc>
          <w:tcPr>
            <w:tcW w:w="6271" w:type="dxa"/>
            <w:vAlign w:val="center"/>
            <w:hideMark/>
          </w:tcPr>
          <w:p w14:paraId="0DF88346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Bhattacharya J. WHO and its transformation–A journey from 1978 to 2024.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Medknow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; 2024. p. 1589-93.</w:t>
            </w:r>
          </w:p>
        </w:tc>
        <w:tc>
          <w:tcPr>
            <w:tcW w:w="1630" w:type="dxa"/>
          </w:tcPr>
          <w:p w14:paraId="11D0C9C8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Global/ Multiple regions</w:t>
            </w:r>
          </w:p>
        </w:tc>
        <w:tc>
          <w:tcPr>
            <w:tcW w:w="1799" w:type="dxa"/>
          </w:tcPr>
          <w:p w14:paraId="11D9BDB9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Narrative review/ program description</w:t>
            </w:r>
          </w:p>
        </w:tc>
        <w:tc>
          <w:tcPr>
            <w:tcW w:w="2693" w:type="dxa"/>
          </w:tcPr>
          <w:p w14:paraId="6950214B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Policy-oriented synthesis or perspective outlining priorities and frameworks for strengthening PHC or digital health.</w:t>
            </w:r>
          </w:p>
        </w:tc>
        <w:tc>
          <w:tcPr>
            <w:tcW w:w="2213" w:type="dxa"/>
          </w:tcPr>
          <w:p w14:paraId="421A3833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could be limited due data availability and context-specific factors.</w:t>
            </w:r>
          </w:p>
        </w:tc>
      </w:tr>
      <w:tr w:rsidR="0047666A" w:rsidRPr="006A0F46" w14:paraId="26C42E1A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081FEF73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35</w:t>
            </w:r>
          </w:p>
        </w:tc>
        <w:tc>
          <w:tcPr>
            <w:tcW w:w="6271" w:type="dxa"/>
            <w:vAlign w:val="center"/>
            <w:hideMark/>
          </w:tcPr>
          <w:p w14:paraId="4C31D1C4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Laurell AC. What does Latin American social medicine do when it governs? The case of the Mexico City government. American Journal of Public Health 2003; 93(12): 2028-31.</w:t>
            </w:r>
          </w:p>
        </w:tc>
        <w:tc>
          <w:tcPr>
            <w:tcW w:w="1630" w:type="dxa"/>
          </w:tcPr>
          <w:p w14:paraId="2E492582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Mexico</w:t>
            </w:r>
          </w:p>
        </w:tc>
        <w:tc>
          <w:tcPr>
            <w:tcW w:w="1799" w:type="dxa"/>
          </w:tcPr>
          <w:p w14:paraId="4730CA90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Narrative review/ program description</w:t>
            </w:r>
          </w:p>
        </w:tc>
        <w:tc>
          <w:tcPr>
            <w:tcW w:w="2693" w:type="dxa"/>
          </w:tcPr>
          <w:p w14:paraId="35D7C417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Summarizes community, health system or digital health approaches with implications for policy/ practice.</w:t>
            </w:r>
          </w:p>
        </w:tc>
        <w:tc>
          <w:tcPr>
            <w:tcW w:w="2213" w:type="dxa"/>
          </w:tcPr>
          <w:p w14:paraId="318A6EAA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could be limited due data availability and context-specific factors.</w:t>
            </w:r>
          </w:p>
        </w:tc>
      </w:tr>
      <w:tr w:rsidR="0047666A" w:rsidRPr="006A0F46" w14:paraId="5013D774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4F2953B7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36</w:t>
            </w:r>
          </w:p>
        </w:tc>
        <w:tc>
          <w:tcPr>
            <w:tcW w:w="6271" w:type="dxa"/>
            <w:vAlign w:val="center"/>
            <w:hideMark/>
          </w:tcPr>
          <w:p w14:paraId="7F7D7D20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Khatri RB, Mishra SR, Khanal V. Female Community Health Volunteers in Community-Based Health Programs of Nepal: Future Perspective. Front Public Health 2017; 5: 181.</w:t>
            </w:r>
          </w:p>
        </w:tc>
        <w:tc>
          <w:tcPr>
            <w:tcW w:w="1630" w:type="dxa"/>
          </w:tcPr>
          <w:p w14:paraId="0C36392D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Nepal</w:t>
            </w:r>
          </w:p>
        </w:tc>
        <w:tc>
          <w:tcPr>
            <w:tcW w:w="1799" w:type="dxa"/>
          </w:tcPr>
          <w:p w14:paraId="173C3344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 xml:space="preserve">Historical/ policy/ </w:t>
            </w:r>
            <w:r w:rsidRPr="006A0F46">
              <w:rPr>
                <w:rFonts w:cs="Calibri"/>
                <w:color w:val="000000" w:themeColor="text1"/>
                <w:sz w:val="24"/>
              </w:rPr>
              <w:lastRenderedPageBreak/>
              <w:t>commentary or case study</w:t>
            </w:r>
          </w:p>
        </w:tc>
        <w:tc>
          <w:tcPr>
            <w:tcW w:w="2693" w:type="dxa"/>
          </w:tcPr>
          <w:p w14:paraId="7B8768DA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lastRenderedPageBreak/>
              <w:t xml:space="preserve">Policy-oriented synthesis or perspective outlining priorities and </w:t>
            </w:r>
            <w:r w:rsidRPr="006A0F46">
              <w:rPr>
                <w:rFonts w:cs="Calibri"/>
                <w:color w:val="000000" w:themeColor="text1"/>
                <w:sz w:val="24"/>
              </w:rPr>
              <w:lastRenderedPageBreak/>
              <w:t>frameworks for strengthening PHC or digital health.</w:t>
            </w:r>
          </w:p>
        </w:tc>
        <w:tc>
          <w:tcPr>
            <w:tcW w:w="2213" w:type="dxa"/>
          </w:tcPr>
          <w:p w14:paraId="14CE7965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lastRenderedPageBreak/>
              <w:t xml:space="preserve">Findings could be limited due data availability and </w:t>
            </w:r>
            <w:r w:rsidRPr="006A0F46">
              <w:rPr>
                <w:rFonts w:cs="Calibri"/>
                <w:color w:val="000000" w:themeColor="text1"/>
                <w:sz w:val="24"/>
              </w:rPr>
              <w:lastRenderedPageBreak/>
              <w:t>context-specific factors.</w:t>
            </w:r>
          </w:p>
        </w:tc>
      </w:tr>
      <w:tr w:rsidR="0047666A" w:rsidRPr="006A0F46" w14:paraId="04134E5E" w14:textId="77777777" w:rsidTr="008C2B83">
        <w:trPr>
          <w:trHeight w:val="900"/>
        </w:trPr>
        <w:tc>
          <w:tcPr>
            <w:tcW w:w="562" w:type="dxa"/>
            <w:noWrap/>
            <w:vAlign w:val="center"/>
            <w:hideMark/>
          </w:tcPr>
          <w:p w14:paraId="243D6D16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lastRenderedPageBreak/>
              <w:t>37</w:t>
            </w:r>
          </w:p>
        </w:tc>
        <w:tc>
          <w:tcPr>
            <w:tcW w:w="6271" w:type="dxa"/>
            <w:vAlign w:val="center"/>
            <w:hideMark/>
          </w:tcPr>
          <w:p w14:paraId="638EA6B4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Organization WH. What do we know about community health workers? A systematic review of existing reviews; https://www.who.int/publications/i/item/what-do-we-know-about-community-health-workers-a-systematic-review-of-existing-reviews; assessed 6/11/2025, 2021.</w:t>
            </w:r>
          </w:p>
        </w:tc>
        <w:tc>
          <w:tcPr>
            <w:tcW w:w="1630" w:type="dxa"/>
          </w:tcPr>
          <w:p w14:paraId="729E2CB1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Global/ Multiple regions</w:t>
            </w:r>
          </w:p>
        </w:tc>
        <w:tc>
          <w:tcPr>
            <w:tcW w:w="1799" w:type="dxa"/>
          </w:tcPr>
          <w:p w14:paraId="39257252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Systematic/ scoping review or meta-analysis</w:t>
            </w:r>
          </w:p>
        </w:tc>
        <w:tc>
          <w:tcPr>
            <w:tcW w:w="2693" w:type="dxa"/>
          </w:tcPr>
          <w:p w14:paraId="6C9F7C8B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Synthesizes evidence showing community or digital interventions impact access/ quality; key enablers and barriers identified.</w:t>
            </w:r>
          </w:p>
        </w:tc>
        <w:tc>
          <w:tcPr>
            <w:tcW w:w="2213" w:type="dxa"/>
          </w:tcPr>
          <w:p w14:paraId="3D79C8A6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Limited comparability of studies; possible reporting bias</w:t>
            </w:r>
          </w:p>
        </w:tc>
      </w:tr>
      <w:tr w:rsidR="0047666A" w:rsidRPr="006A0F46" w14:paraId="48C7291C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73B21941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38</w:t>
            </w:r>
          </w:p>
        </w:tc>
        <w:tc>
          <w:tcPr>
            <w:tcW w:w="6271" w:type="dxa"/>
            <w:vAlign w:val="center"/>
            <w:hideMark/>
          </w:tcPr>
          <w:p w14:paraId="127FB9CB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Early J, Gonzalez C, Gordon-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Dseagu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V, Robles-Calderon L. Use of mobile health (mHealth) technologies and interventions among community health workers globally: a scoping review. Health promotion practice 2019; 20(6): 805-17.</w:t>
            </w:r>
          </w:p>
        </w:tc>
        <w:tc>
          <w:tcPr>
            <w:tcW w:w="1630" w:type="dxa"/>
          </w:tcPr>
          <w:p w14:paraId="490758DE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Global</w:t>
            </w:r>
          </w:p>
        </w:tc>
        <w:tc>
          <w:tcPr>
            <w:tcW w:w="1799" w:type="dxa"/>
          </w:tcPr>
          <w:p w14:paraId="39E9185D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Systematic/ scoping review or meta-analysis</w:t>
            </w:r>
          </w:p>
        </w:tc>
        <w:tc>
          <w:tcPr>
            <w:tcW w:w="2693" w:type="dxa"/>
          </w:tcPr>
          <w:p w14:paraId="3E5867D9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Synthesizes evidence showing community or digital interventions impact access/quality; key enablers and barriers identified.</w:t>
            </w:r>
          </w:p>
        </w:tc>
        <w:tc>
          <w:tcPr>
            <w:tcW w:w="2213" w:type="dxa"/>
          </w:tcPr>
          <w:p w14:paraId="6094D549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could be limited due data availability and context-specific factors.</w:t>
            </w:r>
          </w:p>
        </w:tc>
      </w:tr>
      <w:tr w:rsidR="0047666A" w:rsidRPr="006A0F46" w14:paraId="66D1DC42" w14:textId="77777777" w:rsidTr="008C2B83">
        <w:trPr>
          <w:trHeight w:val="900"/>
        </w:trPr>
        <w:tc>
          <w:tcPr>
            <w:tcW w:w="562" w:type="dxa"/>
            <w:noWrap/>
            <w:vAlign w:val="center"/>
            <w:hideMark/>
          </w:tcPr>
          <w:p w14:paraId="1B80FDFA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39</w:t>
            </w:r>
          </w:p>
        </w:tc>
        <w:tc>
          <w:tcPr>
            <w:tcW w:w="6271" w:type="dxa"/>
            <w:vAlign w:val="center"/>
            <w:hideMark/>
          </w:tcPr>
          <w:p w14:paraId="3E9C1B64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Rodrigues SM,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Kanduri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A,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Nyamathi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A, Dutt N, Khargonekar P, Rahmani AM. Digital health–enabled community-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centered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care: scalable model to empower future community health workers using human-in-the-loop artificial intelligence. JMIR formative research 2022; 6(4): e29535.</w:t>
            </w:r>
          </w:p>
        </w:tc>
        <w:tc>
          <w:tcPr>
            <w:tcW w:w="1630" w:type="dxa"/>
          </w:tcPr>
          <w:p w14:paraId="05D38E51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Not specified/ general</w:t>
            </w:r>
          </w:p>
        </w:tc>
        <w:tc>
          <w:tcPr>
            <w:tcW w:w="1799" w:type="dxa"/>
          </w:tcPr>
          <w:p w14:paraId="20077BBD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Narrative review/ program description</w:t>
            </w:r>
          </w:p>
        </w:tc>
        <w:tc>
          <w:tcPr>
            <w:tcW w:w="2693" w:type="dxa"/>
          </w:tcPr>
          <w:p w14:paraId="5A22D1FB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Summarizes community, health system or digital health approaches with implications for policy/ practice.</w:t>
            </w:r>
          </w:p>
        </w:tc>
        <w:tc>
          <w:tcPr>
            <w:tcW w:w="2213" w:type="dxa"/>
          </w:tcPr>
          <w:p w14:paraId="04DE7F9A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could be limited due data availability and context-specific factors.</w:t>
            </w:r>
          </w:p>
        </w:tc>
      </w:tr>
      <w:tr w:rsidR="0047666A" w:rsidRPr="006A0F46" w14:paraId="27ED11CD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1BFBBB5A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40</w:t>
            </w:r>
          </w:p>
        </w:tc>
        <w:tc>
          <w:tcPr>
            <w:tcW w:w="6271" w:type="dxa"/>
            <w:vAlign w:val="center"/>
            <w:hideMark/>
          </w:tcPr>
          <w:p w14:paraId="234F2A56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Aziato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L,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Omenyo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CN. Initiation of traditional birth attendants and their traditional and spiritual practices during pregnancy and childbirth in Ghana. BMC Pregnancy Childbirth 2018; 18(1): 64.</w:t>
            </w:r>
          </w:p>
        </w:tc>
        <w:tc>
          <w:tcPr>
            <w:tcW w:w="1630" w:type="dxa"/>
          </w:tcPr>
          <w:p w14:paraId="2F17F963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Ghana</w:t>
            </w:r>
          </w:p>
        </w:tc>
        <w:tc>
          <w:tcPr>
            <w:tcW w:w="1799" w:type="dxa"/>
          </w:tcPr>
          <w:p w14:paraId="45C72421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Narrative review/ program description</w:t>
            </w:r>
          </w:p>
        </w:tc>
        <w:tc>
          <w:tcPr>
            <w:tcW w:w="2693" w:type="dxa"/>
          </w:tcPr>
          <w:p w14:paraId="03C1E5AD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Summarizes community, health system or digital health approaches with implications for policy/practice.</w:t>
            </w:r>
          </w:p>
        </w:tc>
        <w:tc>
          <w:tcPr>
            <w:tcW w:w="2213" w:type="dxa"/>
          </w:tcPr>
          <w:p w14:paraId="4094CF9A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could be limited due data availability and context-specific factors.</w:t>
            </w:r>
          </w:p>
        </w:tc>
      </w:tr>
      <w:tr w:rsidR="0047666A" w:rsidRPr="006A0F46" w14:paraId="3EC2CC46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4CD0AA8E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41</w:t>
            </w:r>
          </w:p>
        </w:tc>
        <w:tc>
          <w:tcPr>
            <w:tcW w:w="6271" w:type="dxa"/>
            <w:vAlign w:val="center"/>
            <w:hideMark/>
          </w:tcPr>
          <w:p w14:paraId="7C2BF58E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Birhan W,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Giday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M,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Teklehaymanot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T. The contribution of traditional healers' clinics to public health care system in Addis Ababa, Ethiopia: a cross-sectional study. Journal of Ethnobiology and Ethnomedicine 2011; 7(1): 39.</w:t>
            </w:r>
          </w:p>
        </w:tc>
        <w:tc>
          <w:tcPr>
            <w:tcW w:w="1630" w:type="dxa"/>
          </w:tcPr>
          <w:p w14:paraId="3D783EF9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Ethiopia</w:t>
            </w:r>
          </w:p>
        </w:tc>
        <w:tc>
          <w:tcPr>
            <w:tcW w:w="1799" w:type="dxa"/>
          </w:tcPr>
          <w:p w14:paraId="4914AFFF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Cross-sectional survey/ secondary data analysis</w:t>
            </w:r>
          </w:p>
        </w:tc>
        <w:tc>
          <w:tcPr>
            <w:tcW w:w="2693" w:type="dxa"/>
          </w:tcPr>
          <w:p w14:paraId="39B0A5CD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Summarizes community, health system or digital health approaches with implications for policy/ practice.</w:t>
            </w:r>
          </w:p>
        </w:tc>
        <w:tc>
          <w:tcPr>
            <w:tcW w:w="2213" w:type="dxa"/>
          </w:tcPr>
          <w:p w14:paraId="48D56CFC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Cross-sectional design limits causal inference; potential of reporting bias.</w:t>
            </w:r>
          </w:p>
        </w:tc>
      </w:tr>
      <w:tr w:rsidR="0047666A" w:rsidRPr="006A0F46" w14:paraId="5DCA5A22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52237345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lastRenderedPageBreak/>
              <w:t>42</w:t>
            </w:r>
          </w:p>
        </w:tc>
        <w:tc>
          <w:tcPr>
            <w:tcW w:w="6271" w:type="dxa"/>
            <w:vAlign w:val="center"/>
            <w:hideMark/>
          </w:tcPr>
          <w:p w14:paraId="3509EFBD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Subedi B. Whose knowledge counts? Indigenous traditional healers and health knowledge in contemporary Nepal. Dhaulagiri Journal of Sociology and Anthropology 2022; 16: 59-69.</w:t>
            </w:r>
          </w:p>
        </w:tc>
        <w:tc>
          <w:tcPr>
            <w:tcW w:w="1630" w:type="dxa"/>
          </w:tcPr>
          <w:p w14:paraId="593EFF0C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Nepal</w:t>
            </w:r>
          </w:p>
        </w:tc>
        <w:tc>
          <w:tcPr>
            <w:tcW w:w="1799" w:type="dxa"/>
          </w:tcPr>
          <w:p w14:paraId="60CB63F2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Narrative review/ program description</w:t>
            </w:r>
          </w:p>
        </w:tc>
        <w:tc>
          <w:tcPr>
            <w:tcW w:w="2693" w:type="dxa"/>
          </w:tcPr>
          <w:p w14:paraId="75C62D07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Policy-oriented synthesis or perspective outlining priorities and frameworks for strengthening PHC or digital health.</w:t>
            </w:r>
          </w:p>
        </w:tc>
        <w:tc>
          <w:tcPr>
            <w:tcW w:w="2213" w:type="dxa"/>
          </w:tcPr>
          <w:p w14:paraId="4EBA57E2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could be limited due data availability and context-specific factors.</w:t>
            </w:r>
          </w:p>
        </w:tc>
      </w:tr>
      <w:tr w:rsidR="0047666A" w:rsidRPr="006A0F46" w14:paraId="328232DF" w14:textId="77777777" w:rsidTr="008C2B83">
        <w:trPr>
          <w:trHeight w:val="900"/>
        </w:trPr>
        <w:tc>
          <w:tcPr>
            <w:tcW w:w="562" w:type="dxa"/>
            <w:noWrap/>
            <w:vAlign w:val="center"/>
            <w:hideMark/>
          </w:tcPr>
          <w:p w14:paraId="36F0ACCF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43</w:t>
            </w:r>
          </w:p>
        </w:tc>
        <w:tc>
          <w:tcPr>
            <w:tcW w:w="6271" w:type="dxa"/>
            <w:vAlign w:val="center"/>
            <w:hideMark/>
          </w:tcPr>
          <w:p w14:paraId="4A224E9A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Lyngdoh JP. Contribution of Traditional Medicine Toward Primary Health Care in Meghalaya. In: Kaushik A,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Suchiang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A, eds. Narratives and New Voices from India: Cases of Community Development for Social Change. Singapore: Springer Nature Singapore; 2022: 203-14.</w:t>
            </w:r>
          </w:p>
        </w:tc>
        <w:tc>
          <w:tcPr>
            <w:tcW w:w="1630" w:type="dxa"/>
          </w:tcPr>
          <w:p w14:paraId="212E35C6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India</w:t>
            </w:r>
          </w:p>
        </w:tc>
        <w:tc>
          <w:tcPr>
            <w:tcW w:w="1799" w:type="dxa"/>
          </w:tcPr>
          <w:p w14:paraId="04D1BFE1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Historical/ policy/ commentary or case study</w:t>
            </w:r>
          </w:p>
        </w:tc>
        <w:tc>
          <w:tcPr>
            <w:tcW w:w="2693" w:type="dxa"/>
          </w:tcPr>
          <w:p w14:paraId="7DBAD122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Summarizes community, health system or digital health approaches with implications for policy/ practice.</w:t>
            </w:r>
          </w:p>
        </w:tc>
        <w:tc>
          <w:tcPr>
            <w:tcW w:w="2213" w:type="dxa"/>
          </w:tcPr>
          <w:p w14:paraId="02F6009D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could be limited due data availability and context-specific factors.</w:t>
            </w:r>
          </w:p>
        </w:tc>
      </w:tr>
      <w:tr w:rsidR="0047666A" w:rsidRPr="006A0F46" w14:paraId="5590BD46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47E65275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44</w:t>
            </w:r>
          </w:p>
        </w:tc>
        <w:tc>
          <w:tcPr>
            <w:tcW w:w="6271" w:type="dxa"/>
            <w:vAlign w:val="center"/>
            <w:hideMark/>
          </w:tcPr>
          <w:p w14:paraId="69F61AE2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Subedi B. Perspective Chapter: Integrating Traditional Healers into the National Health Care System – A Review and Reflection. In: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Rusangwa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C, ed. Rural Health - Investment, Research and Implications. Rijeka: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IntechOpen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; 2023.</w:t>
            </w:r>
          </w:p>
        </w:tc>
        <w:tc>
          <w:tcPr>
            <w:tcW w:w="1630" w:type="dxa"/>
          </w:tcPr>
          <w:p w14:paraId="21723BC7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United States</w:t>
            </w:r>
          </w:p>
        </w:tc>
        <w:tc>
          <w:tcPr>
            <w:tcW w:w="1799" w:type="dxa"/>
          </w:tcPr>
          <w:p w14:paraId="366BF572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Historical/ policy/ commentary or case study</w:t>
            </w:r>
          </w:p>
        </w:tc>
        <w:tc>
          <w:tcPr>
            <w:tcW w:w="2693" w:type="dxa"/>
          </w:tcPr>
          <w:p w14:paraId="66B3DA13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Policy-oriented synthesis or perspective outlining priorities and frameworks for strengthening PHC or digital health.</w:t>
            </w:r>
          </w:p>
        </w:tc>
        <w:tc>
          <w:tcPr>
            <w:tcW w:w="2213" w:type="dxa"/>
          </w:tcPr>
          <w:p w14:paraId="1CC1E591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could be limited due data availability and context-specific factors.</w:t>
            </w:r>
          </w:p>
        </w:tc>
      </w:tr>
      <w:tr w:rsidR="0047666A" w:rsidRPr="006A0F46" w14:paraId="37A07019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2CB9F8DA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45</w:t>
            </w:r>
          </w:p>
        </w:tc>
        <w:tc>
          <w:tcPr>
            <w:tcW w:w="6271" w:type="dxa"/>
            <w:vAlign w:val="center"/>
            <w:hideMark/>
          </w:tcPr>
          <w:p w14:paraId="758C958A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Ijaz N, Boon H. Statutory regulation of traditional medicine practitioners and practices: the need for distinct policy making guidelines. The Journal of Alternative and Complementary Medicine 2018; 24(4): 307-13.</w:t>
            </w:r>
          </w:p>
        </w:tc>
        <w:tc>
          <w:tcPr>
            <w:tcW w:w="1630" w:type="dxa"/>
          </w:tcPr>
          <w:p w14:paraId="2D51C0E0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Not specified/ general</w:t>
            </w:r>
          </w:p>
        </w:tc>
        <w:tc>
          <w:tcPr>
            <w:tcW w:w="1799" w:type="dxa"/>
          </w:tcPr>
          <w:p w14:paraId="34612106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Historical/ policy/ commentary or case study</w:t>
            </w:r>
          </w:p>
        </w:tc>
        <w:tc>
          <w:tcPr>
            <w:tcW w:w="2693" w:type="dxa"/>
          </w:tcPr>
          <w:p w14:paraId="0D3CC03E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Policy-oriented synthesis or perspective outlining priorities and frameworks for strengthening PHC or digital health.</w:t>
            </w:r>
          </w:p>
        </w:tc>
        <w:tc>
          <w:tcPr>
            <w:tcW w:w="2213" w:type="dxa"/>
          </w:tcPr>
          <w:p w14:paraId="6EA7D4ED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Not primary empirical research; limited quantitative effect estimates.</w:t>
            </w:r>
          </w:p>
        </w:tc>
      </w:tr>
      <w:tr w:rsidR="0047666A" w:rsidRPr="006A0F46" w14:paraId="3AE3F08F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20F94D6B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46</w:t>
            </w:r>
          </w:p>
        </w:tc>
        <w:tc>
          <w:tcPr>
            <w:tcW w:w="6271" w:type="dxa"/>
            <w:vAlign w:val="center"/>
            <w:hideMark/>
          </w:tcPr>
          <w:p w14:paraId="171BCFA6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Oliver SJ. The role of traditional medicine practice in primary health care within Aboriginal Australia: a review of the literature. Journal of ethnobiology and ethnomedicine 2013; 9: 1-8.</w:t>
            </w:r>
          </w:p>
        </w:tc>
        <w:tc>
          <w:tcPr>
            <w:tcW w:w="1630" w:type="dxa"/>
          </w:tcPr>
          <w:p w14:paraId="20F9DB9D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Not specified/ general</w:t>
            </w:r>
          </w:p>
        </w:tc>
        <w:tc>
          <w:tcPr>
            <w:tcW w:w="1799" w:type="dxa"/>
          </w:tcPr>
          <w:p w14:paraId="2C6AD461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Narrative review/ program description</w:t>
            </w:r>
          </w:p>
        </w:tc>
        <w:tc>
          <w:tcPr>
            <w:tcW w:w="2693" w:type="dxa"/>
          </w:tcPr>
          <w:p w14:paraId="19624583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Policy-oriented synthesis or perspective outlining priorities and frameworks for strengthening PHC or digital health.</w:t>
            </w:r>
          </w:p>
        </w:tc>
        <w:tc>
          <w:tcPr>
            <w:tcW w:w="2213" w:type="dxa"/>
          </w:tcPr>
          <w:p w14:paraId="6A1175E0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could be limited due data availability and context-specific factors.</w:t>
            </w:r>
          </w:p>
        </w:tc>
      </w:tr>
      <w:tr w:rsidR="0047666A" w:rsidRPr="006A0F46" w14:paraId="7094B474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55908427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lastRenderedPageBreak/>
              <w:t>47</w:t>
            </w:r>
          </w:p>
        </w:tc>
        <w:tc>
          <w:tcPr>
            <w:tcW w:w="6271" w:type="dxa"/>
            <w:vAlign w:val="center"/>
            <w:hideMark/>
          </w:tcPr>
          <w:p w14:paraId="242A9CB8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Foley G. Redfern Aboriginal Medical Service 1971-1991: twenty years of community service: Aboriginal Medical Service Co-operative; 1991.</w:t>
            </w:r>
          </w:p>
        </w:tc>
        <w:tc>
          <w:tcPr>
            <w:tcW w:w="1630" w:type="dxa"/>
          </w:tcPr>
          <w:p w14:paraId="11CAFC70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Not specified/ general</w:t>
            </w:r>
          </w:p>
        </w:tc>
        <w:tc>
          <w:tcPr>
            <w:tcW w:w="1799" w:type="dxa"/>
          </w:tcPr>
          <w:p w14:paraId="33431401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Narrative review/ program description</w:t>
            </w:r>
          </w:p>
        </w:tc>
        <w:tc>
          <w:tcPr>
            <w:tcW w:w="2693" w:type="dxa"/>
          </w:tcPr>
          <w:p w14:paraId="2F63307F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Summarizes community, health system or digital health approaches with implications for policy/ practice.</w:t>
            </w:r>
          </w:p>
        </w:tc>
        <w:tc>
          <w:tcPr>
            <w:tcW w:w="2213" w:type="dxa"/>
          </w:tcPr>
          <w:p w14:paraId="0B485294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could be limited due data availability and context-specific factors.</w:t>
            </w:r>
          </w:p>
        </w:tc>
      </w:tr>
      <w:tr w:rsidR="0047666A" w:rsidRPr="006A0F46" w14:paraId="5CE8B3F0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13DBCB4B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48</w:t>
            </w:r>
          </w:p>
        </w:tc>
        <w:tc>
          <w:tcPr>
            <w:tcW w:w="6271" w:type="dxa"/>
            <w:vAlign w:val="center"/>
            <w:hideMark/>
          </w:tcPr>
          <w:p w14:paraId="7212A72D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Joardar T, Javadi D, Gergen J, Perry HB. The BRAC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Shasthya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Shebika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and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Shasthya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Kormi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Community Health Workers in Bangladesh. Health for the People: National Community Health Worker Programs from Afghanistan to Zimbabwe 2020; 51.</w:t>
            </w:r>
          </w:p>
        </w:tc>
        <w:tc>
          <w:tcPr>
            <w:tcW w:w="1630" w:type="dxa"/>
          </w:tcPr>
          <w:p w14:paraId="50A46C9F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Afghanistan</w:t>
            </w:r>
          </w:p>
        </w:tc>
        <w:tc>
          <w:tcPr>
            <w:tcW w:w="1799" w:type="dxa"/>
          </w:tcPr>
          <w:p w14:paraId="4EE7F297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Narrative review/ program description</w:t>
            </w:r>
          </w:p>
        </w:tc>
        <w:tc>
          <w:tcPr>
            <w:tcW w:w="2693" w:type="dxa"/>
          </w:tcPr>
          <w:p w14:paraId="33527B19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Summarizes community, health system or digital health approaches with implications for policy/ practice.</w:t>
            </w:r>
          </w:p>
        </w:tc>
        <w:tc>
          <w:tcPr>
            <w:tcW w:w="2213" w:type="dxa"/>
          </w:tcPr>
          <w:p w14:paraId="7E494BAA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could be limited due data availability and context-specific factors.</w:t>
            </w:r>
          </w:p>
        </w:tc>
      </w:tr>
      <w:tr w:rsidR="0047666A" w:rsidRPr="006A0F46" w14:paraId="060101BE" w14:textId="77777777" w:rsidTr="008C2B83">
        <w:trPr>
          <w:trHeight w:val="300"/>
        </w:trPr>
        <w:tc>
          <w:tcPr>
            <w:tcW w:w="562" w:type="dxa"/>
            <w:noWrap/>
            <w:vAlign w:val="center"/>
            <w:hideMark/>
          </w:tcPr>
          <w:p w14:paraId="664BEFB4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49</w:t>
            </w:r>
          </w:p>
        </w:tc>
        <w:tc>
          <w:tcPr>
            <w:tcW w:w="6271" w:type="dxa"/>
            <w:vAlign w:val="center"/>
            <w:hideMark/>
          </w:tcPr>
          <w:p w14:paraId="0A37AD5A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Wen C. Barefoot doctors in China.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Nurs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Dig 1975; 3(1): 26-8.</w:t>
            </w:r>
          </w:p>
        </w:tc>
        <w:tc>
          <w:tcPr>
            <w:tcW w:w="1630" w:type="dxa"/>
          </w:tcPr>
          <w:p w14:paraId="15020AD3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China</w:t>
            </w:r>
          </w:p>
        </w:tc>
        <w:tc>
          <w:tcPr>
            <w:tcW w:w="1799" w:type="dxa"/>
          </w:tcPr>
          <w:p w14:paraId="0A65EBD1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Narrative review/ program description</w:t>
            </w:r>
          </w:p>
        </w:tc>
        <w:tc>
          <w:tcPr>
            <w:tcW w:w="2693" w:type="dxa"/>
          </w:tcPr>
          <w:p w14:paraId="03145605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Historical or program narrative illustrating foundational community health models and their legacy.</w:t>
            </w:r>
          </w:p>
        </w:tc>
        <w:tc>
          <w:tcPr>
            <w:tcW w:w="2213" w:type="dxa"/>
          </w:tcPr>
          <w:p w14:paraId="3E34ADEC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could be limited due data availability and context-specific factors.</w:t>
            </w:r>
          </w:p>
        </w:tc>
      </w:tr>
      <w:tr w:rsidR="0047666A" w:rsidRPr="006A0F46" w14:paraId="19AB25B8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6FAC99AE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50</w:t>
            </w:r>
          </w:p>
        </w:tc>
        <w:tc>
          <w:tcPr>
            <w:tcW w:w="6271" w:type="dxa"/>
            <w:vAlign w:val="center"/>
            <w:hideMark/>
          </w:tcPr>
          <w:p w14:paraId="4B90A93D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Perry HB, Rohde J. The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Jamkhed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comprehensive rural health project and the Alma-Ata vision of primary health care. American journal of public health 2019; 109(5): 699-704.</w:t>
            </w:r>
          </w:p>
        </w:tc>
        <w:tc>
          <w:tcPr>
            <w:tcW w:w="1630" w:type="dxa"/>
          </w:tcPr>
          <w:p w14:paraId="07B95AE9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Americas</w:t>
            </w:r>
          </w:p>
        </w:tc>
        <w:tc>
          <w:tcPr>
            <w:tcW w:w="1799" w:type="dxa"/>
          </w:tcPr>
          <w:p w14:paraId="6CE156A3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Narrative review/ program description</w:t>
            </w:r>
          </w:p>
        </w:tc>
        <w:tc>
          <w:tcPr>
            <w:tcW w:w="2693" w:type="dxa"/>
          </w:tcPr>
          <w:p w14:paraId="1BC59BAF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Historical or program narrative illustrating foundational community health models and their legacy.</w:t>
            </w:r>
          </w:p>
        </w:tc>
        <w:tc>
          <w:tcPr>
            <w:tcW w:w="2213" w:type="dxa"/>
          </w:tcPr>
          <w:p w14:paraId="06F254C8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could be limited due data availability and context-specific factors.</w:t>
            </w:r>
          </w:p>
        </w:tc>
      </w:tr>
      <w:tr w:rsidR="0047666A" w:rsidRPr="006A0F46" w14:paraId="0A52B9E3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55D2CC00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51</w:t>
            </w:r>
          </w:p>
        </w:tc>
        <w:tc>
          <w:tcPr>
            <w:tcW w:w="6271" w:type="dxa"/>
            <w:vAlign w:val="center"/>
            <w:hideMark/>
          </w:tcPr>
          <w:p w14:paraId="12E8F2C5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Healey J, Wiah SO, Horace JM, Majekodunmi DB,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Duokie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DS. Liberia's community health assistant program: scale, quality, and resilience. Global Health: Science and Practice 2021; 9(Supplement 1): S18-S24.</w:t>
            </w:r>
          </w:p>
        </w:tc>
        <w:tc>
          <w:tcPr>
            <w:tcW w:w="1630" w:type="dxa"/>
          </w:tcPr>
          <w:p w14:paraId="0DB63015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Liberia</w:t>
            </w:r>
          </w:p>
        </w:tc>
        <w:tc>
          <w:tcPr>
            <w:tcW w:w="1799" w:type="dxa"/>
          </w:tcPr>
          <w:p w14:paraId="215F582B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Narrative review/ program description</w:t>
            </w:r>
          </w:p>
        </w:tc>
        <w:tc>
          <w:tcPr>
            <w:tcW w:w="2693" w:type="dxa"/>
          </w:tcPr>
          <w:p w14:paraId="61C6287C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Summarizes community, health system or digital health approaches with implications for policy/ practice.</w:t>
            </w:r>
          </w:p>
        </w:tc>
        <w:tc>
          <w:tcPr>
            <w:tcW w:w="2213" w:type="dxa"/>
          </w:tcPr>
          <w:p w14:paraId="0A0C061A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could be limited due data availability and context-specific factors.</w:t>
            </w:r>
          </w:p>
        </w:tc>
      </w:tr>
      <w:tr w:rsidR="0047666A" w:rsidRPr="006A0F46" w14:paraId="69BC3409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22B1F3E9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52</w:t>
            </w:r>
          </w:p>
        </w:tc>
        <w:tc>
          <w:tcPr>
            <w:tcW w:w="6271" w:type="dxa"/>
            <w:vAlign w:val="center"/>
            <w:hideMark/>
          </w:tcPr>
          <w:p w14:paraId="1FE6FF33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Hafeez A, Mohamud BK, Shiekh MR, Shah SAI, Jooma R. Lady health workers programme in Pakistan: challenges, achievements and the way forward. JPMA The Journal of the Pakistan Medical Association 2011; 61(3): 210.</w:t>
            </w:r>
          </w:p>
        </w:tc>
        <w:tc>
          <w:tcPr>
            <w:tcW w:w="1630" w:type="dxa"/>
          </w:tcPr>
          <w:p w14:paraId="7BD8FAED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Pakistan</w:t>
            </w:r>
          </w:p>
        </w:tc>
        <w:tc>
          <w:tcPr>
            <w:tcW w:w="1799" w:type="dxa"/>
          </w:tcPr>
          <w:p w14:paraId="4E1F472A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Narrative review/ program description</w:t>
            </w:r>
          </w:p>
        </w:tc>
        <w:tc>
          <w:tcPr>
            <w:tcW w:w="2693" w:type="dxa"/>
          </w:tcPr>
          <w:p w14:paraId="20F9F3D8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Summarizes community, health system or digital health approaches with implications for policy/ practice.</w:t>
            </w:r>
          </w:p>
        </w:tc>
        <w:tc>
          <w:tcPr>
            <w:tcW w:w="2213" w:type="dxa"/>
          </w:tcPr>
          <w:p w14:paraId="300C7A4A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could be limited due data availability and context-specific factors.</w:t>
            </w:r>
          </w:p>
        </w:tc>
      </w:tr>
      <w:tr w:rsidR="0047666A" w:rsidRPr="006A0F46" w14:paraId="2B193006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74251E39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lastRenderedPageBreak/>
              <w:t>53</w:t>
            </w:r>
          </w:p>
        </w:tc>
        <w:tc>
          <w:tcPr>
            <w:tcW w:w="6271" w:type="dxa"/>
            <w:vAlign w:val="center"/>
            <w:hideMark/>
          </w:tcPr>
          <w:p w14:paraId="4F05728F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Koblinsky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MA, Campbell O, Heichelheim J. Organizing delivery care: what works for safe motherhood? Bulletin of the World Health Organization 1999; 77(5): 399.</w:t>
            </w:r>
          </w:p>
        </w:tc>
        <w:tc>
          <w:tcPr>
            <w:tcW w:w="1630" w:type="dxa"/>
          </w:tcPr>
          <w:p w14:paraId="1F08A98C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Not specified/ general</w:t>
            </w:r>
          </w:p>
        </w:tc>
        <w:tc>
          <w:tcPr>
            <w:tcW w:w="1799" w:type="dxa"/>
          </w:tcPr>
          <w:p w14:paraId="2A5D3248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Narrative review/ program description</w:t>
            </w:r>
          </w:p>
        </w:tc>
        <w:tc>
          <w:tcPr>
            <w:tcW w:w="2693" w:type="dxa"/>
          </w:tcPr>
          <w:p w14:paraId="545EC680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Summarizes community, health system or digital health approaches with implications for policy/ practice.</w:t>
            </w:r>
          </w:p>
        </w:tc>
        <w:tc>
          <w:tcPr>
            <w:tcW w:w="2213" w:type="dxa"/>
          </w:tcPr>
          <w:p w14:paraId="52F20E3E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could be limited due data availability and context-specific factors.</w:t>
            </w:r>
          </w:p>
        </w:tc>
      </w:tr>
      <w:tr w:rsidR="0047666A" w:rsidRPr="006A0F46" w14:paraId="424D9994" w14:textId="77777777" w:rsidTr="008C2B83">
        <w:trPr>
          <w:trHeight w:val="900"/>
        </w:trPr>
        <w:tc>
          <w:tcPr>
            <w:tcW w:w="562" w:type="dxa"/>
            <w:noWrap/>
            <w:vAlign w:val="center"/>
            <w:hideMark/>
          </w:tcPr>
          <w:p w14:paraId="0054254F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54</w:t>
            </w:r>
          </w:p>
        </w:tc>
        <w:tc>
          <w:tcPr>
            <w:tcW w:w="6271" w:type="dxa"/>
            <w:vAlign w:val="center"/>
            <w:hideMark/>
          </w:tcPr>
          <w:p w14:paraId="3727F3FC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Cancedda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C, Davis SM,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Dierberg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KL, et al. Strengthening health systems while responding to a health crisis: lessons learned by a nongovernmental organization during the Ebola virus disease epidemic in Sierra Leone. The Journal of infectious diseases 2016; 214(suppl_3): S153-S63.</w:t>
            </w:r>
          </w:p>
        </w:tc>
        <w:tc>
          <w:tcPr>
            <w:tcW w:w="1630" w:type="dxa"/>
          </w:tcPr>
          <w:p w14:paraId="12C7CB70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Sierra Leone</w:t>
            </w:r>
          </w:p>
        </w:tc>
        <w:tc>
          <w:tcPr>
            <w:tcW w:w="1799" w:type="dxa"/>
          </w:tcPr>
          <w:p w14:paraId="15D45517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Narrative review/ program description</w:t>
            </w:r>
          </w:p>
        </w:tc>
        <w:tc>
          <w:tcPr>
            <w:tcW w:w="2693" w:type="dxa"/>
          </w:tcPr>
          <w:p w14:paraId="0DD11F30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Summarizes community, health system or digital health approaches with implications for policy/ practice.</w:t>
            </w:r>
          </w:p>
        </w:tc>
        <w:tc>
          <w:tcPr>
            <w:tcW w:w="2213" w:type="dxa"/>
          </w:tcPr>
          <w:p w14:paraId="2AA62105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could be limited due data availability and context-specific factors.</w:t>
            </w:r>
          </w:p>
        </w:tc>
      </w:tr>
      <w:tr w:rsidR="0047666A" w:rsidRPr="006A0F46" w14:paraId="672EB930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360997A9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55</w:t>
            </w:r>
          </w:p>
        </w:tc>
        <w:tc>
          <w:tcPr>
            <w:tcW w:w="6271" w:type="dxa"/>
            <w:vAlign w:val="center"/>
            <w:hideMark/>
          </w:tcPr>
          <w:p w14:paraId="290C0085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Lal P. Militants, mothers, and the national family: Ujamaa, gender, and rural development in postcolonial Tanzania. The Journal of African History 2010; 51(1): 1-20.</w:t>
            </w:r>
          </w:p>
        </w:tc>
        <w:tc>
          <w:tcPr>
            <w:tcW w:w="1630" w:type="dxa"/>
          </w:tcPr>
          <w:p w14:paraId="4C7CA4CA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Tanzania</w:t>
            </w:r>
          </w:p>
        </w:tc>
        <w:tc>
          <w:tcPr>
            <w:tcW w:w="1799" w:type="dxa"/>
          </w:tcPr>
          <w:p w14:paraId="64CAB53E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Historical/ policy/ commentary or case study</w:t>
            </w:r>
          </w:p>
        </w:tc>
        <w:tc>
          <w:tcPr>
            <w:tcW w:w="2693" w:type="dxa"/>
          </w:tcPr>
          <w:p w14:paraId="4F97FFE3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Historical or program narrative illustrating foundational community health models and their legacy.</w:t>
            </w:r>
          </w:p>
        </w:tc>
        <w:tc>
          <w:tcPr>
            <w:tcW w:w="2213" w:type="dxa"/>
          </w:tcPr>
          <w:p w14:paraId="154084AE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Not primary empirical research; limited quantitative effect estimates.</w:t>
            </w:r>
          </w:p>
        </w:tc>
      </w:tr>
      <w:tr w:rsidR="0047666A" w:rsidRPr="006A0F46" w14:paraId="67284B61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06834633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56</w:t>
            </w:r>
          </w:p>
        </w:tc>
        <w:tc>
          <w:tcPr>
            <w:tcW w:w="6271" w:type="dxa"/>
            <w:vAlign w:val="center"/>
            <w:hideMark/>
          </w:tcPr>
          <w:p w14:paraId="7528CB3F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Ngatunga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AB. The Arusha community-based rehabilitation support unit: the contribution of the community in improving the living condition of people with disabilities in Arusha Region: Southern New Hampshire University; 2007.</w:t>
            </w:r>
          </w:p>
        </w:tc>
        <w:tc>
          <w:tcPr>
            <w:tcW w:w="1630" w:type="dxa"/>
          </w:tcPr>
          <w:p w14:paraId="390A1CFC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Not specified/ general</w:t>
            </w:r>
          </w:p>
        </w:tc>
        <w:tc>
          <w:tcPr>
            <w:tcW w:w="1799" w:type="dxa"/>
          </w:tcPr>
          <w:p w14:paraId="5406B501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Narrative review/ program description</w:t>
            </w:r>
          </w:p>
        </w:tc>
        <w:tc>
          <w:tcPr>
            <w:tcW w:w="2693" w:type="dxa"/>
          </w:tcPr>
          <w:p w14:paraId="205ACFD1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Summarizes community, health system or digital health approaches with implications for policy/practice.</w:t>
            </w:r>
          </w:p>
        </w:tc>
        <w:tc>
          <w:tcPr>
            <w:tcW w:w="2213" w:type="dxa"/>
          </w:tcPr>
          <w:p w14:paraId="56E34058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could be limited due data availability and context-specific factors.</w:t>
            </w:r>
          </w:p>
        </w:tc>
      </w:tr>
      <w:tr w:rsidR="0047666A" w:rsidRPr="006A0F46" w14:paraId="75CE4BC5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0FE0B929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57</w:t>
            </w:r>
          </w:p>
        </w:tc>
        <w:tc>
          <w:tcPr>
            <w:tcW w:w="6271" w:type="dxa"/>
            <w:vAlign w:val="center"/>
            <w:hideMark/>
          </w:tcPr>
          <w:p w14:paraId="3B2C031B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Bilal NK, Herbst CH, Zhao F,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Soucat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A,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Lemiere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C. Health extension workers in Ethiopia: improved access and coverage for the rural poor. Yes, Africa can: success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stiroes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from a dynamic continent 2011; 2011: 433-43.</w:t>
            </w:r>
          </w:p>
        </w:tc>
        <w:tc>
          <w:tcPr>
            <w:tcW w:w="1630" w:type="dxa"/>
          </w:tcPr>
          <w:p w14:paraId="227FF8E7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Ethiopia</w:t>
            </w:r>
          </w:p>
        </w:tc>
        <w:tc>
          <w:tcPr>
            <w:tcW w:w="1799" w:type="dxa"/>
          </w:tcPr>
          <w:p w14:paraId="227C8472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Narrative review/ program description</w:t>
            </w:r>
          </w:p>
        </w:tc>
        <w:tc>
          <w:tcPr>
            <w:tcW w:w="2693" w:type="dxa"/>
          </w:tcPr>
          <w:p w14:paraId="1DF1CAAE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Summarizes community, health system or digital health approaches with implications for policy/practice.</w:t>
            </w:r>
          </w:p>
        </w:tc>
        <w:tc>
          <w:tcPr>
            <w:tcW w:w="2213" w:type="dxa"/>
          </w:tcPr>
          <w:p w14:paraId="5FF930B4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could be limited due data availability and context-specific factors.</w:t>
            </w:r>
          </w:p>
        </w:tc>
      </w:tr>
      <w:tr w:rsidR="0047666A" w:rsidRPr="006A0F46" w14:paraId="165C515F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063DB15E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58</w:t>
            </w:r>
          </w:p>
        </w:tc>
        <w:tc>
          <w:tcPr>
            <w:tcW w:w="6271" w:type="dxa"/>
            <w:vAlign w:val="center"/>
            <w:hideMark/>
          </w:tcPr>
          <w:p w14:paraId="07CA0CBD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Khatri RB,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Endalamaw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A,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Erku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D, et al. Enablers and barriers of community health programs for improved equity and universal coverage of primary health care services: A scoping review. BMC Primary Care 2024; 25(1): 385.</w:t>
            </w:r>
          </w:p>
        </w:tc>
        <w:tc>
          <w:tcPr>
            <w:tcW w:w="1630" w:type="dxa"/>
          </w:tcPr>
          <w:p w14:paraId="6D575ADE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Global/ Multiple regions</w:t>
            </w:r>
          </w:p>
        </w:tc>
        <w:tc>
          <w:tcPr>
            <w:tcW w:w="1799" w:type="dxa"/>
          </w:tcPr>
          <w:p w14:paraId="4B45D6EE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Systematic/ scoping review or meta-analysis</w:t>
            </w:r>
          </w:p>
        </w:tc>
        <w:tc>
          <w:tcPr>
            <w:tcW w:w="2693" w:type="dxa"/>
          </w:tcPr>
          <w:p w14:paraId="51535209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 xml:space="preserve">Synthesizes evidence showing community or digital interventions impact access/quality; </w:t>
            </w:r>
            <w:r w:rsidRPr="006A0F46">
              <w:rPr>
                <w:rFonts w:cs="Calibri"/>
                <w:color w:val="000000" w:themeColor="text1"/>
                <w:sz w:val="24"/>
              </w:rPr>
              <w:lastRenderedPageBreak/>
              <w:t>key enablers and barriers identified.</w:t>
            </w:r>
          </w:p>
        </w:tc>
        <w:tc>
          <w:tcPr>
            <w:tcW w:w="2213" w:type="dxa"/>
          </w:tcPr>
          <w:p w14:paraId="047EFA7D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lastRenderedPageBreak/>
              <w:t>Findings could be limited due data availability and context-specific factors.</w:t>
            </w:r>
          </w:p>
        </w:tc>
      </w:tr>
      <w:tr w:rsidR="0047666A" w:rsidRPr="006A0F46" w14:paraId="7C20FF7A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6EAA79AF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59</w:t>
            </w:r>
          </w:p>
        </w:tc>
        <w:tc>
          <w:tcPr>
            <w:tcW w:w="6271" w:type="dxa"/>
            <w:vAlign w:val="center"/>
            <w:hideMark/>
          </w:tcPr>
          <w:p w14:paraId="1D0B160D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Assan A,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Takian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A, Aikins M,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Akbarisari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A. Challenges to achieving universal health coverage through community-based health planning and services delivery approach: a qualitative study in Ghana. BMJ Open 2019; 9(2): e024845.</w:t>
            </w:r>
          </w:p>
        </w:tc>
        <w:tc>
          <w:tcPr>
            <w:tcW w:w="1630" w:type="dxa"/>
          </w:tcPr>
          <w:p w14:paraId="4D59C4B7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Ghana</w:t>
            </w:r>
          </w:p>
        </w:tc>
        <w:tc>
          <w:tcPr>
            <w:tcW w:w="1799" w:type="dxa"/>
          </w:tcPr>
          <w:p w14:paraId="07DC9213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Qualitative interviews/ focus groups/ thematic analysis</w:t>
            </w:r>
          </w:p>
        </w:tc>
        <w:tc>
          <w:tcPr>
            <w:tcW w:w="2693" w:type="dxa"/>
          </w:tcPr>
          <w:p w14:paraId="33DCA477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Provides qualitative insights into implementation, acceptability and system-level enablers and barriers.</w:t>
            </w:r>
          </w:p>
        </w:tc>
        <w:tc>
          <w:tcPr>
            <w:tcW w:w="2213" w:type="dxa"/>
          </w:tcPr>
          <w:p w14:paraId="329E4099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Context-specific findings from purposive samples; Findings may not be broadly applicable</w:t>
            </w:r>
          </w:p>
        </w:tc>
      </w:tr>
      <w:tr w:rsidR="0047666A" w:rsidRPr="006A0F46" w14:paraId="2772836B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18F5D99E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60</w:t>
            </w:r>
          </w:p>
        </w:tc>
        <w:tc>
          <w:tcPr>
            <w:tcW w:w="6271" w:type="dxa"/>
            <w:vAlign w:val="center"/>
            <w:hideMark/>
          </w:tcPr>
          <w:p w14:paraId="2AAA4443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van Niekerk L, Bautista-Gomez MM, Msiska BK, Mier-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Alpaño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JDB,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Ongkeko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AM, Manderson L. Social innovation in health: strengthening Community Systems for Universal Health Coverage in rural areas. BMC Public Health 2023; 23(1): 55.</w:t>
            </w:r>
          </w:p>
        </w:tc>
        <w:tc>
          <w:tcPr>
            <w:tcW w:w="1630" w:type="dxa"/>
          </w:tcPr>
          <w:p w14:paraId="61098B37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Not specified/ general</w:t>
            </w:r>
          </w:p>
        </w:tc>
        <w:tc>
          <w:tcPr>
            <w:tcW w:w="1799" w:type="dxa"/>
          </w:tcPr>
          <w:p w14:paraId="462EA4C2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Narrative review/ program description</w:t>
            </w:r>
          </w:p>
        </w:tc>
        <w:tc>
          <w:tcPr>
            <w:tcW w:w="2693" w:type="dxa"/>
          </w:tcPr>
          <w:p w14:paraId="06736FE9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Summarizes community, health system or digital health approaches with implications for policy/ practice.</w:t>
            </w:r>
          </w:p>
        </w:tc>
        <w:tc>
          <w:tcPr>
            <w:tcW w:w="2213" w:type="dxa"/>
          </w:tcPr>
          <w:p w14:paraId="1598F16C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could be limited due data availability and context-specific factors.</w:t>
            </w:r>
          </w:p>
        </w:tc>
      </w:tr>
      <w:tr w:rsidR="0047666A" w:rsidRPr="006A0F46" w14:paraId="09ECB494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6F2868C6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61</w:t>
            </w:r>
          </w:p>
        </w:tc>
        <w:tc>
          <w:tcPr>
            <w:tcW w:w="6271" w:type="dxa"/>
            <w:vAlign w:val="center"/>
            <w:hideMark/>
          </w:tcPr>
          <w:p w14:paraId="7C486A03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Assefa Y,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Gelaw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YA, Hill PS, Taye BW, Van Damme W. Community health extension program of Ethiopia, 2003-2018: successes and challenges toward universal coverage for primary healthcare services. Global Health 2019; 15(1): 24.</w:t>
            </w:r>
          </w:p>
        </w:tc>
        <w:tc>
          <w:tcPr>
            <w:tcW w:w="1630" w:type="dxa"/>
          </w:tcPr>
          <w:p w14:paraId="0117FF7D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Ethiopia</w:t>
            </w:r>
          </w:p>
        </w:tc>
        <w:tc>
          <w:tcPr>
            <w:tcW w:w="1799" w:type="dxa"/>
          </w:tcPr>
          <w:p w14:paraId="10B0FE68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Narrative review/ program description</w:t>
            </w:r>
          </w:p>
        </w:tc>
        <w:tc>
          <w:tcPr>
            <w:tcW w:w="2693" w:type="dxa"/>
          </w:tcPr>
          <w:p w14:paraId="711CA4C3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Summarizes community, health system or digital health approaches with implications for policy/ practice.</w:t>
            </w:r>
          </w:p>
        </w:tc>
        <w:tc>
          <w:tcPr>
            <w:tcW w:w="2213" w:type="dxa"/>
          </w:tcPr>
          <w:p w14:paraId="72E9AF08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could be limited due data availability and context-specific factors.</w:t>
            </w:r>
          </w:p>
        </w:tc>
      </w:tr>
      <w:tr w:rsidR="0047666A" w:rsidRPr="006A0F46" w14:paraId="278C120E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58D8502E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62</w:t>
            </w:r>
          </w:p>
        </w:tc>
        <w:tc>
          <w:tcPr>
            <w:tcW w:w="6271" w:type="dxa"/>
            <w:vAlign w:val="center"/>
            <w:hideMark/>
          </w:tcPr>
          <w:p w14:paraId="7D88DA4F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Long H, Zhenyu M, Duc HTT, et al. Engaging village health workers in non-communicable disease (NCD) prevention and control in Vietnam: A qualitative study. Global Public Health 2020; 15(4): 611-25.</w:t>
            </w:r>
          </w:p>
        </w:tc>
        <w:tc>
          <w:tcPr>
            <w:tcW w:w="1630" w:type="dxa"/>
          </w:tcPr>
          <w:p w14:paraId="062C1498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Vietnam</w:t>
            </w:r>
          </w:p>
        </w:tc>
        <w:tc>
          <w:tcPr>
            <w:tcW w:w="1799" w:type="dxa"/>
          </w:tcPr>
          <w:p w14:paraId="641EC37D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Qualitative interviews/ focus groups/ thematic analysis</w:t>
            </w:r>
          </w:p>
        </w:tc>
        <w:tc>
          <w:tcPr>
            <w:tcW w:w="2693" w:type="dxa"/>
          </w:tcPr>
          <w:p w14:paraId="0B3E7C10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Provides qualitative insights into implementation, acceptability and system-level enablers and barriers.</w:t>
            </w:r>
          </w:p>
        </w:tc>
        <w:tc>
          <w:tcPr>
            <w:tcW w:w="2213" w:type="dxa"/>
          </w:tcPr>
          <w:p w14:paraId="772A29A2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Context-specific findings from purposive samples; Findings may not be broadly applicable</w:t>
            </w:r>
          </w:p>
        </w:tc>
      </w:tr>
      <w:tr w:rsidR="0047666A" w:rsidRPr="006A0F46" w14:paraId="60C8B83C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439D73A2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63</w:t>
            </w:r>
          </w:p>
        </w:tc>
        <w:tc>
          <w:tcPr>
            <w:tcW w:w="6271" w:type="dxa"/>
            <w:vAlign w:val="center"/>
            <w:hideMark/>
          </w:tcPr>
          <w:p w14:paraId="0A69F1CF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Banteyerga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H. Ethiopia's health extension program: improving health through community involvement. MEDICC review 2011; 13: 46-9.</w:t>
            </w:r>
          </w:p>
        </w:tc>
        <w:tc>
          <w:tcPr>
            <w:tcW w:w="1630" w:type="dxa"/>
          </w:tcPr>
          <w:p w14:paraId="1D6E5184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Ethiopia</w:t>
            </w:r>
          </w:p>
        </w:tc>
        <w:tc>
          <w:tcPr>
            <w:tcW w:w="1799" w:type="dxa"/>
          </w:tcPr>
          <w:p w14:paraId="2C39FB16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Narrative review/ program description</w:t>
            </w:r>
          </w:p>
        </w:tc>
        <w:tc>
          <w:tcPr>
            <w:tcW w:w="2693" w:type="dxa"/>
          </w:tcPr>
          <w:p w14:paraId="4762556E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Policy-oriented synthesis or perspective outlining priorities and frameworks for strengthening PHC or digital health.</w:t>
            </w:r>
          </w:p>
        </w:tc>
        <w:tc>
          <w:tcPr>
            <w:tcW w:w="2213" w:type="dxa"/>
          </w:tcPr>
          <w:p w14:paraId="22744005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could be limited due data availability and context-specific factors.</w:t>
            </w:r>
          </w:p>
        </w:tc>
      </w:tr>
      <w:tr w:rsidR="0047666A" w:rsidRPr="006A0F46" w14:paraId="3C459C8F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0F50CD63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lastRenderedPageBreak/>
              <w:t>64</w:t>
            </w:r>
          </w:p>
        </w:tc>
        <w:tc>
          <w:tcPr>
            <w:tcW w:w="6271" w:type="dxa"/>
            <w:vAlign w:val="center"/>
            <w:hideMark/>
          </w:tcPr>
          <w:p w14:paraId="29E3FE8C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Tadesse A. Effect of Health Extension Service on Under-Five Child Mortality and Determinants of Under-Five Child Mortality in Derra District, Oromia Regional State, Ethiopia. 2021.</w:t>
            </w:r>
          </w:p>
        </w:tc>
        <w:tc>
          <w:tcPr>
            <w:tcW w:w="1630" w:type="dxa"/>
          </w:tcPr>
          <w:p w14:paraId="2AA90173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Ethiopia</w:t>
            </w:r>
          </w:p>
        </w:tc>
        <w:tc>
          <w:tcPr>
            <w:tcW w:w="1799" w:type="dxa"/>
          </w:tcPr>
          <w:p w14:paraId="30A96249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Narrative review/ program description</w:t>
            </w:r>
          </w:p>
        </w:tc>
        <w:tc>
          <w:tcPr>
            <w:tcW w:w="2693" w:type="dxa"/>
          </w:tcPr>
          <w:p w14:paraId="6D2C4543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Summarizes community, health system or digital health approaches with implications for policy/ practice.</w:t>
            </w:r>
          </w:p>
        </w:tc>
        <w:tc>
          <w:tcPr>
            <w:tcW w:w="2213" w:type="dxa"/>
          </w:tcPr>
          <w:p w14:paraId="566A04C3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could be limited due data availability and context-specific factors.</w:t>
            </w:r>
          </w:p>
        </w:tc>
      </w:tr>
      <w:tr w:rsidR="0047666A" w:rsidRPr="006A0F46" w14:paraId="1315293A" w14:textId="77777777" w:rsidTr="008C2B83">
        <w:trPr>
          <w:trHeight w:val="900"/>
        </w:trPr>
        <w:tc>
          <w:tcPr>
            <w:tcW w:w="562" w:type="dxa"/>
            <w:noWrap/>
            <w:vAlign w:val="center"/>
            <w:hideMark/>
          </w:tcPr>
          <w:p w14:paraId="5593ED1E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65</w:t>
            </w:r>
          </w:p>
        </w:tc>
        <w:tc>
          <w:tcPr>
            <w:tcW w:w="6271" w:type="dxa"/>
            <w:vAlign w:val="center"/>
            <w:hideMark/>
          </w:tcPr>
          <w:p w14:paraId="26FC8991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Agarwal S, Curtis SL, Angeles G, Speizer IS, Singh K, Thomas JC. The impact of India’s accredited social health activist (ASHA) program on the utilization of maternity services: a nationally representative longitudinal modelling study. Human resources for health 2019; 17: 1-13.</w:t>
            </w:r>
          </w:p>
        </w:tc>
        <w:tc>
          <w:tcPr>
            <w:tcW w:w="1630" w:type="dxa"/>
          </w:tcPr>
          <w:p w14:paraId="41364835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India</w:t>
            </w:r>
          </w:p>
        </w:tc>
        <w:tc>
          <w:tcPr>
            <w:tcW w:w="1799" w:type="dxa"/>
          </w:tcPr>
          <w:p w14:paraId="5A7CEC7F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Narrative review/ program description</w:t>
            </w:r>
          </w:p>
        </w:tc>
        <w:tc>
          <w:tcPr>
            <w:tcW w:w="2693" w:type="dxa"/>
          </w:tcPr>
          <w:p w14:paraId="0589BCC6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Summarizes community, health system or digital health approaches with implications for policy/ practice.</w:t>
            </w:r>
          </w:p>
        </w:tc>
        <w:tc>
          <w:tcPr>
            <w:tcW w:w="2213" w:type="dxa"/>
          </w:tcPr>
          <w:p w14:paraId="101BBC58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could be limited due data availability and context-specific factors.</w:t>
            </w:r>
          </w:p>
        </w:tc>
      </w:tr>
      <w:tr w:rsidR="0047666A" w:rsidRPr="006A0F46" w14:paraId="193F0F03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2DDB64D2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66</w:t>
            </w:r>
          </w:p>
        </w:tc>
        <w:tc>
          <w:tcPr>
            <w:tcW w:w="6271" w:type="dxa"/>
            <w:vAlign w:val="center"/>
            <w:hideMark/>
          </w:tcPr>
          <w:p w14:paraId="54B7A275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Victora CG, Bryce J, Fontaine O, Monasch R. Reducing deaths from diarrhoea through oral rehydration therapy. Bulletin of the world health organization 2000; 78: 1246-55.</w:t>
            </w:r>
          </w:p>
        </w:tc>
        <w:tc>
          <w:tcPr>
            <w:tcW w:w="1630" w:type="dxa"/>
          </w:tcPr>
          <w:p w14:paraId="23E03800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Not specified/ general</w:t>
            </w:r>
          </w:p>
        </w:tc>
        <w:tc>
          <w:tcPr>
            <w:tcW w:w="1799" w:type="dxa"/>
          </w:tcPr>
          <w:p w14:paraId="6BD11524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Narrative review/ program description</w:t>
            </w:r>
          </w:p>
        </w:tc>
        <w:tc>
          <w:tcPr>
            <w:tcW w:w="2693" w:type="dxa"/>
          </w:tcPr>
          <w:p w14:paraId="4F24E84F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Summarizes community, health system or digital health approaches with implications for policy/ practice.</w:t>
            </w:r>
          </w:p>
        </w:tc>
        <w:tc>
          <w:tcPr>
            <w:tcW w:w="2213" w:type="dxa"/>
          </w:tcPr>
          <w:p w14:paraId="55F0FDA2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could be limited due data availability and context-specific factors.</w:t>
            </w:r>
          </w:p>
        </w:tc>
      </w:tr>
      <w:tr w:rsidR="0047666A" w:rsidRPr="006A0F46" w14:paraId="663EDDAB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232FB3CB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67</w:t>
            </w:r>
          </w:p>
        </w:tc>
        <w:tc>
          <w:tcPr>
            <w:tcW w:w="6271" w:type="dxa"/>
            <w:vAlign w:val="center"/>
            <w:hideMark/>
          </w:tcPr>
          <w:p w14:paraId="78113415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Perry HB,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Zulliger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R, Rogers MM. Community Health Workers in Low-, Middle-, and High-Income Countries: An Overview of Their History, Recent Evolution, and Current Effectiveness. Annual Review of Public Health 2014; 35(Volume 35, 2014): 399-421.</w:t>
            </w:r>
          </w:p>
        </w:tc>
        <w:tc>
          <w:tcPr>
            <w:tcW w:w="1630" w:type="dxa"/>
          </w:tcPr>
          <w:p w14:paraId="4707F274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Not specified/ general</w:t>
            </w:r>
          </w:p>
        </w:tc>
        <w:tc>
          <w:tcPr>
            <w:tcW w:w="1799" w:type="dxa"/>
          </w:tcPr>
          <w:p w14:paraId="16ED2A7A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Historical/ policy/ commentary or case study</w:t>
            </w:r>
          </w:p>
        </w:tc>
        <w:tc>
          <w:tcPr>
            <w:tcW w:w="2693" w:type="dxa"/>
          </w:tcPr>
          <w:p w14:paraId="23835819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Policy-oriented synthesis or perspective outlining priorities and frameworks for strengthening PHC or digital health.</w:t>
            </w:r>
          </w:p>
        </w:tc>
        <w:tc>
          <w:tcPr>
            <w:tcW w:w="2213" w:type="dxa"/>
          </w:tcPr>
          <w:p w14:paraId="00D77F64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Derived from secondary sources; lacks robust quantitative evidence.</w:t>
            </w:r>
          </w:p>
        </w:tc>
      </w:tr>
      <w:tr w:rsidR="0047666A" w:rsidRPr="006A0F46" w14:paraId="4E23F8D7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14CAC7C2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68</w:t>
            </w:r>
          </w:p>
        </w:tc>
        <w:tc>
          <w:tcPr>
            <w:tcW w:w="6271" w:type="dxa"/>
            <w:vAlign w:val="center"/>
            <w:hideMark/>
          </w:tcPr>
          <w:p w14:paraId="425E2C3A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Binagwaho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A, Kyamanywa P, Farmer PE, et al. The human resources for health program in Rwanda—a new partnership. New England Journal of Medicine 2013; 369(21): 2054-9.</w:t>
            </w:r>
          </w:p>
        </w:tc>
        <w:tc>
          <w:tcPr>
            <w:tcW w:w="1630" w:type="dxa"/>
          </w:tcPr>
          <w:p w14:paraId="31D3833D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Rwanda</w:t>
            </w:r>
          </w:p>
        </w:tc>
        <w:tc>
          <w:tcPr>
            <w:tcW w:w="1799" w:type="dxa"/>
          </w:tcPr>
          <w:p w14:paraId="1A5E90A8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Narrative review/ program description</w:t>
            </w:r>
          </w:p>
        </w:tc>
        <w:tc>
          <w:tcPr>
            <w:tcW w:w="2693" w:type="dxa"/>
          </w:tcPr>
          <w:p w14:paraId="38E03A2C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Summarizes community, health system or digital health approaches with implications for policy/practice.</w:t>
            </w:r>
          </w:p>
        </w:tc>
        <w:tc>
          <w:tcPr>
            <w:tcW w:w="2213" w:type="dxa"/>
          </w:tcPr>
          <w:p w14:paraId="0D248C38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could be limited due data availability and context-specific factors.</w:t>
            </w:r>
          </w:p>
        </w:tc>
      </w:tr>
      <w:tr w:rsidR="0047666A" w:rsidRPr="006A0F46" w14:paraId="0B3B3D7C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550E284C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69</w:t>
            </w:r>
          </w:p>
        </w:tc>
        <w:tc>
          <w:tcPr>
            <w:tcW w:w="6271" w:type="dxa"/>
            <w:vAlign w:val="center"/>
            <w:hideMark/>
          </w:tcPr>
          <w:p w14:paraId="1B2CBD6F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Lokuge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K,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Wemin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F, Joshy G, DL Mola G. Evaluation of an obstetric and neonatal care upskilling program for community health workers in Papua New Guinea. BMC Pregnancy and Childbirth 2024; 24(1): 357.</w:t>
            </w:r>
          </w:p>
        </w:tc>
        <w:tc>
          <w:tcPr>
            <w:tcW w:w="1630" w:type="dxa"/>
          </w:tcPr>
          <w:p w14:paraId="1E6C0C4A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Papua New Guinea</w:t>
            </w:r>
          </w:p>
        </w:tc>
        <w:tc>
          <w:tcPr>
            <w:tcW w:w="1799" w:type="dxa"/>
          </w:tcPr>
          <w:p w14:paraId="322038DE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Narrative review/ program description</w:t>
            </w:r>
          </w:p>
        </w:tc>
        <w:tc>
          <w:tcPr>
            <w:tcW w:w="2693" w:type="dxa"/>
          </w:tcPr>
          <w:p w14:paraId="19326927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 xml:space="preserve">Summarizes community, health system or digital health approaches with </w:t>
            </w:r>
            <w:r w:rsidRPr="006A0F46">
              <w:rPr>
                <w:rFonts w:cs="Calibri"/>
                <w:color w:val="000000" w:themeColor="text1"/>
                <w:sz w:val="24"/>
              </w:rPr>
              <w:lastRenderedPageBreak/>
              <w:t>implications for policy/practice.</w:t>
            </w:r>
          </w:p>
        </w:tc>
        <w:tc>
          <w:tcPr>
            <w:tcW w:w="2213" w:type="dxa"/>
          </w:tcPr>
          <w:p w14:paraId="3DF8C21A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lastRenderedPageBreak/>
              <w:t xml:space="preserve">Findings could be limited due data availability and </w:t>
            </w:r>
            <w:r w:rsidRPr="006A0F46">
              <w:rPr>
                <w:rFonts w:cs="Calibri"/>
                <w:color w:val="000000" w:themeColor="text1"/>
                <w:sz w:val="24"/>
              </w:rPr>
              <w:lastRenderedPageBreak/>
              <w:t>context-specific factors.</w:t>
            </w:r>
          </w:p>
        </w:tc>
      </w:tr>
      <w:tr w:rsidR="0047666A" w:rsidRPr="006A0F46" w14:paraId="5408129B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7AB26FF2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lastRenderedPageBreak/>
              <w:t>70</w:t>
            </w:r>
          </w:p>
        </w:tc>
        <w:tc>
          <w:tcPr>
            <w:tcW w:w="6271" w:type="dxa"/>
            <w:vAlign w:val="center"/>
            <w:hideMark/>
          </w:tcPr>
          <w:p w14:paraId="2A7D9612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Turcanu G,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Domente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S, Buga M, Richardson E. Republic of Moldova: Health system review. Health Systems in Transition. European observatory on health systems and policies 2012; 14(7): 17.</w:t>
            </w:r>
          </w:p>
        </w:tc>
        <w:tc>
          <w:tcPr>
            <w:tcW w:w="1630" w:type="dxa"/>
          </w:tcPr>
          <w:p w14:paraId="2EF2ED75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Moldova</w:t>
            </w:r>
          </w:p>
        </w:tc>
        <w:tc>
          <w:tcPr>
            <w:tcW w:w="1799" w:type="dxa"/>
          </w:tcPr>
          <w:p w14:paraId="388C6ED5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Narrative review/ program description</w:t>
            </w:r>
          </w:p>
        </w:tc>
        <w:tc>
          <w:tcPr>
            <w:tcW w:w="2693" w:type="dxa"/>
          </w:tcPr>
          <w:p w14:paraId="7E84A63C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Policy-oriented synthesis or perspective outlining priorities and frameworks for strengthening PHC or digital health.</w:t>
            </w:r>
          </w:p>
        </w:tc>
        <w:tc>
          <w:tcPr>
            <w:tcW w:w="2213" w:type="dxa"/>
          </w:tcPr>
          <w:p w14:paraId="41EA493A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could be limited due data availability and context-specific factors.</w:t>
            </w:r>
          </w:p>
        </w:tc>
      </w:tr>
      <w:tr w:rsidR="0047666A" w:rsidRPr="006A0F46" w14:paraId="0F36B3C1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54BEAAA9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71</w:t>
            </w:r>
          </w:p>
        </w:tc>
        <w:tc>
          <w:tcPr>
            <w:tcW w:w="6271" w:type="dxa"/>
            <w:vAlign w:val="center"/>
            <w:hideMark/>
          </w:tcPr>
          <w:p w14:paraId="31A5F3E1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Vandi M, Van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Griensven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J, Chan A, et al. Ebola and community health worker services in Kenema District, Sierra Leone: please mind the gap! Public health action 2017; 7(1): S55-S61.</w:t>
            </w:r>
          </w:p>
        </w:tc>
        <w:tc>
          <w:tcPr>
            <w:tcW w:w="1630" w:type="dxa"/>
          </w:tcPr>
          <w:p w14:paraId="4689DA73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Sierra Leone</w:t>
            </w:r>
          </w:p>
        </w:tc>
        <w:tc>
          <w:tcPr>
            <w:tcW w:w="1799" w:type="dxa"/>
          </w:tcPr>
          <w:p w14:paraId="318E5435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Narrative review/ program description</w:t>
            </w:r>
          </w:p>
        </w:tc>
        <w:tc>
          <w:tcPr>
            <w:tcW w:w="2693" w:type="dxa"/>
          </w:tcPr>
          <w:p w14:paraId="3C413458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Summarizes community, health system or digital health approaches with implications for policy/ practice.</w:t>
            </w:r>
          </w:p>
        </w:tc>
        <w:tc>
          <w:tcPr>
            <w:tcW w:w="2213" w:type="dxa"/>
          </w:tcPr>
          <w:p w14:paraId="2C81EB90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could be limited due data availability and context-specific factors.</w:t>
            </w:r>
          </w:p>
        </w:tc>
      </w:tr>
      <w:tr w:rsidR="0047666A" w:rsidRPr="006A0F46" w14:paraId="6F7C0DAC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409AAEAE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72</w:t>
            </w:r>
          </w:p>
        </w:tc>
        <w:tc>
          <w:tcPr>
            <w:tcW w:w="6271" w:type="dxa"/>
            <w:vAlign w:val="center"/>
            <w:hideMark/>
          </w:tcPr>
          <w:p w14:paraId="092C3290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Tran BX, Hoang MT, Pham HQ, et al. The operational readiness capacities of the grassroots health system in responses to epidemics: Implications for COVID-19 control in Vietnam. J Glob Health 2020; 10(1): 011006.</w:t>
            </w:r>
          </w:p>
        </w:tc>
        <w:tc>
          <w:tcPr>
            <w:tcW w:w="1630" w:type="dxa"/>
          </w:tcPr>
          <w:p w14:paraId="7F9C809F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Vietnam</w:t>
            </w:r>
          </w:p>
        </w:tc>
        <w:tc>
          <w:tcPr>
            <w:tcW w:w="1799" w:type="dxa"/>
          </w:tcPr>
          <w:p w14:paraId="31FF4A73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Narrative review/ program description</w:t>
            </w:r>
          </w:p>
        </w:tc>
        <w:tc>
          <w:tcPr>
            <w:tcW w:w="2693" w:type="dxa"/>
          </w:tcPr>
          <w:p w14:paraId="29D7ECD4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Summarizes community, health system or digital health approaches with implications for policy/ practice.</w:t>
            </w:r>
          </w:p>
        </w:tc>
        <w:tc>
          <w:tcPr>
            <w:tcW w:w="2213" w:type="dxa"/>
          </w:tcPr>
          <w:p w14:paraId="5BA54CB1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could be limited due data availability and context-specific factors.</w:t>
            </w:r>
          </w:p>
        </w:tc>
      </w:tr>
      <w:tr w:rsidR="0047666A" w:rsidRPr="006A0F46" w14:paraId="343F085E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0525647E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73</w:t>
            </w:r>
          </w:p>
        </w:tc>
        <w:tc>
          <w:tcPr>
            <w:tcW w:w="6271" w:type="dxa"/>
            <w:vAlign w:val="center"/>
            <w:hideMark/>
          </w:tcPr>
          <w:p w14:paraId="068CE38F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Haines A, Sanders D, Lehmann U, et al. Achieving child survival goals: potential contribution of community health workers. Lancet 2007; 369(9579): 2121-31.</w:t>
            </w:r>
          </w:p>
        </w:tc>
        <w:tc>
          <w:tcPr>
            <w:tcW w:w="1630" w:type="dxa"/>
          </w:tcPr>
          <w:p w14:paraId="660297C0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Not specified/ general</w:t>
            </w:r>
          </w:p>
        </w:tc>
        <w:tc>
          <w:tcPr>
            <w:tcW w:w="1799" w:type="dxa"/>
          </w:tcPr>
          <w:p w14:paraId="0C848070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Narrative review/ program description</w:t>
            </w:r>
          </w:p>
        </w:tc>
        <w:tc>
          <w:tcPr>
            <w:tcW w:w="2693" w:type="dxa"/>
          </w:tcPr>
          <w:p w14:paraId="523FFA70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Summarizes community, health system or digital health approaches with implications for policy/ practice.</w:t>
            </w:r>
          </w:p>
        </w:tc>
        <w:tc>
          <w:tcPr>
            <w:tcW w:w="2213" w:type="dxa"/>
          </w:tcPr>
          <w:p w14:paraId="7B778BE7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could be limited due data availability and context-specific factors.</w:t>
            </w:r>
          </w:p>
        </w:tc>
      </w:tr>
      <w:tr w:rsidR="0047666A" w:rsidRPr="006A0F46" w14:paraId="725B857F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7130C3E7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74</w:t>
            </w:r>
          </w:p>
        </w:tc>
        <w:tc>
          <w:tcPr>
            <w:tcW w:w="6271" w:type="dxa"/>
            <w:vAlign w:val="center"/>
            <w:hideMark/>
          </w:tcPr>
          <w:p w14:paraId="76D8793D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Ejigu Y, Abera N, Haileselassie W, et al. Motivation and job satisfaction of community health workers in Ethiopia: a mixed-methods approach. Human Resources for Health 2023; 21(1): 35.</w:t>
            </w:r>
          </w:p>
        </w:tc>
        <w:tc>
          <w:tcPr>
            <w:tcW w:w="1630" w:type="dxa"/>
          </w:tcPr>
          <w:p w14:paraId="69B010F8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Ethiopia</w:t>
            </w:r>
          </w:p>
        </w:tc>
        <w:tc>
          <w:tcPr>
            <w:tcW w:w="1799" w:type="dxa"/>
          </w:tcPr>
          <w:p w14:paraId="2287E505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Mixed-methods study</w:t>
            </w:r>
          </w:p>
        </w:tc>
        <w:tc>
          <w:tcPr>
            <w:tcW w:w="2693" w:type="dxa"/>
          </w:tcPr>
          <w:p w14:paraId="5269AC02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Summarizes community, health system or digital health approaches with implications for policy/ practice.</w:t>
            </w:r>
          </w:p>
        </w:tc>
        <w:tc>
          <w:tcPr>
            <w:tcW w:w="2213" w:type="dxa"/>
          </w:tcPr>
          <w:p w14:paraId="3AF8B599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could be limited due data availability and context-specific factors.</w:t>
            </w:r>
          </w:p>
        </w:tc>
      </w:tr>
      <w:tr w:rsidR="0047666A" w:rsidRPr="006A0F46" w14:paraId="558E9D2B" w14:textId="77777777" w:rsidTr="008C2B83">
        <w:trPr>
          <w:trHeight w:val="900"/>
        </w:trPr>
        <w:tc>
          <w:tcPr>
            <w:tcW w:w="562" w:type="dxa"/>
            <w:noWrap/>
            <w:vAlign w:val="center"/>
            <w:hideMark/>
          </w:tcPr>
          <w:p w14:paraId="3C1D4DF3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lastRenderedPageBreak/>
              <w:t>75</w:t>
            </w:r>
          </w:p>
        </w:tc>
        <w:tc>
          <w:tcPr>
            <w:tcW w:w="6271" w:type="dxa"/>
            <w:vAlign w:val="center"/>
            <w:hideMark/>
          </w:tcPr>
          <w:p w14:paraId="4B444402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Pandya S, Hamal M, Abuya T, et al. Understanding Factors That Support Community Health Worker Motivation, Job Satisfaction, and Performance in Three Ugandan Districts: Opportunities for Strengthening Uganda's Community Health Worker Program. Int J Health Policy Manag 2022; 11(12): 2886-94.</w:t>
            </w:r>
          </w:p>
        </w:tc>
        <w:tc>
          <w:tcPr>
            <w:tcW w:w="1630" w:type="dxa"/>
          </w:tcPr>
          <w:p w14:paraId="14F1EDAD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Uganda</w:t>
            </w:r>
          </w:p>
        </w:tc>
        <w:tc>
          <w:tcPr>
            <w:tcW w:w="1799" w:type="dxa"/>
          </w:tcPr>
          <w:p w14:paraId="2037BD5F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Historical/ policy/ commentary or case study</w:t>
            </w:r>
          </w:p>
        </w:tc>
        <w:tc>
          <w:tcPr>
            <w:tcW w:w="2693" w:type="dxa"/>
          </w:tcPr>
          <w:p w14:paraId="1568AFD8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Policy-oriented synthesis or perspective outlining priorities and frameworks for strengthening PHC or digital health.</w:t>
            </w:r>
          </w:p>
        </w:tc>
        <w:tc>
          <w:tcPr>
            <w:tcW w:w="2213" w:type="dxa"/>
          </w:tcPr>
          <w:p w14:paraId="6C2EAC23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Derived from secondary sources; lacks robust quantitative evidence.</w:t>
            </w:r>
          </w:p>
        </w:tc>
      </w:tr>
      <w:tr w:rsidR="0047666A" w:rsidRPr="006A0F46" w14:paraId="14FAB931" w14:textId="77777777" w:rsidTr="008C2B83">
        <w:trPr>
          <w:trHeight w:val="900"/>
        </w:trPr>
        <w:tc>
          <w:tcPr>
            <w:tcW w:w="562" w:type="dxa"/>
            <w:noWrap/>
            <w:vAlign w:val="center"/>
            <w:hideMark/>
          </w:tcPr>
          <w:p w14:paraId="5B306E89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76</w:t>
            </w:r>
          </w:p>
        </w:tc>
        <w:tc>
          <w:tcPr>
            <w:tcW w:w="6271" w:type="dxa"/>
            <w:vAlign w:val="center"/>
            <w:hideMark/>
          </w:tcPr>
          <w:p w14:paraId="6C0D5788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Mundeva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H, Snyder J,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Ngilangwa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DP, Kaida A. Ethics of task shifting in the health workforce: exploring the role of community health workers in HIV service delivery in low- and middle-income countries. BMC Med Ethics, 2018. http://europepmc.org/abstract/MED/29973217(accessed 2018/07//).</w:t>
            </w:r>
          </w:p>
        </w:tc>
        <w:tc>
          <w:tcPr>
            <w:tcW w:w="1630" w:type="dxa"/>
          </w:tcPr>
          <w:p w14:paraId="56E3ED79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Not specified/ general</w:t>
            </w:r>
          </w:p>
        </w:tc>
        <w:tc>
          <w:tcPr>
            <w:tcW w:w="1799" w:type="dxa"/>
          </w:tcPr>
          <w:p w14:paraId="011A188C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Narrative review/ program description</w:t>
            </w:r>
          </w:p>
        </w:tc>
        <w:tc>
          <w:tcPr>
            <w:tcW w:w="2693" w:type="dxa"/>
          </w:tcPr>
          <w:p w14:paraId="612C6150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Summarizes community, health system or digital health approaches with implications for policy/ practice.</w:t>
            </w:r>
          </w:p>
        </w:tc>
        <w:tc>
          <w:tcPr>
            <w:tcW w:w="2213" w:type="dxa"/>
          </w:tcPr>
          <w:p w14:paraId="7E9E2B94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could be limited due data availability and context-specific factors.</w:t>
            </w:r>
          </w:p>
        </w:tc>
      </w:tr>
      <w:tr w:rsidR="0047666A" w:rsidRPr="006A0F46" w14:paraId="4BEFA0F1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719F39FB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77</w:t>
            </w:r>
          </w:p>
        </w:tc>
        <w:tc>
          <w:tcPr>
            <w:tcW w:w="6271" w:type="dxa"/>
            <w:vAlign w:val="center"/>
            <w:hideMark/>
          </w:tcPr>
          <w:p w14:paraId="04804055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Barr A, Garrett L, Marten R,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Kadandale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S. Health sector fragmentation: three examples from Sierra Leone. Globalization and Health 2019; 15(1): 8.</w:t>
            </w:r>
          </w:p>
        </w:tc>
        <w:tc>
          <w:tcPr>
            <w:tcW w:w="1630" w:type="dxa"/>
          </w:tcPr>
          <w:p w14:paraId="4730B0F4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Sierra Leone</w:t>
            </w:r>
          </w:p>
        </w:tc>
        <w:tc>
          <w:tcPr>
            <w:tcW w:w="1799" w:type="dxa"/>
          </w:tcPr>
          <w:p w14:paraId="320163B2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Narrative review/ program description</w:t>
            </w:r>
          </w:p>
        </w:tc>
        <w:tc>
          <w:tcPr>
            <w:tcW w:w="2693" w:type="dxa"/>
          </w:tcPr>
          <w:p w14:paraId="7A5A8272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Summarizes community, health system or digital health approaches with implications for policy/ practice.</w:t>
            </w:r>
          </w:p>
        </w:tc>
        <w:tc>
          <w:tcPr>
            <w:tcW w:w="2213" w:type="dxa"/>
          </w:tcPr>
          <w:p w14:paraId="7D4B46FF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could be limited due data availability and context-specific factors.</w:t>
            </w:r>
          </w:p>
        </w:tc>
      </w:tr>
      <w:tr w:rsidR="0047666A" w:rsidRPr="006A0F46" w14:paraId="1EDCAC33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42FE2494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78</w:t>
            </w:r>
          </w:p>
        </w:tc>
        <w:tc>
          <w:tcPr>
            <w:tcW w:w="6271" w:type="dxa"/>
            <w:vAlign w:val="center"/>
            <w:hideMark/>
          </w:tcPr>
          <w:p w14:paraId="2ACE123D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Rajabi M, Ebrahimi P,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Aryankhesal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A. Collaboration between the government and nongovernmental organizations in providing health-care services: A systematic review of challenges. J Educ Health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Promot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2021; 10: 242.</w:t>
            </w:r>
          </w:p>
        </w:tc>
        <w:tc>
          <w:tcPr>
            <w:tcW w:w="1630" w:type="dxa"/>
          </w:tcPr>
          <w:p w14:paraId="3E9E8B26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Global/ Multiple regions</w:t>
            </w:r>
          </w:p>
        </w:tc>
        <w:tc>
          <w:tcPr>
            <w:tcW w:w="1799" w:type="dxa"/>
          </w:tcPr>
          <w:p w14:paraId="634CF43D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Systematic/ scoping review or meta-analysis</w:t>
            </w:r>
          </w:p>
        </w:tc>
        <w:tc>
          <w:tcPr>
            <w:tcW w:w="2693" w:type="dxa"/>
          </w:tcPr>
          <w:p w14:paraId="1A42B449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Synthesizes evidence showing community or digital interventions impact access/quality; key enablers and barriers identified.</w:t>
            </w:r>
          </w:p>
        </w:tc>
        <w:tc>
          <w:tcPr>
            <w:tcW w:w="2213" w:type="dxa"/>
          </w:tcPr>
          <w:p w14:paraId="0C0B0C1F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Limited by heterogeneity of included studies and potential publication bias.</w:t>
            </w:r>
          </w:p>
        </w:tc>
      </w:tr>
      <w:tr w:rsidR="0047666A" w:rsidRPr="006A0F46" w14:paraId="3AEEF315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12C6D714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79</w:t>
            </w:r>
          </w:p>
        </w:tc>
        <w:tc>
          <w:tcPr>
            <w:tcW w:w="6271" w:type="dxa"/>
            <w:vAlign w:val="center"/>
            <w:hideMark/>
          </w:tcPr>
          <w:p w14:paraId="7135D6BB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Assembly WH. Community health workers delivering primary health care: opportunities and challenges. World Health Organization 2019.</w:t>
            </w:r>
          </w:p>
        </w:tc>
        <w:tc>
          <w:tcPr>
            <w:tcW w:w="1630" w:type="dxa"/>
          </w:tcPr>
          <w:p w14:paraId="397BB42D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Not specified/ general</w:t>
            </w:r>
          </w:p>
        </w:tc>
        <w:tc>
          <w:tcPr>
            <w:tcW w:w="1799" w:type="dxa"/>
          </w:tcPr>
          <w:p w14:paraId="59BC0015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Narrative review/ program description</w:t>
            </w:r>
          </w:p>
        </w:tc>
        <w:tc>
          <w:tcPr>
            <w:tcW w:w="2693" w:type="dxa"/>
          </w:tcPr>
          <w:p w14:paraId="1C5C0863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Summarizes community, health system or digital health approaches with implications for policy/ practice.</w:t>
            </w:r>
          </w:p>
        </w:tc>
        <w:tc>
          <w:tcPr>
            <w:tcW w:w="2213" w:type="dxa"/>
          </w:tcPr>
          <w:p w14:paraId="11BA80E1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could be limited due data availability and context-specific factors.</w:t>
            </w:r>
          </w:p>
        </w:tc>
      </w:tr>
      <w:tr w:rsidR="0047666A" w:rsidRPr="006A0F46" w14:paraId="07DBE15E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7BF04112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80</w:t>
            </w:r>
          </w:p>
        </w:tc>
        <w:tc>
          <w:tcPr>
            <w:tcW w:w="6271" w:type="dxa"/>
            <w:vAlign w:val="center"/>
            <w:hideMark/>
          </w:tcPr>
          <w:p w14:paraId="4AFD4494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Afzal MM,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Pariyo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GW, Lassi ZS, Perry HB. Community health workers at the dawn of a new era: 2. Planning, coordination, </w:t>
            </w: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lastRenderedPageBreak/>
              <w:t>and partnerships. Health Research Policy and Systems 2021; 19: 1-17.</w:t>
            </w:r>
          </w:p>
        </w:tc>
        <w:tc>
          <w:tcPr>
            <w:tcW w:w="1630" w:type="dxa"/>
          </w:tcPr>
          <w:p w14:paraId="713CB11D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lastRenderedPageBreak/>
              <w:t>Not specified/ general</w:t>
            </w:r>
          </w:p>
        </w:tc>
        <w:tc>
          <w:tcPr>
            <w:tcW w:w="1799" w:type="dxa"/>
          </w:tcPr>
          <w:p w14:paraId="40638D16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 xml:space="preserve">Historical/ policy/ </w:t>
            </w:r>
            <w:r w:rsidRPr="006A0F46">
              <w:rPr>
                <w:rFonts w:cs="Calibri"/>
                <w:color w:val="000000" w:themeColor="text1"/>
                <w:sz w:val="24"/>
              </w:rPr>
              <w:lastRenderedPageBreak/>
              <w:t>commentary or case study</w:t>
            </w:r>
          </w:p>
        </w:tc>
        <w:tc>
          <w:tcPr>
            <w:tcW w:w="2693" w:type="dxa"/>
          </w:tcPr>
          <w:p w14:paraId="46286008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lastRenderedPageBreak/>
              <w:t xml:space="preserve">Policy-oriented synthesis or perspective outlining </w:t>
            </w:r>
            <w:r w:rsidRPr="006A0F46">
              <w:rPr>
                <w:rFonts w:cs="Calibri"/>
                <w:color w:val="000000" w:themeColor="text1"/>
                <w:sz w:val="24"/>
              </w:rPr>
              <w:lastRenderedPageBreak/>
              <w:t>priorities and frameworks for strengthening PHC or digital health.</w:t>
            </w:r>
          </w:p>
        </w:tc>
        <w:tc>
          <w:tcPr>
            <w:tcW w:w="2213" w:type="dxa"/>
          </w:tcPr>
          <w:p w14:paraId="15F8E0FC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lastRenderedPageBreak/>
              <w:t xml:space="preserve">Not primary empirical research; </w:t>
            </w:r>
            <w:r w:rsidRPr="006A0F46">
              <w:rPr>
                <w:rFonts w:cs="Calibri"/>
                <w:color w:val="000000" w:themeColor="text1"/>
                <w:sz w:val="24"/>
              </w:rPr>
              <w:lastRenderedPageBreak/>
              <w:t>limited quantitative effect estimates.</w:t>
            </w:r>
          </w:p>
        </w:tc>
      </w:tr>
      <w:tr w:rsidR="0047666A" w:rsidRPr="006A0F46" w14:paraId="45C6E249" w14:textId="77777777" w:rsidTr="008C2B83">
        <w:trPr>
          <w:trHeight w:val="900"/>
        </w:trPr>
        <w:tc>
          <w:tcPr>
            <w:tcW w:w="562" w:type="dxa"/>
            <w:noWrap/>
            <w:vAlign w:val="center"/>
            <w:hideMark/>
          </w:tcPr>
          <w:p w14:paraId="19618102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lastRenderedPageBreak/>
              <w:t>81</w:t>
            </w:r>
          </w:p>
        </w:tc>
        <w:tc>
          <w:tcPr>
            <w:tcW w:w="6271" w:type="dxa"/>
            <w:vAlign w:val="center"/>
            <w:hideMark/>
          </w:tcPr>
          <w:p w14:paraId="4C9EE37F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Musoke D,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Atusingwize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E,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Ndejjo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R,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Ssemugabo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C, Siebert P, Gibson L. Enhancing performance and sustainability of community health worker programs in Uganda: lessons and experiences from stakeholders. Global Health: Science and Practice 2021; 9(4): 855-68.</w:t>
            </w:r>
          </w:p>
        </w:tc>
        <w:tc>
          <w:tcPr>
            <w:tcW w:w="1630" w:type="dxa"/>
          </w:tcPr>
          <w:p w14:paraId="068A5AB4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Uganda</w:t>
            </w:r>
          </w:p>
        </w:tc>
        <w:tc>
          <w:tcPr>
            <w:tcW w:w="1799" w:type="dxa"/>
          </w:tcPr>
          <w:p w14:paraId="04C65D86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Narrative review/ program description</w:t>
            </w:r>
          </w:p>
        </w:tc>
        <w:tc>
          <w:tcPr>
            <w:tcW w:w="2693" w:type="dxa"/>
          </w:tcPr>
          <w:p w14:paraId="48FE7EA6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Summarizes community, health system or digital health approaches with implications for policy/practice.</w:t>
            </w:r>
          </w:p>
        </w:tc>
        <w:tc>
          <w:tcPr>
            <w:tcW w:w="2213" w:type="dxa"/>
          </w:tcPr>
          <w:p w14:paraId="664D7D25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could be limited due data availability and context-specific factors.</w:t>
            </w:r>
          </w:p>
        </w:tc>
      </w:tr>
      <w:tr w:rsidR="0047666A" w:rsidRPr="006A0F46" w14:paraId="6240ABC7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79E3EF4B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82</w:t>
            </w:r>
          </w:p>
        </w:tc>
        <w:tc>
          <w:tcPr>
            <w:tcW w:w="6271" w:type="dxa"/>
            <w:vAlign w:val="center"/>
            <w:hideMark/>
          </w:tcPr>
          <w:p w14:paraId="38601C37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Krah E, de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Kruijf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J, Ragno L. Integrating Traditional Healers into the Health Care System: Challenges and Opportunities in Rural Northern Ghana. J Community Health 2018; 43(1): 157-63.</w:t>
            </w:r>
          </w:p>
        </w:tc>
        <w:tc>
          <w:tcPr>
            <w:tcW w:w="1630" w:type="dxa"/>
          </w:tcPr>
          <w:p w14:paraId="5A272925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Ghana</w:t>
            </w:r>
          </w:p>
        </w:tc>
        <w:tc>
          <w:tcPr>
            <w:tcW w:w="1799" w:type="dxa"/>
          </w:tcPr>
          <w:p w14:paraId="2B624F01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Narrative review/ program description</w:t>
            </w:r>
          </w:p>
        </w:tc>
        <w:tc>
          <w:tcPr>
            <w:tcW w:w="2693" w:type="dxa"/>
          </w:tcPr>
          <w:p w14:paraId="757D95AD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Summarizes community, health system or digital health approaches with implications for policy/ practice.</w:t>
            </w:r>
          </w:p>
        </w:tc>
        <w:tc>
          <w:tcPr>
            <w:tcW w:w="2213" w:type="dxa"/>
          </w:tcPr>
          <w:p w14:paraId="6DE41684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could be limited due data availability and context-specific factors.</w:t>
            </w:r>
          </w:p>
        </w:tc>
      </w:tr>
      <w:tr w:rsidR="0047666A" w:rsidRPr="006A0F46" w14:paraId="27EDC1E9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660AEBCC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83</w:t>
            </w:r>
          </w:p>
        </w:tc>
        <w:tc>
          <w:tcPr>
            <w:tcW w:w="6271" w:type="dxa"/>
            <w:vAlign w:val="center"/>
            <w:hideMark/>
          </w:tcPr>
          <w:p w14:paraId="4C04F0A3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Sieverding M, Beyeler N. Integrating informal providers into a people-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centered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health systems approach: qualitative evidence from local health systems in rural Nigeria. BMC Health Serv Res 2016; 16(1): 526.</w:t>
            </w:r>
          </w:p>
        </w:tc>
        <w:tc>
          <w:tcPr>
            <w:tcW w:w="1630" w:type="dxa"/>
          </w:tcPr>
          <w:p w14:paraId="74907CE5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Nigeria</w:t>
            </w:r>
          </w:p>
        </w:tc>
        <w:tc>
          <w:tcPr>
            <w:tcW w:w="1799" w:type="dxa"/>
          </w:tcPr>
          <w:p w14:paraId="66145BAB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Qualitative interviews/ focus groups/ thematic analysis</w:t>
            </w:r>
          </w:p>
        </w:tc>
        <w:tc>
          <w:tcPr>
            <w:tcW w:w="2693" w:type="dxa"/>
          </w:tcPr>
          <w:p w14:paraId="360DA057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Provides qualitative insights into implementation, acceptability and system-level enablers and barriers.</w:t>
            </w:r>
          </w:p>
        </w:tc>
        <w:tc>
          <w:tcPr>
            <w:tcW w:w="2213" w:type="dxa"/>
          </w:tcPr>
          <w:p w14:paraId="43CCEEB0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Context-specific findings from purposive samples; Findings may not be broadly applicable</w:t>
            </w:r>
          </w:p>
        </w:tc>
      </w:tr>
      <w:tr w:rsidR="0047666A" w:rsidRPr="006A0F46" w14:paraId="37981987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6734D7AA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84</w:t>
            </w:r>
          </w:p>
        </w:tc>
        <w:tc>
          <w:tcPr>
            <w:tcW w:w="6271" w:type="dxa"/>
            <w:vAlign w:val="center"/>
            <w:hideMark/>
          </w:tcPr>
          <w:p w14:paraId="714294A8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Musoke D,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Ndejjo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R,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Atusingwize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E, Mukama T,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Ssemugabo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C, Gibson L. Performance of community health workers and associated factors in a rural community in Wakiso district, Uganda. African Health Sciences 2019; 19(3): 2784-97.</w:t>
            </w:r>
          </w:p>
        </w:tc>
        <w:tc>
          <w:tcPr>
            <w:tcW w:w="1630" w:type="dxa"/>
          </w:tcPr>
          <w:p w14:paraId="224DF38F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Uganda</w:t>
            </w:r>
          </w:p>
        </w:tc>
        <w:tc>
          <w:tcPr>
            <w:tcW w:w="1799" w:type="dxa"/>
          </w:tcPr>
          <w:p w14:paraId="2385789D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Narrative review/ program description</w:t>
            </w:r>
          </w:p>
        </w:tc>
        <w:tc>
          <w:tcPr>
            <w:tcW w:w="2693" w:type="dxa"/>
          </w:tcPr>
          <w:p w14:paraId="5270D356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Summarizes community, health system or digital health approaches with implications for policy/ practice.</w:t>
            </w:r>
          </w:p>
        </w:tc>
        <w:tc>
          <w:tcPr>
            <w:tcW w:w="2213" w:type="dxa"/>
          </w:tcPr>
          <w:p w14:paraId="4D685BD7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could be limited due data availability and context-specific factors.</w:t>
            </w:r>
          </w:p>
        </w:tc>
      </w:tr>
      <w:tr w:rsidR="0047666A" w:rsidRPr="006A0F46" w14:paraId="011B49D7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61182263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85</w:t>
            </w:r>
          </w:p>
        </w:tc>
        <w:tc>
          <w:tcPr>
            <w:tcW w:w="6271" w:type="dxa"/>
            <w:vAlign w:val="center"/>
            <w:hideMark/>
          </w:tcPr>
          <w:p w14:paraId="75EC21B4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Barimah KB. Traditional healers as service providers in Ghana's National Health Insurance Scheme: the wrong way forward? Glob Public Health 2013; 8(2): 202-8.</w:t>
            </w:r>
          </w:p>
        </w:tc>
        <w:tc>
          <w:tcPr>
            <w:tcW w:w="1630" w:type="dxa"/>
          </w:tcPr>
          <w:p w14:paraId="7ED5EC40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Ghana</w:t>
            </w:r>
          </w:p>
        </w:tc>
        <w:tc>
          <w:tcPr>
            <w:tcW w:w="1799" w:type="dxa"/>
          </w:tcPr>
          <w:p w14:paraId="6FD548CF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Narrative review/ program description</w:t>
            </w:r>
          </w:p>
        </w:tc>
        <w:tc>
          <w:tcPr>
            <w:tcW w:w="2693" w:type="dxa"/>
          </w:tcPr>
          <w:p w14:paraId="64572D40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Summarizes community, health system or digital health approaches with implications for policy/ practice.</w:t>
            </w:r>
          </w:p>
        </w:tc>
        <w:tc>
          <w:tcPr>
            <w:tcW w:w="2213" w:type="dxa"/>
          </w:tcPr>
          <w:p w14:paraId="7F6FDA6B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could be limited due data availability and context-specific factors.</w:t>
            </w:r>
          </w:p>
        </w:tc>
      </w:tr>
      <w:tr w:rsidR="0047666A" w:rsidRPr="006A0F46" w14:paraId="7244E302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0EEC601A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lastRenderedPageBreak/>
              <w:t>86</w:t>
            </w:r>
          </w:p>
        </w:tc>
        <w:tc>
          <w:tcPr>
            <w:tcW w:w="6271" w:type="dxa"/>
            <w:vAlign w:val="center"/>
            <w:hideMark/>
          </w:tcPr>
          <w:p w14:paraId="1D2F7242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Organization WH. HIV causing Tuberculosis cases to Double in Africa https://www.who.int/news/item/23-04-2001-hiv-causing-tuberculosis-cases-to-double-in-africa accessed 15 May 2025. 2001.</w:t>
            </w:r>
          </w:p>
        </w:tc>
        <w:tc>
          <w:tcPr>
            <w:tcW w:w="1630" w:type="dxa"/>
          </w:tcPr>
          <w:p w14:paraId="403EFE6B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Global/ Multiple regions</w:t>
            </w:r>
          </w:p>
        </w:tc>
        <w:tc>
          <w:tcPr>
            <w:tcW w:w="1799" w:type="dxa"/>
          </w:tcPr>
          <w:p w14:paraId="4BB3260D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Narrative review/ program description</w:t>
            </w:r>
          </w:p>
        </w:tc>
        <w:tc>
          <w:tcPr>
            <w:tcW w:w="2693" w:type="dxa"/>
          </w:tcPr>
          <w:p w14:paraId="32C79458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Policy-oriented synthesis or perspective outlining priorities and frameworks for strengthening PHC or digital health.</w:t>
            </w:r>
          </w:p>
        </w:tc>
        <w:tc>
          <w:tcPr>
            <w:tcW w:w="2213" w:type="dxa"/>
          </w:tcPr>
          <w:p w14:paraId="2D92C2B8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could be limited due data availability and context-specific factors.</w:t>
            </w:r>
          </w:p>
        </w:tc>
      </w:tr>
      <w:tr w:rsidR="0047666A" w:rsidRPr="006A0F46" w14:paraId="45AD4470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57C5BF95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87</w:t>
            </w:r>
          </w:p>
        </w:tc>
        <w:tc>
          <w:tcPr>
            <w:tcW w:w="6271" w:type="dxa"/>
            <w:vAlign w:val="center"/>
            <w:hideMark/>
          </w:tcPr>
          <w:p w14:paraId="58539AB5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Chaisson RE, Martinson NA. Tuberculosis in Africa — Combating an HIV-Driven Crisis. New England Journal of Medicine 2008; 358(11): 1089-92.</w:t>
            </w:r>
          </w:p>
        </w:tc>
        <w:tc>
          <w:tcPr>
            <w:tcW w:w="1630" w:type="dxa"/>
          </w:tcPr>
          <w:p w14:paraId="1A62FAF5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Not specified / general</w:t>
            </w:r>
          </w:p>
        </w:tc>
        <w:tc>
          <w:tcPr>
            <w:tcW w:w="1799" w:type="dxa"/>
          </w:tcPr>
          <w:p w14:paraId="62423D61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Narrative review/ program description</w:t>
            </w:r>
          </w:p>
        </w:tc>
        <w:tc>
          <w:tcPr>
            <w:tcW w:w="2693" w:type="dxa"/>
          </w:tcPr>
          <w:p w14:paraId="22398ACE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Summarizes community, health system or digital health approaches with implications for policy/ practice.</w:t>
            </w:r>
          </w:p>
        </w:tc>
        <w:tc>
          <w:tcPr>
            <w:tcW w:w="2213" w:type="dxa"/>
          </w:tcPr>
          <w:p w14:paraId="148ECF24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could be limited due data availability and context-specific factors.</w:t>
            </w:r>
          </w:p>
        </w:tc>
      </w:tr>
      <w:tr w:rsidR="0047666A" w:rsidRPr="006A0F46" w14:paraId="35A7065C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2327448C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88</w:t>
            </w:r>
          </w:p>
        </w:tc>
        <w:tc>
          <w:tcPr>
            <w:tcW w:w="6271" w:type="dxa"/>
            <w:vAlign w:val="center"/>
            <w:hideMark/>
          </w:tcPr>
          <w:p w14:paraId="347D69C1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val="pt-PT" w:eastAsia="en-AU"/>
                <w14:ligatures w14:val="none"/>
              </w:rPr>
              <w:t xml:space="preserve">Li C, Islam N, Gutierrez JP, et al. </w:t>
            </w: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Associations of diabetes, hypertension and obesity with COVID-19 mortality: a systematic review and meta-analysis. BMJ Glob Health 2023; 8(12).</w:t>
            </w:r>
          </w:p>
        </w:tc>
        <w:tc>
          <w:tcPr>
            <w:tcW w:w="1630" w:type="dxa"/>
          </w:tcPr>
          <w:p w14:paraId="4A4EE21C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Global/ Multiple regions</w:t>
            </w:r>
          </w:p>
        </w:tc>
        <w:tc>
          <w:tcPr>
            <w:tcW w:w="1799" w:type="dxa"/>
          </w:tcPr>
          <w:p w14:paraId="4F453393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Systematic/ scoping review or meta-analysis</w:t>
            </w:r>
          </w:p>
        </w:tc>
        <w:tc>
          <w:tcPr>
            <w:tcW w:w="2693" w:type="dxa"/>
          </w:tcPr>
          <w:p w14:paraId="2CD85B5B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Synthesizes evidence showing community or digital interventions impact access/quality; key enablers and barriers identified.</w:t>
            </w:r>
          </w:p>
        </w:tc>
        <w:tc>
          <w:tcPr>
            <w:tcW w:w="2213" w:type="dxa"/>
          </w:tcPr>
          <w:p w14:paraId="03357A72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Limited by heterogeneity of included studies and potential publication bias.</w:t>
            </w:r>
          </w:p>
        </w:tc>
      </w:tr>
      <w:tr w:rsidR="0047666A" w:rsidRPr="006A0F46" w14:paraId="43CFC554" w14:textId="77777777" w:rsidTr="008C2B83">
        <w:trPr>
          <w:trHeight w:val="900"/>
        </w:trPr>
        <w:tc>
          <w:tcPr>
            <w:tcW w:w="562" w:type="dxa"/>
            <w:noWrap/>
            <w:vAlign w:val="center"/>
            <w:hideMark/>
          </w:tcPr>
          <w:p w14:paraId="63ABD1F0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89</w:t>
            </w:r>
          </w:p>
        </w:tc>
        <w:tc>
          <w:tcPr>
            <w:tcW w:w="6271" w:type="dxa"/>
            <w:vAlign w:val="center"/>
            <w:hideMark/>
          </w:tcPr>
          <w:p w14:paraId="51A1BEDA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Organization WH. COVID-19 significantly impacts health services for noncommunicable diseases; https://www.who.int/news/item/01-06-2020-covid-19-significantly-impacts-health-services-for-noncommunicable-diseases accessed on 15 May 2025. 2020.</w:t>
            </w:r>
          </w:p>
        </w:tc>
        <w:tc>
          <w:tcPr>
            <w:tcW w:w="1630" w:type="dxa"/>
          </w:tcPr>
          <w:p w14:paraId="452382CB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Global/ Multiple regions</w:t>
            </w:r>
          </w:p>
        </w:tc>
        <w:tc>
          <w:tcPr>
            <w:tcW w:w="1799" w:type="dxa"/>
          </w:tcPr>
          <w:p w14:paraId="7E5D782A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Narrative review/ program description</w:t>
            </w:r>
          </w:p>
        </w:tc>
        <w:tc>
          <w:tcPr>
            <w:tcW w:w="2693" w:type="dxa"/>
          </w:tcPr>
          <w:p w14:paraId="62D7DBF7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Policy-oriented synthesis or perspective outlining priorities and frameworks for strengthening PHC or digital health.</w:t>
            </w:r>
          </w:p>
        </w:tc>
        <w:tc>
          <w:tcPr>
            <w:tcW w:w="2213" w:type="dxa"/>
          </w:tcPr>
          <w:p w14:paraId="0E1E848D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could be limited due data availability and context-specific factors.</w:t>
            </w:r>
          </w:p>
        </w:tc>
      </w:tr>
      <w:tr w:rsidR="0047666A" w:rsidRPr="006A0F46" w14:paraId="5BA97B8C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14D1F286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90</w:t>
            </w:r>
          </w:p>
        </w:tc>
        <w:tc>
          <w:tcPr>
            <w:tcW w:w="6271" w:type="dxa"/>
            <w:vAlign w:val="center"/>
            <w:hideMark/>
          </w:tcPr>
          <w:p w14:paraId="5551AB56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val="pt-PT" w:eastAsia="en-AU"/>
                <w14:ligatures w14:val="none"/>
              </w:rPr>
              <w:t xml:space="preserve">Nachega JB, Kapata N, Sam-Agudu NA, et al. </w:t>
            </w: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Minimizing the impact of the triple burden of COVID-19, tuberculosis and HIV on health services in sub-Saharan Africa. Int J Infect Dis 2021; 113 Suppl 1: S16-s21.</w:t>
            </w:r>
          </w:p>
        </w:tc>
        <w:tc>
          <w:tcPr>
            <w:tcW w:w="1630" w:type="dxa"/>
          </w:tcPr>
          <w:p w14:paraId="3926E5F9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Not specified/ general</w:t>
            </w:r>
          </w:p>
        </w:tc>
        <w:tc>
          <w:tcPr>
            <w:tcW w:w="1799" w:type="dxa"/>
          </w:tcPr>
          <w:p w14:paraId="2451523B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Narrative review/ program description</w:t>
            </w:r>
          </w:p>
        </w:tc>
        <w:tc>
          <w:tcPr>
            <w:tcW w:w="2693" w:type="dxa"/>
          </w:tcPr>
          <w:p w14:paraId="5ECC73EE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Summarizes community, health system or digital health approaches with implications for policy/ practice.</w:t>
            </w:r>
          </w:p>
        </w:tc>
        <w:tc>
          <w:tcPr>
            <w:tcW w:w="2213" w:type="dxa"/>
          </w:tcPr>
          <w:p w14:paraId="64884AC6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could be limited due data availability and context-specific factors.</w:t>
            </w:r>
          </w:p>
        </w:tc>
      </w:tr>
      <w:tr w:rsidR="0047666A" w:rsidRPr="006A0F46" w14:paraId="7D85CF43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0FF5A019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91</w:t>
            </w:r>
          </w:p>
        </w:tc>
        <w:tc>
          <w:tcPr>
            <w:tcW w:w="6271" w:type="dxa"/>
            <w:vAlign w:val="center"/>
            <w:hideMark/>
          </w:tcPr>
          <w:p w14:paraId="5D0BAAAF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Akselrod S, Collins TE, Hoe C, et al. Building an interdisciplinary workforce for prevention and control of non-</w:t>
            </w: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lastRenderedPageBreak/>
              <w:t xml:space="preserve">communicable diseases: the role of e-learning.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bmj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2023; 381.</w:t>
            </w:r>
          </w:p>
        </w:tc>
        <w:tc>
          <w:tcPr>
            <w:tcW w:w="1630" w:type="dxa"/>
          </w:tcPr>
          <w:p w14:paraId="239FDFFB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lastRenderedPageBreak/>
              <w:t>Not specified/ general</w:t>
            </w:r>
          </w:p>
        </w:tc>
        <w:tc>
          <w:tcPr>
            <w:tcW w:w="1799" w:type="dxa"/>
          </w:tcPr>
          <w:p w14:paraId="476062F2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 xml:space="preserve">Narrative review/ </w:t>
            </w:r>
            <w:r w:rsidRPr="006A0F46">
              <w:rPr>
                <w:rFonts w:cs="Calibri"/>
                <w:color w:val="000000" w:themeColor="text1"/>
                <w:sz w:val="24"/>
              </w:rPr>
              <w:lastRenderedPageBreak/>
              <w:t>program description</w:t>
            </w:r>
          </w:p>
        </w:tc>
        <w:tc>
          <w:tcPr>
            <w:tcW w:w="2693" w:type="dxa"/>
          </w:tcPr>
          <w:p w14:paraId="57C0B1AF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lastRenderedPageBreak/>
              <w:t xml:space="preserve">Summarizes community, health system or digital </w:t>
            </w:r>
            <w:r w:rsidRPr="006A0F46">
              <w:rPr>
                <w:rFonts w:cs="Calibri"/>
                <w:color w:val="000000" w:themeColor="text1"/>
                <w:sz w:val="24"/>
              </w:rPr>
              <w:lastRenderedPageBreak/>
              <w:t>health approaches with implications for policy/ practice.</w:t>
            </w:r>
          </w:p>
        </w:tc>
        <w:tc>
          <w:tcPr>
            <w:tcW w:w="2213" w:type="dxa"/>
          </w:tcPr>
          <w:p w14:paraId="166D6343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lastRenderedPageBreak/>
              <w:t xml:space="preserve">Findings could be limited due data </w:t>
            </w:r>
            <w:r w:rsidRPr="006A0F46">
              <w:rPr>
                <w:rFonts w:cs="Calibri"/>
                <w:color w:val="000000" w:themeColor="text1"/>
                <w:sz w:val="24"/>
              </w:rPr>
              <w:lastRenderedPageBreak/>
              <w:t>availability and context-specific factors.</w:t>
            </w:r>
          </w:p>
        </w:tc>
      </w:tr>
      <w:tr w:rsidR="0047666A" w:rsidRPr="006A0F46" w14:paraId="13383651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116D39F3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lastRenderedPageBreak/>
              <w:t>92</w:t>
            </w:r>
          </w:p>
        </w:tc>
        <w:tc>
          <w:tcPr>
            <w:tcW w:w="6271" w:type="dxa"/>
            <w:vAlign w:val="center"/>
            <w:hideMark/>
          </w:tcPr>
          <w:p w14:paraId="2654D574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val="pt-PT" w:eastAsia="en-AU"/>
                <w14:ligatures w14:val="none"/>
              </w:rPr>
              <w:t xml:space="preserve">Hambleton IR, Caixeta R, Jeyaseelan SM, Luciani S, Hennis AJM. </w:t>
            </w: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The rising burden of non-communicable diseases in the Americas and the impact of population aging: a secondary analysis of available data. Lancet Reg Health Am 2023; 21: 100483.</w:t>
            </w:r>
          </w:p>
        </w:tc>
        <w:tc>
          <w:tcPr>
            <w:tcW w:w="1630" w:type="dxa"/>
          </w:tcPr>
          <w:p w14:paraId="1F8D8322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Americas</w:t>
            </w:r>
          </w:p>
        </w:tc>
        <w:tc>
          <w:tcPr>
            <w:tcW w:w="1799" w:type="dxa"/>
          </w:tcPr>
          <w:p w14:paraId="12EC677A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Narrative review/ program description</w:t>
            </w:r>
          </w:p>
        </w:tc>
        <w:tc>
          <w:tcPr>
            <w:tcW w:w="2693" w:type="dxa"/>
          </w:tcPr>
          <w:p w14:paraId="124A68AC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Summarizes community, health system or digital health approaches with implications for policy/ practice.</w:t>
            </w:r>
          </w:p>
        </w:tc>
        <w:tc>
          <w:tcPr>
            <w:tcW w:w="2213" w:type="dxa"/>
          </w:tcPr>
          <w:p w14:paraId="4B9E4E8C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could be limited due data availability and context-specific factors.</w:t>
            </w:r>
          </w:p>
        </w:tc>
      </w:tr>
      <w:tr w:rsidR="0047666A" w:rsidRPr="006A0F46" w14:paraId="39B69E2C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6E8872A7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93</w:t>
            </w:r>
          </w:p>
        </w:tc>
        <w:tc>
          <w:tcPr>
            <w:tcW w:w="6271" w:type="dxa"/>
            <w:vAlign w:val="center"/>
            <w:hideMark/>
          </w:tcPr>
          <w:p w14:paraId="03A35779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Bygbjerg IC. Double Burden of Noncommunicable and Infectious Diseases in Developing Countries. Science 2012; 337(6101): 1499-501.</w:t>
            </w:r>
          </w:p>
        </w:tc>
        <w:tc>
          <w:tcPr>
            <w:tcW w:w="1630" w:type="dxa"/>
          </w:tcPr>
          <w:p w14:paraId="2C5F7887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Not specified/ general</w:t>
            </w:r>
          </w:p>
        </w:tc>
        <w:tc>
          <w:tcPr>
            <w:tcW w:w="1799" w:type="dxa"/>
          </w:tcPr>
          <w:p w14:paraId="659F9607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Narrative review/ program description</w:t>
            </w:r>
          </w:p>
        </w:tc>
        <w:tc>
          <w:tcPr>
            <w:tcW w:w="2693" w:type="dxa"/>
          </w:tcPr>
          <w:p w14:paraId="364B7338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Summarizes community, health system or digital health approaches with implications for policy/ practice.</w:t>
            </w:r>
          </w:p>
        </w:tc>
        <w:tc>
          <w:tcPr>
            <w:tcW w:w="2213" w:type="dxa"/>
          </w:tcPr>
          <w:p w14:paraId="078FFBAC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could be limited due data availability and context-specific factors.</w:t>
            </w:r>
          </w:p>
        </w:tc>
      </w:tr>
      <w:tr w:rsidR="0047666A" w:rsidRPr="006A0F46" w14:paraId="1C3EAEAA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2DDEC9AA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94</w:t>
            </w:r>
          </w:p>
        </w:tc>
        <w:tc>
          <w:tcPr>
            <w:tcW w:w="6271" w:type="dxa"/>
            <w:vAlign w:val="center"/>
            <w:hideMark/>
          </w:tcPr>
          <w:p w14:paraId="56EB43C4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Weber H. Age structure and political violence: a re-assessment of the “youth bulge” hypothesis. International Interactions 2019; 45(1): 80-112.</w:t>
            </w:r>
          </w:p>
        </w:tc>
        <w:tc>
          <w:tcPr>
            <w:tcW w:w="1630" w:type="dxa"/>
          </w:tcPr>
          <w:p w14:paraId="1A939B36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Global/ Multiple regions</w:t>
            </w:r>
          </w:p>
        </w:tc>
        <w:tc>
          <w:tcPr>
            <w:tcW w:w="1799" w:type="dxa"/>
          </w:tcPr>
          <w:p w14:paraId="2BB61466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Narrative review/ program description</w:t>
            </w:r>
          </w:p>
        </w:tc>
        <w:tc>
          <w:tcPr>
            <w:tcW w:w="2693" w:type="dxa"/>
          </w:tcPr>
          <w:p w14:paraId="03396639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Summarizes community, health system or digital health approaches with implications for policy/ practice.</w:t>
            </w:r>
          </w:p>
        </w:tc>
        <w:tc>
          <w:tcPr>
            <w:tcW w:w="2213" w:type="dxa"/>
          </w:tcPr>
          <w:p w14:paraId="4C135207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could be limited due data availability and context-specific factors.</w:t>
            </w:r>
          </w:p>
        </w:tc>
      </w:tr>
      <w:tr w:rsidR="0047666A" w:rsidRPr="006A0F46" w14:paraId="41FCC9A2" w14:textId="77777777" w:rsidTr="008C2B83">
        <w:trPr>
          <w:trHeight w:val="300"/>
        </w:trPr>
        <w:tc>
          <w:tcPr>
            <w:tcW w:w="562" w:type="dxa"/>
            <w:noWrap/>
            <w:vAlign w:val="center"/>
            <w:hideMark/>
          </w:tcPr>
          <w:p w14:paraId="2BBF6B41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95</w:t>
            </w:r>
          </w:p>
        </w:tc>
        <w:tc>
          <w:tcPr>
            <w:tcW w:w="6271" w:type="dxa"/>
            <w:vAlign w:val="center"/>
            <w:hideMark/>
          </w:tcPr>
          <w:p w14:paraId="698258A1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Jimenez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EYaM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,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Murgai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. Investing in the Youth Bulge. Finance &amp; Development 2006; 43(3).</w:t>
            </w:r>
          </w:p>
        </w:tc>
        <w:tc>
          <w:tcPr>
            <w:tcW w:w="1630" w:type="dxa"/>
          </w:tcPr>
          <w:p w14:paraId="488F0549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Not specified/ general</w:t>
            </w:r>
          </w:p>
        </w:tc>
        <w:tc>
          <w:tcPr>
            <w:tcW w:w="1799" w:type="dxa"/>
          </w:tcPr>
          <w:p w14:paraId="31CA9178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Narrative review / program description</w:t>
            </w:r>
          </w:p>
        </w:tc>
        <w:tc>
          <w:tcPr>
            <w:tcW w:w="2693" w:type="dxa"/>
          </w:tcPr>
          <w:p w14:paraId="433B7B2A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Summarizes community, health system or digital health approaches with implications for policy/ practice.</w:t>
            </w:r>
          </w:p>
        </w:tc>
        <w:tc>
          <w:tcPr>
            <w:tcW w:w="2213" w:type="dxa"/>
          </w:tcPr>
          <w:p w14:paraId="5BF0DA8A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could be limited due data availability and context-specific factors.</w:t>
            </w:r>
          </w:p>
        </w:tc>
      </w:tr>
      <w:tr w:rsidR="0047666A" w:rsidRPr="006A0F46" w14:paraId="665B72C2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19D01C1A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96</w:t>
            </w:r>
          </w:p>
        </w:tc>
        <w:tc>
          <w:tcPr>
            <w:tcW w:w="6271" w:type="dxa"/>
            <w:vAlign w:val="center"/>
            <w:hideMark/>
          </w:tcPr>
          <w:p w14:paraId="5FD2D986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Morris JL,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Rushwan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H. Adolescent sexual and reproductive health: The global challenges. International Journal of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Gynecology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&amp; Obstetrics 2015; 131(S1): S40-S2.</w:t>
            </w:r>
          </w:p>
        </w:tc>
        <w:tc>
          <w:tcPr>
            <w:tcW w:w="1630" w:type="dxa"/>
          </w:tcPr>
          <w:p w14:paraId="36EFDFD8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Global</w:t>
            </w:r>
          </w:p>
        </w:tc>
        <w:tc>
          <w:tcPr>
            <w:tcW w:w="1799" w:type="dxa"/>
          </w:tcPr>
          <w:p w14:paraId="2B6B261B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Narrative review/ program description</w:t>
            </w:r>
          </w:p>
        </w:tc>
        <w:tc>
          <w:tcPr>
            <w:tcW w:w="2693" w:type="dxa"/>
          </w:tcPr>
          <w:p w14:paraId="48A19BF8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Summarizes community, health system or digital health approaches with implications for policy/ practice.</w:t>
            </w:r>
          </w:p>
        </w:tc>
        <w:tc>
          <w:tcPr>
            <w:tcW w:w="2213" w:type="dxa"/>
          </w:tcPr>
          <w:p w14:paraId="7AE961D7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could be limited due data availability and context-specific factors.</w:t>
            </w:r>
          </w:p>
        </w:tc>
      </w:tr>
      <w:tr w:rsidR="0047666A" w:rsidRPr="006A0F46" w14:paraId="4A23F6A8" w14:textId="77777777" w:rsidTr="008C2B83">
        <w:trPr>
          <w:trHeight w:val="300"/>
        </w:trPr>
        <w:tc>
          <w:tcPr>
            <w:tcW w:w="562" w:type="dxa"/>
            <w:noWrap/>
            <w:vAlign w:val="center"/>
            <w:hideMark/>
          </w:tcPr>
          <w:p w14:paraId="5D4E6DD7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97</w:t>
            </w:r>
          </w:p>
        </w:tc>
        <w:tc>
          <w:tcPr>
            <w:tcW w:w="6271" w:type="dxa"/>
            <w:vAlign w:val="center"/>
            <w:hideMark/>
          </w:tcPr>
          <w:p w14:paraId="24D8CA7E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Kamanzi N, University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Ii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KI. The Impact of Urbanization on Public Health. 2024; 5: 13-6.</w:t>
            </w:r>
          </w:p>
        </w:tc>
        <w:tc>
          <w:tcPr>
            <w:tcW w:w="1630" w:type="dxa"/>
          </w:tcPr>
          <w:p w14:paraId="2BDD0124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Not specified / general</w:t>
            </w:r>
          </w:p>
        </w:tc>
        <w:tc>
          <w:tcPr>
            <w:tcW w:w="1799" w:type="dxa"/>
          </w:tcPr>
          <w:p w14:paraId="588192DA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 xml:space="preserve">Narrative review/ </w:t>
            </w:r>
            <w:r w:rsidRPr="006A0F46">
              <w:rPr>
                <w:rFonts w:cs="Calibri"/>
                <w:color w:val="000000" w:themeColor="text1"/>
                <w:sz w:val="24"/>
              </w:rPr>
              <w:lastRenderedPageBreak/>
              <w:t>program description</w:t>
            </w:r>
          </w:p>
        </w:tc>
        <w:tc>
          <w:tcPr>
            <w:tcW w:w="2693" w:type="dxa"/>
          </w:tcPr>
          <w:p w14:paraId="7DEB87B0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lastRenderedPageBreak/>
              <w:t xml:space="preserve">Summarizes community, health system or digital </w:t>
            </w:r>
            <w:r w:rsidRPr="006A0F46">
              <w:rPr>
                <w:rFonts w:cs="Calibri"/>
                <w:color w:val="000000" w:themeColor="text1"/>
                <w:sz w:val="24"/>
              </w:rPr>
              <w:lastRenderedPageBreak/>
              <w:t>health approaches with implications for policy/ practice.</w:t>
            </w:r>
          </w:p>
        </w:tc>
        <w:tc>
          <w:tcPr>
            <w:tcW w:w="2213" w:type="dxa"/>
          </w:tcPr>
          <w:p w14:paraId="4FC16A9D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lastRenderedPageBreak/>
              <w:t xml:space="preserve">Findings could be limited due data </w:t>
            </w:r>
            <w:r w:rsidRPr="006A0F46">
              <w:rPr>
                <w:rFonts w:cs="Calibri"/>
                <w:color w:val="000000" w:themeColor="text1"/>
                <w:sz w:val="24"/>
              </w:rPr>
              <w:lastRenderedPageBreak/>
              <w:t>availability and context-specific factors.</w:t>
            </w:r>
          </w:p>
        </w:tc>
      </w:tr>
      <w:tr w:rsidR="0047666A" w:rsidRPr="006A0F46" w14:paraId="3A0F3D7B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60BA5AE7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lastRenderedPageBreak/>
              <w:t>98</w:t>
            </w:r>
          </w:p>
        </w:tc>
        <w:tc>
          <w:tcPr>
            <w:tcW w:w="6271" w:type="dxa"/>
            <w:vAlign w:val="center"/>
            <w:hideMark/>
          </w:tcPr>
          <w:p w14:paraId="683E41E2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val="pt-PT" w:eastAsia="en-AU"/>
                <w14:ligatures w14:val="none"/>
              </w:rPr>
              <w:t xml:space="preserve">Cacciatore S, Mao S, Nuñez MV, et al. </w:t>
            </w: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Urban health inequities and healthy longevity: traditional and emerging risk factors across the cities and policy implications. Aging Clinical and Experimental Research 2025; 37(1): 143.</w:t>
            </w:r>
          </w:p>
        </w:tc>
        <w:tc>
          <w:tcPr>
            <w:tcW w:w="1630" w:type="dxa"/>
          </w:tcPr>
          <w:p w14:paraId="37725F82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Not specified/ general</w:t>
            </w:r>
          </w:p>
        </w:tc>
        <w:tc>
          <w:tcPr>
            <w:tcW w:w="1799" w:type="dxa"/>
          </w:tcPr>
          <w:p w14:paraId="39C6C0FD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Historical/ policy/ commentary or case study</w:t>
            </w:r>
          </w:p>
        </w:tc>
        <w:tc>
          <w:tcPr>
            <w:tcW w:w="2693" w:type="dxa"/>
          </w:tcPr>
          <w:p w14:paraId="18E67DAF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Policy-oriented synthesis or perspective outlining priorities and frameworks for strengthening PHC or digital health.</w:t>
            </w:r>
          </w:p>
        </w:tc>
        <w:tc>
          <w:tcPr>
            <w:tcW w:w="2213" w:type="dxa"/>
          </w:tcPr>
          <w:p w14:paraId="5D7058E5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Not primary empirical research; limited quantitative effect estimates.</w:t>
            </w:r>
          </w:p>
        </w:tc>
      </w:tr>
      <w:tr w:rsidR="0047666A" w:rsidRPr="006A0F46" w14:paraId="2628F5DC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75B66DEC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99</w:t>
            </w:r>
          </w:p>
        </w:tc>
        <w:tc>
          <w:tcPr>
            <w:tcW w:w="6271" w:type="dxa"/>
            <w:vAlign w:val="center"/>
            <w:hideMark/>
          </w:tcPr>
          <w:p w14:paraId="72A3F98E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Park JE, Kibe P, Yeboah G, et al. Factors associated with accessing and utilisation of healthcare and provision of health services for residents of slums in low and middle-income countries: a scoping review of recent literature. BMJ Open 2022; 12(5): e055415.</w:t>
            </w:r>
          </w:p>
        </w:tc>
        <w:tc>
          <w:tcPr>
            <w:tcW w:w="1630" w:type="dxa"/>
          </w:tcPr>
          <w:p w14:paraId="17A9C27C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Global/ Multiple regions</w:t>
            </w:r>
          </w:p>
        </w:tc>
        <w:tc>
          <w:tcPr>
            <w:tcW w:w="1799" w:type="dxa"/>
          </w:tcPr>
          <w:p w14:paraId="6696D94C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Systematic/ scoping review or meta-analysis</w:t>
            </w:r>
          </w:p>
        </w:tc>
        <w:tc>
          <w:tcPr>
            <w:tcW w:w="2693" w:type="dxa"/>
          </w:tcPr>
          <w:p w14:paraId="441B3909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Synthesizes evidence showing community or digital interventions impact access/quality; key enablers and barriers identified.</w:t>
            </w:r>
          </w:p>
        </w:tc>
        <w:tc>
          <w:tcPr>
            <w:tcW w:w="2213" w:type="dxa"/>
          </w:tcPr>
          <w:p w14:paraId="6367F4D8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could be limited due data availability and context-specific factors.</w:t>
            </w:r>
          </w:p>
        </w:tc>
      </w:tr>
      <w:tr w:rsidR="0047666A" w:rsidRPr="006A0F46" w14:paraId="61A7F7D0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0C6CC846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100</w:t>
            </w:r>
          </w:p>
        </w:tc>
        <w:tc>
          <w:tcPr>
            <w:tcW w:w="6271" w:type="dxa"/>
            <w:vAlign w:val="center"/>
            <w:hideMark/>
          </w:tcPr>
          <w:p w14:paraId="444BE69E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Shafique S, Bhattacharyya DS,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Nowrin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I, et al. Effective community-based interventions to prevent and control infectious diseases in urban informal settlements in low- and middle-income countries: a systematic review. Syst Rev 2024; 13(1): 253.</w:t>
            </w:r>
          </w:p>
        </w:tc>
        <w:tc>
          <w:tcPr>
            <w:tcW w:w="1630" w:type="dxa"/>
          </w:tcPr>
          <w:p w14:paraId="2EDB164A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Global/ Multiple regions</w:t>
            </w:r>
          </w:p>
        </w:tc>
        <w:tc>
          <w:tcPr>
            <w:tcW w:w="1799" w:type="dxa"/>
          </w:tcPr>
          <w:p w14:paraId="25F2D506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Systematic/ scoping review or meta-analysis</w:t>
            </w:r>
          </w:p>
        </w:tc>
        <w:tc>
          <w:tcPr>
            <w:tcW w:w="2693" w:type="dxa"/>
          </w:tcPr>
          <w:p w14:paraId="6FE30D3C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Synthesizes evidence showing community or digital interventions impact access/ quality; key enablers and barriers identified.</w:t>
            </w:r>
          </w:p>
        </w:tc>
        <w:tc>
          <w:tcPr>
            <w:tcW w:w="2213" w:type="dxa"/>
          </w:tcPr>
          <w:p w14:paraId="747FB0A1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Limited by heterogeneity of included studies and potential publication bias.</w:t>
            </w:r>
          </w:p>
        </w:tc>
      </w:tr>
      <w:tr w:rsidR="0047666A" w:rsidRPr="006A0F46" w14:paraId="116CF8D1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03DAD2FD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101</w:t>
            </w:r>
          </w:p>
        </w:tc>
        <w:tc>
          <w:tcPr>
            <w:tcW w:w="6271" w:type="dxa"/>
            <w:vAlign w:val="center"/>
            <w:hideMark/>
          </w:tcPr>
          <w:p w14:paraId="7CDCE103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Babu BV, Kusuma YS, Sivakami M, et al. Inclusive partnership and community mobilization approaches to improve maternal health care access among internal migrants in nine Indian cities. J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Migr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Health 2022; 6: 100130.</w:t>
            </w:r>
          </w:p>
        </w:tc>
        <w:tc>
          <w:tcPr>
            <w:tcW w:w="1630" w:type="dxa"/>
          </w:tcPr>
          <w:p w14:paraId="40B13DA1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India</w:t>
            </w:r>
          </w:p>
        </w:tc>
        <w:tc>
          <w:tcPr>
            <w:tcW w:w="1799" w:type="dxa"/>
          </w:tcPr>
          <w:p w14:paraId="6A9627F8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Narrative review/ program description</w:t>
            </w:r>
          </w:p>
        </w:tc>
        <w:tc>
          <w:tcPr>
            <w:tcW w:w="2693" w:type="dxa"/>
          </w:tcPr>
          <w:p w14:paraId="1D88572C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Summarizes community, health system or digital health approaches with implications for policy/ practice.</w:t>
            </w:r>
          </w:p>
        </w:tc>
        <w:tc>
          <w:tcPr>
            <w:tcW w:w="2213" w:type="dxa"/>
          </w:tcPr>
          <w:p w14:paraId="1284F30D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could be limited due data availability and context-specific factors.</w:t>
            </w:r>
          </w:p>
        </w:tc>
      </w:tr>
      <w:tr w:rsidR="0047666A" w:rsidRPr="006A0F46" w14:paraId="1C1012AC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1C921B28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102</w:t>
            </w:r>
          </w:p>
        </w:tc>
        <w:tc>
          <w:tcPr>
            <w:tcW w:w="6271" w:type="dxa"/>
            <w:vAlign w:val="center"/>
            <w:hideMark/>
          </w:tcPr>
          <w:p w14:paraId="2C288DF9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Junaedi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J,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Dikrurohman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D, Abdullah A. Analysis of Social Change in Rural Communities Due to the Influence of Urbanization and Globalization in Indonesia.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Edunity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: Kajian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Ilmu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Sosial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dan Pendidikan 2023; 2: 431-41.</w:t>
            </w:r>
          </w:p>
        </w:tc>
        <w:tc>
          <w:tcPr>
            <w:tcW w:w="1630" w:type="dxa"/>
          </w:tcPr>
          <w:p w14:paraId="2ADB4507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Global</w:t>
            </w:r>
          </w:p>
        </w:tc>
        <w:tc>
          <w:tcPr>
            <w:tcW w:w="1799" w:type="dxa"/>
          </w:tcPr>
          <w:p w14:paraId="38F3E088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Narrative review/ program description</w:t>
            </w:r>
          </w:p>
        </w:tc>
        <w:tc>
          <w:tcPr>
            <w:tcW w:w="2693" w:type="dxa"/>
          </w:tcPr>
          <w:p w14:paraId="7EF983B7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 xml:space="preserve">Summarizes community, health system or digital health approaches with </w:t>
            </w:r>
            <w:r w:rsidRPr="006A0F46">
              <w:rPr>
                <w:rFonts w:cs="Calibri"/>
                <w:color w:val="000000" w:themeColor="text1"/>
                <w:sz w:val="24"/>
              </w:rPr>
              <w:lastRenderedPageBreak/>
              <w:t>implications for policy/ practice.</w:t>
            </w:r>
          </w:p>
        </w:tc>
        <w:tc>
          <w:tcPr>
            <w:tcW w:w="2213" w:type="dxa"/>
          </w:tcPr>
          <w:p w14:paraId="453EFA2B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lastRenderedPageBreak/>
              <w:t xml:space="preserve">Findings could be limited due data availability and </w:t>
            </w:r>
            <w:r w:rsidRPr="006A0F46">
              <w:rPr>
                <w:rFonts w:cs="Calibri"/>
                <w:color w:val="000000" w:themeColor="text1"/>
                <w:sz w:val="24"/>
              </w:rPr>
              <w:lastRenderedPageBreak/>
              <w:t>context-specific factors.</w:t>
            </w:r>
          </w:p>
        </w:tc>
      </w:tr>
      <w:tr w:rsidR="0047666A" w:rsidRPr="006A0F46" w14:paraId="76CF2732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2FA91C2A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lastRenderedPageBreak/>
              <w:t>103</w:t>
            </w:r>
          </w:p>
        </w:tc>
        <w:tc>
          <w:tcPr>
            <w:tcW w:w="6271" w:type="dxa"/>
            <w:vAlign w:val="center"/>
            <w:hideMark/>
          </w:tcPr>
          <w:p w14:paraId="05AA3C45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Friedemann ML, Buckwalter KC. Family Caregiver Role and Burden Related to Gender and Family Relationships. J Fam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Nurs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2014; 20(3): 313-36.</w:t>
            </w:r>
          </w:p>
        </w:tc>
        <w:tc>
          <w:tcPr>
            <w:tcW w:w="1630" w:type="dxa"/>
          </w:tcPr>
          <w:p w14:paraId="6ED6E1B4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Not specified/ general</w:t>
            </w:r>
          </w:p>
        </w:tc>
        <w:tc>
          <w:tcPr>
            <w:tcW w:w="1799" w:type="dxa"/>
          </w:tcPr>
          <w:p w14:paraId="449DB0E6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Narrative review/ program description</w:t>
            </w:r>
          </w:p>
        </w:tc>
        <w:tc>
          <w:tcPr>
            <w:tcW w:w="2693" w:type="dxa"/>
          </w:tcPr>
          <w:p w14:paraId="709840CB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Summarizes community, health system or digital health approaches with implications for policy/ practice.</w:t>
            </w:r>
          </w:p>
        </w:tc>
        <w:tc>
          <w:tcPr>
            <w:tcW w:w="2213" w:type="dxa"/>
          </w:tcPr>
          <w:p w14:paraId="1BFA9267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could be limited due data availability and context-specific factors.</w:t>
            </w:r>
          </w:p>
        </w:tc>
      </w:tr>
      <w:tr w:rsidR="0047666A" w:rsidRPr="006A0F46" w14:paraId="6F6EB6D8" w14:textId="77777777" w:rsidTr="008C2B83">
        <w:trPr>
          <w:trHeight w:val="300"/>
        </w:trPr>
        <w:tc>
          <w:tcPr>
            <w:tcW w:w="562" w:type="dxa"/>
            <w:noWrap/>
            <w:vAlign w:val="center"/>
            <w:hideMark/>
          </w:tcPr>
          <w:p w14:paraId="041FA8B2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104</w:t>
            </w:r>
          </w:p>
        </w:tc>
        <w:tc>
          <w:tcPr>
            <w:tcW w:w="6271" w:type="dxa"/>
            <w:vAlign w:val="center"/>
            <w:hideMark/>
          </w:tcPr>
          <w:p w14:paraId="4D976E22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Brady B, Rosenberg S, Newman C, et al. Gender is dynamic for all people. Discover Psychology 2022; 2(1): 41.</w:t>
            </w:r>
          </w:p>
        </w:tc>
        <w:tc>
          <w:tcPr>
            <w:tcW w:w="1630" w:type="dxa"/>
          </w:tcPr>
          <w:p w14:paraId="4568F467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Not specified/ general</w:t>
            </w:r>
          </w:p>
        </w:tc>
        <w:tc>
          <w:tcPr>
            <w:tcW w:w="1799" w:type="dxa"/>
          </w:tcPr>
          <w:p w14:paraId="6674FC64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Narrative review/ program description</w:t>
            </w:r>
          </w:p>
        </w:tc>
        <w:tc>
          <w:tcPr>
            <w:tcW w:w="2693" w:type="dxa"/>
          </w:tcPr>
          <w:p w14:paraId="31037487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Summarizes community, health system or digital health approaches with implications for policy/practice.</w:t>
            </w:r>
          </w:p>
        </w:tc>
        <w:tc>
          <w:tcPr>
            <w:tcW w:w="2213" w:type="dxa"/>
          </w:tcPr>
          <w:p w14:paraId="6C9A1D9B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could be limited due data availability and context-specific factors.</w:t>
            </w:r>
          </w:p>
        </w:tc>
      </w:tr>
      <w:tr w:rsidR="0047666A" w:rsidRPr="006A0F46" w14:paraId="1A123F5E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05698046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105</w:t>
            </w:r>
          </w:p>
        </w:tc>
        <w:tc>
          <w:tcPr>
            <w:tcW w:w="6271" w:type="dxa"/>
            <w:vAlign w:val="center"/>
            <w:hideMark/>
          </w:tcPr>
          <w:p w14:paraId="3B6A9E06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Zhao C, Wang F, Zhou X, Jiang M, Hesketh T. Impact of parental migration on psychosocial well-being of children left behind: a qualitative study in rural China. International Journal for Equity in Health 2018; 17(1): 80.</w:t>
            </w:r>
          </w:p>
        </w:tc>
        <w:tc>
          <w:tcPr>
            <w:tcW w:w="1630" w:type="dxa"/>
          </w:tcPr>
          <w:p w14:paraId="043D268C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China</w:t>
            </w:r>
          </w:p>
        </w:tc>
        <w:tc>
          <w:tcPr>
            <w:tcW w:w="1799" w:type="dxa"/>
          </w:tcPr>
          <w:p w14:paraId="38FC7E95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Qualitative interviews/ focus groups/thematic analysis</w:t>
            </w:r>
          </w:p>
        </w:tc>
        <w:tc>
          <w:tcPr>
            <w:tcW w:w="2693" w:type="dxa"/>
          </w:tcPr>
          <w:p w14:paraId="4990FD09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Provides qualitative insights into implementation, acceptability and system-level enablers and barriers.</w:t>
            </w:r>
          </w:p>
        </w:tc>
        <w:tc>
          <w:tcPr>
            <w:tcW w:w="2213" w:type="dxa"/>
          </w:tcPr>
          <w:p w14:paraId="5A48131E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Context-specific findings from purposive samples; Findings may not be broadly applicable</w:t>
            </w:r>
          </w:p>
        </w:tc>
      </w:tr>
      <w:tr w:rsidR="0047666A" w:rsidRPr="006A0F46" w14:paraId="27D92E14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4915A7FA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106</w:t>
            </w:r>
          </w:p>
        </w:tc>
        <w:tc>
          <w:tcPr>
            <w:tcW w:w="6271" w:type="dxa"/>
            <w:vAlign w:val="center"/>
            <w:hideMark/>
          </w:tcPr>
          <w:p w14:paraId="5EDA0FD0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Song Q. Aging and separation from children: The health implications of adult migration for elderly parents in rural China.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Demogr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Res 2017; 37: 1761-92.</w:t>
            </w:r>
          </w:p>
        </w:tc>
        <w:tc>
          <w:tcPr>
            <w:tcW w:w="1630" w:type="dxa"/>
          </w:tcPr>
          <w:p w14:paraId="6E9D9146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China</w:t>
            </w:r>
          </w:p>
        </w:tc>
        <w:tc>
          <w:tcPr>
            <w:tcW w:w="1799" w:type="dxa"/>
          </w:tcPr>
          <w:p w14:paraId="2DDB2E28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Narrative review/ program description</w:t>
            </w:r>
          </w:p>
        </w:tc>
        <w:tc>
          <w:tcPr>
            <w:tcW w:w="2693" w:type="dxa"/>
          </w:tcPr>
          <w:p w14:paraId="4C867498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Summarizes community, health system or digital health approaches with implications for policy/practice.</w:t>
            </w:r>
          </w:p>
        </w:tc>
        <w:tc>
          <w:tcPr>
            <w:tcW w:w="2213" w:type="dxa"/>
          </w:tcPr>
          <w:p w14:paraId="5D33D0AC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could be limited due data availability and context-specific factors.</w:t>
            </w:r>
          </w:p>
        </w:tc>
      </w:tr>
      <w:tr w:rsidR="0047666A" w:rsidRPr="006A0F46" w14:paraId="4D547D85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51C975B4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107</w:t>
            </w:r>
          </w:p>
        </w:tc>
        <w:tc>
          <w:tcPr>
            <w:tcW w:w="6271" w:type="dxa"/>
            <w:vAlign w:val="center"/>
            <w:hideMark/>
          </w:tcPr>
          <w:p w14:paraId="38B55C53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Gushulak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BD, J. W, and MacPherson DW. Migrants and emerging public health issues in a globalized world: threats, risks and challenges, an evidence-based framework. Emerging Health Threats Journal 2009; 2(1): 7091.</w:t>
            </w:r>
          </w:p>
        </w:tc>
        <w:tc>
          <w:tcPr>
            <w:tcW w:w="1630" w:type="dxa"/>
          </w:tcPr>
          <w:p w14:paraId="20A39F24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Global</w:t>
            </w:r>
          </w:p>
        </w:tc>
        <w:tc>
          <w:tcPr>
            <w:tcW w:w="1799" w:type="dxa"/>
          </w:tcPr>
          <w:p w14:paraId="401CEA64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Narrative review/ program description</w:t>
            </w:r>
          </w:p>
        </w:tc>
        <w:tc>
          <w:tcPr>
            <w:tcW w:w="2693" w:type="dxa"/>
          </w:tcPr>
          <w:p w14:paraId="3058CEA7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Summarizes community, health system or digital health approaches with implications for policy/ practice.</w:t>
            </w:r>
          </w:p>
        </w:tc>
        <w:tc>
          <w:tcPr>
            <w:tcW w:w="2213" w:type="dxa"/>
          </w:tcPr>
          <w:p w14:paraId="59FCABB7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could be limited due data availability and context-specific factors.</w:t>
            </w:r>
          </w:p>
        </w:tc>
      </w:tr>
      <w:tr w:rsidR="0047666A" w:rsidRPr="006A0F46" w14:paraId="3CE7F94C" w14:textId="77777777" w:rsidTr="008C2B83">
        <w:trPr>
          <w:trHeight w:val="300"/>
        </w:trPr>
        <w:tc>
          <w:tcPr>
            <w:tcW w:w="562" w:type="dxa"/>
            <w:noWrap/>
            <w:vAlign w:val="center"/>
            <w:hideMark/>
          </w:tcPr>
          <w:p w14:paraId="3D6042B0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108</w:t>
            </w:r>
          </w:p>
        </w:tc>
        <w:tc>
          <w:tcPr>
            <w:tcW w:w="6271" w:type="dxa"/>
            <w:vAlign w:val="center"/>
            <w:hideMark/>
          </w:tcPr>
          <w:p w14:paraId="30EB3EF1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Rai DK. Changes of Family Structure in Nepal. DMC Journal 2023; 8(7): 73-9.</w:t>
            </w:r>
          </w:p>
        </w:tc>
        <w:tc>
          <w:tcPr>
            <w:tcW w:w="1630" w:type="dxa"/>
          </w:tcPr>
          <w:p w14:paraId="4BDA77B2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Nepal</w:t>
            </w:r>
          </w:p>
        </w:tc>
        <w:tc>
          <w:tcPr>
            <w:tcW w:w="1799" w:type="dxa"/>
          </w:tcPr>
          <w:p w14:paraId="172EC0D5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 xml:space="preserve">Narrative review/ </w:t>
            </w:r>
            <w:r w:rsidRPr="006A0F46">
              <w:rPr>
                <w:rFonts w:cs="Calibri"/>
                <w:color w:val="000000" w:themeColor="text1"/>
                <w:sz w:val="24"/>
              </w:rPr>
              <w:lastRenderedPageBreak/>
              <w:t>program description</w:t>
            </w:r>
          </w:p>
        </w:tc>
        <w:tc>
          <w:tcPr>
            <w:tcW w:w="2693" w:type="dxa"/>
          </w:tcPr>
          <w:p w14:paraId="77A864B2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lastRenderedPageBreak/>
              <w:t xml:space="preserve">Summarizes community, health system or digital </w:t>
            </w:r>
            <w:r w:rsidRPr="006A0F46">
              <w:rPr>
                <w:rFonts w:cs="Calibri"/>
                <w:color w:val="000000" w:themeColor="text1"/>
                <w:sz w:val="24"/>
              </w:rPr>
              <w:lastRenderedPageBreak/>
              <w:t>health approaches with implications for policy/ practice.</w:t>
            </w:r>
          </w:p>
        </w:tc>
        <w:tc>
          <w:tcPr>
            <w:tcW w:w="2213" w:type="dxa"/>
          </w:tcPr>
          <w:p w14:paraId="122BFF25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lastRenderedPageBreak/>
              <w:t xml:space="preserve">Findings could be limited due data </w:t>
            </w:r>
            <w:r w:rsidRPr="006A0F46">
              <w:rPr>
                <w:rFonts w:cs="Calibri"/>
                <w:color w:val="000000" w:themeColor="text1"/>
                <w:sz w:val="24"/>
              </w:rPr>
              <w:lastRenderedPageBreak/>
              <w:t>availability and context-specific factors.</w:t>
            </w:r>
          </w:p>
        </w:tc>
      </w:tr>
      <w:tr w:rsidR="0047666A" w:rsidRPr="006A0F46" w14:paraId="69914487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2A539DB2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lastRenderedPageBreak/>
              <w:t>109</w:t>
            </w:r>
          </w:p>
        </w:tc>
        <w:tc>
          <w:tcPr>
            <w:tcW w:w="6271" w:type="dxa"/>
            <w:vAlign w:val="center"/>
            <w:hideMark/>
          </w:tcPr>
          <w:p w14:paraId="64D57B45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Puschmann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P, Solli A. Household and family during urbanization and industrialization: Efforts to shed new light on an old debate. Taylor &amp; Francis; 2014. p. 1-12.</w:t>
            </w:r>
          </w:p>
        </w:tc>
        <w:tc>
          <w:tcPr>
            <w:tcW w:w="1630" w:type="dxa"/>
          </w:tcPr>
          <w:p w14:paraId="6CE6FC73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Not specified/ general</w:t>
            </w:r>
          </w:p>
        </w:tc>
        <w:tc>
          <w:tcPr>
            <w:tcW w:w="1799" w:type="dxa"/>
          </w:tcPr>
          <w:p w14:paraId="746FC7AD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Randomized/ cluster randomized trial, Cross-sectional survey/secondary data analysis</w:t>
            </w:r>
          </w:p>
        </w:tc>
        <w:tc>
          <w:tcPr>
            <w:tcW w:w="2693" w:type="dxa"/>
          </w:tcPr>
          <w:p w14:paraId="7F4C3A72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Evaluates an intervention showing improved programmatic or clinical outcomes with contextual caveats.</w:t>
            </w:r>
          </w:p>
        </w:tc>
        <w:tc>
          <w:tcPr>
            <w:tcW w:w="2213" w:type="dxa"/>
          </w:tcPr>
          <w:p w14:paraId="2A6B1855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May have limited external validity and implementation fidelity issues.</w:t>
            </w:r>
          </w:p>
        </w:tc>
      </w:tr>
      <w:tr w:rsidR="0047666A" w:rsidRPr="006A0F46" w14:paraId="4DD28CF5" w14:textId="77777777" w:rsidTr="008C2B83">
        <w:trPr>
          <w:trHeight w:val="300"/>
        </w:trPr>
        <w:tc>
          <w:tcPr>
            <w:tcW w:w="562" w:type="dxa"/>
            <w:noWrap/>
            <w:vAlign w:val="center"/>
            <w:hideMark/>
          </w:tcPr>
          <w:p w14:paraId="04FECC1C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110</w:t>
            </w:r>
          </w:p>
        </w:tc>
        <w:tc>
          <w:tcPr>
            <w:tcW w:w="6271" w:type="dxa"/>
            <w:vAlign w:val="center"/>
            <w:hideMark/>
          </w:tcPr>
          <w:p w14:paraId="3DE8F236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Gopalakrishan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K. Changing scenario of family system in India: An analysis against the backdrop of changing social values. 2021.</w:t>
            </w:r>
          </w:p>
        </w:tc>
        <w:tc>
          <w:tcPr>
            <w:tcW w:w="1630" w:type="dxa"/>
          </w:tcPr>
          <w:p w14:paraId="2CA0E99F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India</w:t>
            </w:r>
          </w:p>
        </w:tc>
        <w:tc>
          <w:tcPr>
            <w:tcW w:w="1799" w:type="dxa"/>
          </w:tcPr>
          <w:p w14:paraId="342F30BC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Narrative review/ program description</w:t>
            </w:r>
          </w:p>
        </w:tc>
        <w:tc>
          <w:tcPr>
            <w:tcW w:w="2693" w:type="dxa"/>
          </w:tcPr>
          <w:p w14:paraId="116D6A13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Summarizes community, health system or digital health approaches with implications for policy/practice.</w:t>
            </w:r>
          </w:p>
        </w:tc>
        <w:tc>
          <w:tcPr>
            <w:tcW w:w="2213" w:type="dxa"/>
          </w:tcPr>
          <w:p w14:paraId="2D8B2336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could be limited due data availability and context-specific factors.</w:t>
            </w:r>
          </w:p>
        </w:tc>
      </w:tr>
      <w:tr w:rsidR="0047666A" w:rsidRPr="006A0F46" w14:paraId="1A3B333A" w14:textId="77777777" w:rsidTr="008C2B83">
        <w:trPr>
          <w:trHeight w:val="300"/>
        </w:trPr>
        <w:tc>
          <w:tcPr>
            <w:tcW w:w="562" w:type="dxa"/>
            <w:noWrap/>
            <w:vAlign w:val="center"/>
            <w:hideMark/>
          </w:tcPr>
          <w:p w14:paraId="217671A4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111</w:t>
            </w:r>
          </w:p>
        </w:tc>
        <w:tc>
          <w:tcPr>
            <w:tcW w:w="6271" w:type="dxa"/>
            <w:vAlign w:val="center"/>
            <w:hideMark/>
          </w:tcPr>
          <w:p w14:paraId="57F263DD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Moen P, Robison J, Fields V. Women's work and caregiving roles: a life course approach. J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Gerontol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1994; 49(4): S176-86.</w:t>
            </w:r>
          </w:p>
        </w:tc>
        <w:tc>
          <w:tcPr>
            <w:tcW w:w="1630" w:type="dxa"/>
          </w:tcPr>
          <w:p w14:paraId="08EDF379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Not specified/ general</w:t>
            </w:r>
          </w:p>
        </w:tc>
        <w:tc>
          <w:tcPr>
            <w:tcW w:w="1799" w:type="dxa"/>
          </w:tcPr>
          <w:p w14:paraId="2BA228CC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Narrative review/ program description</w:t>
            </w:r>
          </w:p>
        </w:tc>
        <w:tc>
          <w:tcPr>
            <w:tcW w:w="2693" w:type="dxa"/>
          </w:tcPr>
          <w:p w14:paraId="0703EAA9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Summarizes community, health system or digital health approaches with implications for policy/practice.</w:t>
            </w:r>
          </w:p>
        </w:tc>
        <w:tc>
          <w:tcPr>
            <w:tcW w:w="2213" w:type="dxa"/>
          </w:tcPr>
          <w:p w14:paraId="3C4E12FC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could be limited due data availability and context-specific factors.</w:t>
            </w:r>
          </w:p>
        </w:tc>
      </w:tr>
      <w:tr w:rsidR="0047666A" w:rsidRPr="006A0F46" w14:paraId="2C0BD6F3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6C28FE33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112</w:t>
            </w:r>
          </w:p>
        </w:tc>
        <w:tc>
          <w:tcPr>
            <w:tcW w:w="6271" w:type="dxa"/>
            <w:vAlign w:val="center"/>
            <w:hideMark/>
          </w:tcPr>
          <w:p w14:paraId="7BACEB53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Dahal P, Joshi SK,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Swahnberg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K. A qualitative study on gender inequality and gender-based violence in Nepal. BMC Public Health 2022; 22(1): 2005.</w:t>
            </w:r>
          </w:p>
        </w:tc>
        <w:tc>
          <w:tcPr>
            <w:tcW w:w="1630" w:type="dxa"/>
          </w:tcPr>
          <w:p w14:paraId="33CCD8A6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Nepal</w:t>
            </w:r>
          </w:p>
        </w:tc>
        <w:tc>
          <w:tcPr>
            <w:tcW w:w="1799" w:type="dxa"/>
          </w:tcPr>
          <w:p w14:paraId="54A017C5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Qualitative interviews/ focus groups/thematic analysis</w:t>
            </w:r>
          </w:p>
        </w:tc>
        <w:tc>
          <w:tcPr>
            <w:tcW w:w="2693" w:type="dxa"/>
          </w:tcPr>
          <w:p w14:paraId="1CBCB4A3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Provides qualitative insights into implementation, acceptability and system-level enablers and barriers.</w:t>
            </w:r>
          </w:p>
        </w:tc>
        <w:tc>
          <w:tcPr>
            <w:tcW w:w="2213" w:type="dxa"/>
          </w:tcPr>
          <w:p w14:paraId="0E6AA36A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Context-specific findings from purposive samples; Findings may not be broadly applicable</w:t>
            </w:r>
          </w:p>
        </w:tc>
      </w:tr>
      <w:tr w:rsidR="0047666A" w:rsidRPr="006A0F46" w14:paraId="744E98D9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5D420004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113</w:t>
            </w:r>
          </w:p>
        </w:tc>
        <w:tc>
          <w:tcPr>
            <w:tcW w:w="6271" w:type="dxa"/>
            <w:vAlign w:val="center"/>
            <w:hideMark/>
          </w:tcPr>
          <w:p w14:paraId="48078E31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Abbasgholizadeh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Rahimi S, Légaré F, Sharma G, et al. Application of artificial intelligence in community-based primary health care: systematic scoping review and critical </w:t>
            </w: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lastRenderedPageBreak/>
              <w:t>appraisal. Journal of Medical Internet Research 2021; 23(9): e29839.</w:t>
            </w:r>
          </w:p>
        </w:tc>
        <w:tc>
          <w:tcPr>
            <w:tcW w:w="1630" w:type="dxa"/>
          </w:tcPr>
          <w:p w14:paraId="64E6C77D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lastRenderedPageBreak/>
              <w:t>Global/ Multiple regions</w:t>
            </w:r>
          </w:p>
        </w:tc>
        <w:tc>
          <w:tcPr>
            <w:tcW w:w="1799" w:type="dxa"/>
          </w:tcPr>
          <w:p w14:paraId="047FF083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Systematic/ scoping review or meta-analysis</w:t>
            </w:r>
          </w:p>
        </w:tc>
        <w:tc>
          <w:tcPr>
            <w:tcW w:w="2693" w:type="dxa"/>
          </w:tcPr>
          <w:p w14:paraId="3B3A8CDC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 xml:space="preserve">Synthesizes evidence showing community or digital interventions impact access/quality; </w:t>
            </w:r>
            <w:r w:rsidRPr="006A0F46">
              <w:rPr>
                <w:rFonts w:cs="Calibri"/>
                <w:color w:val="000000" w:themeColor="text1"/>
                <w:sz w:val="24"/>
              </w:rPr>
              <w:lastRenderedPageBreak/>
              <w:t>key enablers and barriers identified.</w:t>
            </w:r>
          </w:p>
        </w:tc>
        <w:tc>
          <w:tcPr>
            <w:tcW w:w="2213" w:type="dxa"/>
          </w:tcPr>
          <w:p w14:paraId="503AA166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lastRenderedPageBreak/>
              <w:t xml:space="preserve">Findings could be limited due data availability and </w:t>
            </w:r>
            <w:r w:rsidRPr="006A0F46">
              <w:rPr>
                <w:rFonts w:cs="Calibri"/>
                <w:color w:val="000000" w:themeColor="text1"/>
                <w:sz w:val="24"/>
              </w:rPr>
              <w:lastRenderedPageBreak/>
              <w:t>context-specific factors.</w:t>
            </w:r>
          </w:p>
        </w:tc>
      </w:tr>
      <w:tr w:rsidR="0047666A" w:rsidRPr="006A0F46" w14:paraId="3E1217D3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064AB206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lastRenderedPageBreak/>
              <w:t>114</w:t>
            </w:r>
          </w:p>
        </w:tc>
        <w:tc>
          <w:tcPr>
            <w:tcW w:w="6271" w:type="dxa"/>
            <w:vAlign w:val="center"/>
            <w:hideMark/>
          </w:tcPr>
          <w:p w14:paraId="7A9C46F3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Melchior C, Oliveira M. Health-related fake news on social media platforms: A systematic literature review. New Media &amp; Society 2022; 24(6): 1500-22.</w:t>
            </w:r>
          </w:p>
        </w:tc>
        <w:tc>
          <w:tcPr>
            <w:tcW w:w="1630" w:type="dxa"/>
          </w:tcPr>
          <w:p w14:paraId="585AD003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Not specified/ general</w:t>
            </w:r>
          </w:p>
        </w:tc>
        <w:tc>
          <w:tcPr>
            <w:tcW w:w="1799" w:type="dxa"/>
          </w:tcPr>
          <w:p w14:paraId="2EEAE71F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Narrative review/ program description</w:t>
            </w:r>
          </w:p>
        </w:tc>
        <w:tc>
          <w:tcPr>
            <w:tcW w:w="2693" w:type="dxa"/>
          </w:tcPr>
          <w:p w14:paraId="04B1568C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Policy-oriented synthesis or perspective outlining priorities and frameworks for strengthening PHC or digital health.</w:t>
            </w:r>
          </w:p>
        </w:tc>
        <w:tc>
          <w:tcPr>
            <w:tcW w:w="2213" w:type="dxa"/>
          </w:tcPr>
          <w:p w14:paraId="2251FAE0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could be limited due data availability and context-specific factors.</w:t>
            </w:r>
          </w:p>
        </w:tc>
      </w:tr>
      <w:tr w:rsidR="0047666A" w:rsidRPr="006A0F46" w14:paraId="2D451B4A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5728D92F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115</w:t>
            </w:r>
          </w:p>
        </w:tc>
        <w:tc>
          <w:tcPr>
            <w:tcW w:w="6271" w:type="dxa"/>
            <w:vAlign w:val="center"/>
            <w:hideMark/>
          </w:tcPr>
          <w:p w14:paraId="5520D09E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val="pt-PT" w:eastAsia="en-AU"/>
                <w14:ligatures w14:val="none"/>
              </w:rPr>
              <w:t xml:space="preserve">Li C, Borycki EM, Kushniruk AW. </w:t>
            </w: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Connecting the world of healthcare virtually: a scoping review on virtual care delivery.  Healthcare; 2021: MDPI; 2021. p. 1325.</w:t>
            </w:r>
          </w:p>
        </w:tc>
        <w:tc>
          <w:tcPr>
            <w:tcW w:w="1630" w:type="dxa"/>
          </w:tcPr>
          <w:p w14:paraId="66F0107E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Global/ Multiple regions</w:t>
            </w:r>
          </w:p>
        </w:tc>
        <w:tc>
          <w:tcPr>
            <w:tcW w:w="1799" w:type="dxa"/>
          </w:tcPr>
          <w:p w14:paraId="22B59C79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Systematic/ scoping review or meta-analysis</w:t>
            </w:r>
          </w:p>
        </w:tc>
        <w:tc>
          <w:tcPr>
            <w:tcW w:w="2693" w:type="dxa"/>
          </w:tcPr>
          <w:p w14:paraId="2C409A9C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Synthesizes evidence showing community or digital interventions impact access/quality; key enablers and barriers identified.</w:t>
            </w:r>
          </w:p>
        </w:tc>
        <w:tc>
          <w:tcPr>
            <w:tcW w:w="2213" w:type="dxa"/>
          </w:tcPr>
          <w:p w14:paraId="4578258B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could be limited due data availability and context-specific factors.</w:t>
            </w:r>
          </w:p>
        </w:tc>
      </w:tr>
      <w:tr w:rsidR="0047666A" w:rsidRPr="006A0F46" w14:paraId="00F8CF9E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4F34BEE6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116</w:t>
            </w:r>
          </w:p>
        </w:tc>
        <w:tc>
          <w:tcPr>
            <w:tcW w:w="6271" w:type="dxa"/>
            <w:vAlign w:val="center"/>
            <w:hideMark/>
          </w:tcPr>
          <w:p w14:paraId="358C4F4D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Vargo D, Zhu L, Benwell B, Yan Z. Digital technology use during COVID-19 pandemic: A rapid review. Human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Behavior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and Emerging Technologies 2021; 3(1): 13-24.</w:t>
            </w:r>
          </w:p>
        </w:tc>
        <w:tc>
          <w:tcPr>
            <w:tcW w:w="1630" w:type="dxa"/>
          </w:tcPr>
          <w:p w14:paraId="62CB1D54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Global/ Multiple regions</w:t>
            </w:r>
          </w:p>
        </w:tc>
        <w:tc>
          <w:tcPr>
            <w:tcW w:w="1799" w:type="dxa"/>
          </w:tcPr>
          <w:p w14:paraId="25310FFC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Narrative review/ program description</w:t>
            </w:r>
          </w:p>
        </w:tc>
        <w:tc>
          <w:tcPr>
            <w:tcW w:w="2693" w:type="dxa"/>
          </w:tcPr>
          <w:p w14:paraId="663F02AC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Policy-oriented synthesis or perspective outlining priorities and frameworks for strengthening PHC or digital health.</w:t>
            </w:r>
          </w:p>
        </w:tc>
        <w:tc>
          <w:tcPr>
            <w:tcW w:w="2213" w:type="dxa"/>
          </w:tcPr>
          <w:p w14:paraId="1A566F4E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could be limited due data availability and context-specific factors.</w:t>
            </w:r>
          </w:p>
        </w:tc>
      </w:tr>
      <w:tr w:rsidR="0047666A" w:rsidRPr="006A0F46" w14:paraId="6A26A98B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6441906D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117</w:t>
            </w:r>
          </w:p>
        </w:tc>
        <w:tc>
          <w:tcPr>
            <w:tcW w:w="6271" w:type="dxa"/>
            <w:vAlign w:val="center"/>
            <w:hideMark/>
          </w:tcPr>
          <w:p w14:paraId="424E8FFF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Niels P, Mark S, Philip S. Digital health and care in pandemic times: impact of COVID-19. BMJ Health &amp; Care Informatics 2020; 27(1): e100166.</w:t>
            </w:r>
          </w:p>
        </w:tc>
        <w:tc>
          <w:tcPr>
            <w:tcW w:w="1630" w:type="dxa"/>
          </w:tcPr>
          <w:p w14:paraId="5AF70C3E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Global/ Multiple regions</w:t>
            </w:r>
          </w:p>
        </w:tc>
        <w:tc>
          <w:tcPr>
            <w:tcW w:w="1799" w:type="dxa"/>
          </w:tcPr>
          <w:p w14:paraId="529D81DC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Narrative review/ program description</w:t>
            </w:r>
          </w:p>
        </w:tc>
        <w:tc>
          <w:tcPr>
            <w:tcW w:w="2693" w:type="dxa"/>
          </w:tcPr>
          <w:p w14:paraId="7F8BBEDE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Summarizes community, health system or digital health approaches with implications for policy/practice.</w:t>
            </w:r>
          </w:p>
        </w:tc>
        <w:tc>
          <w:tcPr>
            <w:tcW w:w="2213" w:type="dxa"/>
          </w:tcPr>
          <w:p w14:paraId="2F2644B5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could be limited due data availability and context-specific factors.</w:t>
            </w:r>
          </w:p>
        </w:tc>
      </w:tr>
      <w:tr w:rsidR="0047666A" w:rsidRPr="006A0F46" w14:paraId="53F8796F" w14:textId="77777777" w:rsidTr="008C2B83">
        <w:trPr>
          <w:trHeight w:val="900"/>
        </w:trPr>
        <w:tc>
          <w:tcPr>
            <w:tcW w:w="562" w:type="dxa"/>
            <w:noWrap/>
            <w:vAlign w:val="center"/>
            <w:hideMark/>
          </w:tcPr>
          <w:p w14:paraId="684338DF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118</w:t>
            </w:r>
          </w:p>
        </w:tc>
        <w:tc>
          <w:tcPr>
            <w:tcW w:w="6271" w:type="dxa"/>
            <w:vAlign w:val="center"/>
            <w:hideMark/>
          </w:tcPr>
          <w:p w14:paraId="75E9BB1E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Jat AS, Grønli T-M. Harnessing the digital revolution: a comprehensive review of mHealth applications for remote monitoring in transforming healthcare delivery.  International Conference on Mobile Web and Intelligent Information Systems; 2023: Springer; 2023. p. 55-67.</w:t>
            </w:r>
          </w:p>
        </w:tc>
        <w:tc>
          <w:tcPr>
            <w:tcW w:w="1630" w:type="dxa"/>
          </w:tcPr>
          <w:p w14:paraId="22BC749F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Global/ Multiple regions</w:t>
            </w:r>
          </w:p>
        </w:tc>
        <w:tc>
          <w:tcPr>
            <w:tcW w:w="1799" w:type="dxa"/>
          </w:tcPr>
          <w:p w14:paraId="32D2C204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Narrative review/ program description</w:t>
            </w:r>
          </w:p>
        </w:tc>
        <w:tc>
          <w:tcPr>
            <w:tcW w:w="2693" w:type="dxa"/>
          </w:tcPr>
          <w:p w14:paraId="5A69ED84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 xml:space="preserve">Policy-oriented synthesis or perspective outlining priorities and frameworks for </w:t>
            </w:r>
            <w:r w:rsidRPr="006A0F46">
              <w:rPr>
                <w:rFonts w:cs="Calibri"/>
                <w:color w:val="000000" w:themeColor="text1"/>
                <w:sz w:val="24"/>
              </w:rPr>
              <w:lastRenderedPageBreak/>
              <w:t>strengthening PHC or digital health.</w:t>
            </w:r>
          </w:p>
        </w:tc>
        <w:tc>
          <w:tcPr>
            <w:tcW w:w="2213" w:type="dxa"/>
          </w:tcPr>
          <w:p w14:paraId="2CC9C788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lastRenderedPageBreak/>
              <w:t>Findings could be limited due data availability and context-specific factors.</w:t>
            </w:r>
          </w:p>
        </w:tc>
      </w:tr>
      <w:tr w:rsidR="0047666A" w:rsidRPr="006A0F46" w14:paraId="12561EAB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7E5766AB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119</w:t>
            </w:r>
          </w:p>
        </w:tc>
        <w:tc>
          <w:tcPr>
            <w:tcW w:w="6271" w:type="dxa"/>
            <w:vAlign w:val="center"/>
            <w:hideMark/>
          </w:tcPr>
          <w:p w14:paraId="7A0ABC08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Blocker A, Datay MI,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Mwangama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J, Malila B. Development of a telemedicine virtual clinic system for remote, rural, and underserved areas using user-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centered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design methods. DIGITAL HEALTH 2024; 10: 20552076241256752.</w:t>
            </w:r>
          </w:p>
        </w:tc>
        <w:tc>
          <w:tcPr>
            <w:tcW w:w="1630" w:type="dxa"/>
          </w:tcPr>
          <w:p w14:paraId="08DC8050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Not specified/ general</w:t>
            </w:r>
          </w:p>
        </w:tc>
        <w:tc>
          <w:tcPr>
            <w:tcW w:w="1799" w:type="dxa"/>
          </w:tcPr>
          <w:p w14:paraId="0E3324DA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Narrative review/ program description</w:t>
            </w:r>
          </w:p>
        </w:tc>
        <w:tc>
          <w:tcPr>
            <w:tcW w:w="2693" w:type="dxa"/>
          </w:tcPr>
          <w:p w14:paraId="5B1983FA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Summarizes community, health system or digital health approaches with implications for policy/ practice.</w:t>
            </w:r>
          </w:p>
        </w:tc>
        <w:tc>
          <w:tcPr>
            <w:tcW w:w="2213" w:type="dxa"/>
          </w:tcPr>
          <w:p w14:paraId="7CE90447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could be limited due data availability and context-specific factors.</w:t>
            </w:r>
          </w:p>
        </w:tc>
      </w:tr>
      <w:tr w:rsidR="0047666A" w:rsidRPr="006A0F46" w14:paraId="5B5DD459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0CE337CD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120</w:t>
            </w:r>
          </w:p>
        </w:tc>
        <w:tc>
          <w:tcPr>
            <w:tcW w:w="6271" w:type="dxa"/>
            <w:vAlign w:val="center"/>
            <w:hideMark/>
          </w:tcPr>
          <w:p w14:paraId="03E0775D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val="pt-PT" w:eastAsia="en-AU"/>
                <w14:ligatures w14:val="none"/>
              </w:rPr>
              <w:t xml:space="preserve">Sriharan A, Kuhlmann E, Correia T, et al. </w:t>
            </w: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Artificial Intelligence in Healthcare: Balancing Technological Innovation with Health and Care Workforce Priorities. The International Journal of Health Planning and Management 2025.</w:t>
            </w:r>
          </w:p>
        </w:tc>
        <w:tc>
          <w:tcPr>
            <w:tcW w:w="1630" w:type="dxa"/>
          </w:tcPr>
          <w:p w14:paraId="554FCDA0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Global/ Multiple regions</w:t>
            </w:r>
          </w:p>
        </w:tc>
        <w:tc>
          <w:tcPr>
            <w:tcW w:w="1799" w:type="dxa"/>
          </w:tcPr>
          <w:p w14:paraId="71905EB8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Narrative review/ program description</w:t>
            </w:r>
          </w:p>
        </w:tc>
        <w:tc>
          <w:tcPr>
            <w:tcW w:w="2693" w:type="dxa"/>
          </w:tcPr>
          <w:p w14:paraId="4A8EB2C0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Summarizes community, health system or digital health approaches with implications for policy/ practice.</w:t>
            </w:r>
          </w:p>
        </w:tc>
        <w:tc>
          <w:tcPr>
            <w:tcW w:w="2213" w:type="dxa"/>
          </w:tcPr>
          <w:p w14:paraId="5F6C5DF8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could be limited due data availability and context-specific factors.</w:t>
            </w:r>
          </w:p>
        </w:tc>
      </w:tr>
      <w:tr w:rsidR="0047666A" w:rsidRPr="006A0F46" w14:paraId="106FB468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39A851B2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121</w:t>
            </w:r>
          </w:p>
        </w:tc>
        <w:tc>
          <w:tcPr>
            <w:tcW w:w="6271" w:type="dxa"/>
            <w:vAlign w:val="center"/>
            <w:hideMark/>
          </w:tcPr>
          <w:p w14:paraId="0952DAB5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val="pt-PT" w:eastAsia="en-AU"/>
                <w14:ligatures w14:val="none"/>
              </w:rPr>
              <w:t xml:space="preserve">Kumar Y, Gupta S, Singla R, Hu YC. </w:t>
            </w: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A Systematic Review of Artificial Intelligence Techniques in Cancer Prediction and Diagnosis. Arch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Comput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Methods Eng 2022; 29(4): 2043-70.</w:t>
            </w:r>
          </w:p>
        </w:tc>
        <w:tc>
          <w:tcPr>
            <w:tcW w:w="1630" w:type="dxa"/>
          </w:tcPr>
          <w:p w14:paraId="4A9CF857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Global/Multiple regions</w:t>
            </w:r>
          </w:p>
        </w:tc>
        <w:tc>
          <w:tcPr>
            <w:tcW w:w="1799" w:type="dxa"/>
          </w:tcPr>
          <w:p w14:paraId="02F0105B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Systematic/ scoping review or meta-analysis</w:t>
            </w:r>
          </w:p>
        </w:tc>
        <w:tc>
          <w:tcPr>
            <w:tcW w:w="2693" w:type="dxa"/>
          </w:tcPr>
          <w:p w14:paraId="4EB01201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Synthesizes evidence showing community or digital interventions impact access/quality; key enablers and barriers identified.</w:t>
            </w:r>
          </w:p>
        </w:tc>
        <w:tc>
          <w:tcPr>
            <w:tcW w:w="2213" w:type="dxa"/>
          </w:tcPr>
          <w:p w14:paraId="53AF8AE1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Limited by heterogeneity of included studies and potential publication bias.</w:t>
            </w:r>
          </w:p>
        </w:tc>
      </w:tr>
      <w:tr w:rsidR="0047666A" w:rsidRPr="006A0F46" w14:paraId="633102B3" w14:textId="77777777" w:rsidTr="008C2B83">
        <w:trPr>
          <w:trHeight w:val="300"/>
        </w:trPr>
        <w:tc>
          <w:tcPr>
            <w:tcW w:w="562" w:type="dxa"/>
            <w:noWrap/>
            <w:vAlign w:val="center"/>
            <w:hideMark/>
          </w:tcPr>
          <w:p w14:paraId="2868A504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122</w:t>
            </w:r>
          </w:p>
        </w:tc>
        <w:tc>
          <w:tcPr>
            <w:tcW w:w="6271" w:type="dxa"/>
            <w:vAlign w:val="center"/>
            <w:hideMark/>
          </w:tcPr>
          <w:p w14:paraId="518F5CE0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Wu M, Du X, Gu R, Wei J. Artificial intelligence for clinical decision support in sepsis. Frontiers in Medicine 2021; 8: 665464.</w:t>
            </w:r>
          </w:p>
        </w:tc>
        <w:tc>
          <w:tcPr>
            <w:tcW w:w="1630" w:type="dxa"/>
          </w:tcPr>
          <w:p w14:paraId="03EACFBA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Not specified/ general</w:t>
            </w:r>
          </w:p>
        </w:tc>
        <w:tc>
          <w:tcPr>
            <w:tcW w:w="1799" w:type="dxa"/>
          </w:tcPr>
          <w:p w14:paraId="622FB795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Narrative review/ program description</w:t>
            </w:r>
          </w:p>
        </w:tc>
        <w:tc>
          <w:tcPr>
            <w:tcW w:w="2693" w:type="dxa"/>
          </w:tcPr>
          <w:p w14:paraId="5BA2C4FD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Summarizes community, health system or digital health approaches with implications for policy/ practice.</w:t>
            </w:r>
          </w:p>
        </w:tc>
        <w:tc>
          <w:tcPr>
            <w:tcW w:w="2213" w:type="dxa"/>
          </w:tcPr>
          <w:p w14:paraId="0E6C1367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could be limited due data availability and context-specific factors.</w:t>
            </w:r>
          </w:p>
        </w:tc>
      </w:tr>
      <w:tr w:rsidR="0047666A" w:rsidRPr="006A0F46" w14:paraId="18A2DB31" w14:textId="77777777" w:rsidTr="008C2B83">
        <w:trPr>
          <w:trHeight w:val="300"/>
        </w:trPr>
        <w:tc>
          <w:tcPr>
            <w:tcW w:w="562" w:type="dxa"/>
            <w:noWrap/>
            <w:vAlign w:val="center"/>
            <w:hideMark/>
          </w:tcPr>
          <w:p w14:paraId="6A417447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123</w:t>
            </w:r>
          </w:p>
        </w:tc>
        <w:tc>
          <w:tcPr>
            <w:tcW w:w="6271" w:type="dxa"/>
            <w:vAlign w:val="center"/>
            <w:hideMark/>
          </w:tcPr>
          <w:p w14:paraId="6C16AD2B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Guidance W. Ethics and governance of artificial intelligence for health. World Health Organization 2021.</w:t>
            </w:r>
          </w:p>
        </w:tc>
        <w:tc>
          <w:tcPr>
            <w:tcW w:w="1630" w:type="dxa"/>
          </w:tcPr>
          <w:p w14:paraId="3CFE419C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Not specified/ general</w:t>
            </w:r>
          </w:p>
        </w:tc>
        <w:tc>
          <w:tcPr>
            <w:tcW w:w="1799" w:type="dxa"/>
          </w:tcPr>
          <w:p w14:paraId="0127C23C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Narrative review/ program description</w:t>
            </w:r>
          </w:p>
        </w:tc>
        <w:tc>
          <w:tcPr>
            <w:tcW w:w="2693" w:type="dxa"/>
          </w:tcPr>
          <w:p w14:paraId="6D5332FD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Summarizes community, health system or digital health approaches with implications for policy/ practice.</w:t>
            </w:r>
          </w:p>
        </w:tc>
        <w:tc>
          <w:tcPr>
            <w:tcW w:w="2213" w:type="dxa"/>
          </w:tcPr>
          <w:p w14:paraId="2BD800C9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could be limited due data availability and context-specific factors.</w:t>
            </w:r>
          </w:p>
        </w:tc>
      </w:tr>
      <w:tr w:rsidR="0047666A" w:rsidRPr="006A0F46" w14:paraId="262167CC" w14:textId="77777777" w:rsidTr="008C2B83">
        <w:trPr>
          <w:trHeight w:val="300"/>
        </w:trPr>
        <w:tc>
          <w:tcPr>
            <w:tcW w:w="562" w:type="dxa"/>
            <w:noWrap/>
            <w:vAlign w:val="center"/>
            <w:hideMark/>
          </w:tcPr>
          <w:p w14:paraId="3ABF94CF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lastRenderedPageBreak/>
              <w:t>124</w:t>
            </w:r>
          </w:p>
        </w:tc>
        <w:tc>
          <w:tcPr>
            <w:tcW w:w="6271" w:type="dxa"/>
            <w:vAlign w:val="center"/>
            <w:hideMark/>
          </w:tcPr>
          <w:p w14:paraId="62BC90E7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Emma L. The Ethical Implications of Artificial Intelligence: A Deep Dive into Bias, Fairness, and Transparency. 2024.</w:t>
            </w:r>
          </w:p>
        </w:tc>
        <w:tc>
          <w:tcPr>
            <w:tcW w:w="1630" w:type="dxa"/>
          </w:tcPr>
          <w:p w14:paraId="770FE799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Not specified / general</w:t>
            </w:r>
          </w:p>
        </w:tc>
        <w:tc>
          <w:tcPr>
            <w:tcW w:w="1799" w:type="dxa"/>
          </w:tcPr>
          <w:p w14:paraId="3834D830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Narrative review / program description</w:t>
            </w:r>
          </w:p>
        </w:tc>
        <w:tc>
          <w:tcPr>
            <w:tcW w:w="2693" w:type="dxa"/>
          </w:tcPr>
          <w:p w14:paraId="5E5669CD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Summarizes community, health system or digital health approaches with implications for policy/practice.</w:t>
            </w:r>
          </w:p>
        </w:tc>
        <w:tc>
          <w:tcPr>
            <w:tcW w:w="2213" w:type="dxa"/>
          </w:tcPr>
          <w:p w14:paraId="3425B870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could be limited due data availability and context-specific factors.</w:t>
            </w:r>
          </w:p>
        </w:tc>
      </w:tr>
      <w:tr w:rsidR="0047666A" w:rsidRPr="006A0F46" w14:paraId="64B004B4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6A97BF0B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125</w:t>
            </w:r>
          </w:p>
        </w:tc>
        <w:tc>
          <w:tcPr>
            <w:tcW w:w="6271" w:type="dxa"/>
            <w:vAlign w:val="center"/>
            <w:hideMark/>
          </w:tcPr>
          <w:p w14:paraId="5A890334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d'Elia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A, Gabbay M, Rodgers S, et al. Artificial intelligence and health inequities in primary care: a systematic scoping review and framework. Family Medicine and Community Health 2022; 10(Suppl 1): e001670.</w:t>
            </w:r>
          </w:p>
        </w:tc>
        <w:tc>
          <w:tcPr>
            <w:tcW w:w="1630" w:type="dxa"/>
          </w:tcPr>
          <w:p w14:paraId="554CC58B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Global/ Multiple regions</w:t>
            </w:r>
          </w:p>
        </w:tc>
        <w:tc>
          <w:tcPr>
            <w:tcW w:w="1799" w:type="dxa"/>
          </w:tcPr>
          <w:p w14:paraId="7D4355A9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Systematic/ scoping review or meta-analysis</w:t>
            </w:r>
          </w:p>
        </w:tc>
        <w:tc>
          <w:tcPr>
            <w:tcW w:w="2693" w:type="dxa"/>
          </w:tcPr>
          <w:p w14:paraId="1B3A3161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Synthesizes evidence showing community or digital interventions impact access/ quality; key enablers and barriers identified.</w:t>
            </w:r>
          </w:p>
        </w:tc>
        <w:tc>
          <w:tcPr>
            <w:tcW w:w="2213" w:type="dxa"/>
          </w:tcPr>
          <w:p w14:paraId="228508D1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could be limited due data availability and context-specific factors.</w:t>
            </w:r>
          </w:p>
        </w:tc>
      </w:tr>
      <w:tr w:rsidR="0047666A" w:rsidRPr="006A0F46" w14:paraId="492C82F1" w14:textId="77777777" w:rsidTr="008C2B83">
        <w:trPr>
          <w:trHeight w:val="300"/>
        </w:trPr>
        <w:tc>
          <w:tcPr>
            <w:tcW w:w="562" w:type="dxa"/>
            <w:noWrap/>
            <w:vAlign w:val="center"/>
            <w:hideMark/>
          </w:tcPr>
          <w:p w14:paraId="4FB151DE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126</w:t>
            </w:r>
          </w:p>
        </w:tc>
        <w:tc>
          <w:tcPr>
            <w:tcW w:w="6271" w:type="dxa"/>
            <w:vAlign w:val="center"/>
            <w:hideMark/>
          </w:tcPr>
          <w:p w14:paraId="609EA1BD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AlHasan A. Bias in medical artificial intelligence. The Bulletin of the Royal College of Surgeons of England 2021; 103(6): 302-5.</w:t>
            </w:r>
          </w:p>
        </w:tc>
        <w:tc>
          <w:tcPr>
            <w:tcW w:w="1630" w:type="dxa"/>
          </w:tcPr>
          <w:p w14:paraId="40AFC5AC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Not specified/ general</w:t>
            </w:r>
          </w:p>
        </w:tc>
        <w:tc>
          <w:tcPr>
            <w:tcW w:w="1799" w:type="dxa"/>
          </w:tcPr>
          <w:p w14:paraId="323F348C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Narrative review/ program description</w:t>
            </w:r>
          </w:p>
        </w:tc>
        <w:tc>
          <w:tcPr>
            <w:tcW w:w="2693" w:type="dxa"/>
          </w:tcPr>
          <w:p w14:paraId="3DCFA943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Summarizes community, health system or digital health approaches with implications for policy/practice.</w:t>
            </w:r>
          </w:p>
        </w:tc>
        <w:tc>
          <w:tcPr>
            <w:tcW w:w="2213" w:type="dxa"/>
          </w:tcPr>
          <w:p w14:paraId="629D5757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could be limited due data availability and context-specific factors.</w:t>
            </w:r>
          </w:p>
        </w:tc>
      </w:tr>
      <w:tr w:rsidR="0047666A" w:rsidRPr="006A0F46" w14:paraId="28484225" w14:textId="77777777" w:rsidTr="008C2B83">
        <w:trPr>
          <w:trHeight w:val="300"/>
        </w:trPr>
        <w:tc>
          <w:tcPr>
            <w:tcW w:w="562" w:type="dxa"/>
            <w:noWrap/>
            <w:vAlign w:val="center"/>
            <w:hideMark/>
          </w:tcPr>
          <w:p w14:paraId="4BA82553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127</w:t>
            </w:r>
          </w:p>
        </w:tc>
        <w:tc>
          <w:tcPr>
            <w:tcW w:w="6271" w:type="dxa"/>
            <w:vAlign w:val="center"/>
            <w:hideMark/>
          </w:tcPr>
          <w:p w14:paraId="0CACCFD3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Larasati R. Inclusivity of AI Speech in Healthcare: A Decade Look Back.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arXiv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preprint arXiv:250510596 2025.</w:t>
            </w:r>
          </w:p>
        </w:tc>
        <w:tc>
          <w:tcPr>
            <w:tcW w:w="1630" w:type="dxa"/>
          </w:tcPr>
          <w:p w14:paraId="5CAD8FFE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Not specified/ general</w:t>
            </w:r>
          </w:p>
        </w:tc>
        <w:tc>
          <w:tcPr>
            <w:tcW w:w="1799" w:type="dxa"/>
          </w:tcPr>
          <w:p w14:paraId="0979E1E9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Narrative review/ program description</w:t>
            </w:r>
          </w:p>
        </w:tc>
        <w:tc>
          <w:tcPr>
            <w:tcW w:w="2693" w:type="dxa"/>
          </w:tcPr>
          <w:p w14:paraId="23DC6AEF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Summarizes community, health system or digital health approaches with implications for policy/practice.</w:t>
            </w:r>
          </w:p>
        </w:tc>
        <w:tc>
          <w:tcPr>
            <w:tcW w:w="2213" w:type="dxa"/>
          </w:tcPr>
          <w:p w14:paraId="59FF0AA5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could be limited due data availability and context-specific factors.</w:t>
            </w:r>
          </w:p>
        </w:tc>
      </w:tr>
      <w:tr w:rsidR="0047666A" w:rsidRPr="006A0F46" w14:paraId="4AD171DD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771E55FC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128</w:t>
            </w:r>
          </w:p>
        </w:tc>
        <w:tc>
          <w:tcPr>
            <w:tcW w:w="6271" w:type="dxa"/>
            <w:vAlign w:val="center"/>
            <w:hideMark/>
          </w:tcPr>
          <w:p w14:paraId="61D5AEDD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Klingbeil A,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Grützner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C, Schreck P. Trust and reliance on AI—An experimental study on the extent and costs of overreliance on AI. Computers in Human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Behavior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2024; 160: 108352.</w:t>
            </w:r>
          </w:p>
        </w:tc>
        <w:tc>
          <w:tcPr>
            <w:tcW w:w="1630" w:type="dxa"/>
          </w:tcPr>
          <w:p w14:paraId="5DA23A1C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Not specified/ general</w:t>
            </w:r>
          </w:p>
        </w:tc>
        <w:tc>
          <w:tcPr>
            <w:tcW w:w="1799" w:type="dxa"/>
          </w:tcPr>
          <w:p w14:paraId="339C3E9B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Narrative review/ program description</w:t>
            </w:r>
          </w:p>
        </w:tc>
        <w:tc>
          <w:tcPr>
            <w:tcW w:w="2693" w:type="dxa"/>
          </w:tcPr>
          <w:p w14:paraId="0C1A9282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Summarizes community, health system or digital health approaches with implications for policy/ practice.</w:t>
            </w:r>
          </w:p>
        </w:tc>
        <w:tc>
          <w:tcPr>
            <w:tcW w:w="2213" w:type="dxa"/>
          </w:tcPr>
          <w:p w14:paraId="727342AA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could be limited due data availability and context-specific factors.</w:t>
            </w:r>
          </w:p>
        </w:tc>
      </w:tr>
      <w:tr w:rsidR="0047666A" w:rsidRPr="006A0F46" w14:paraId="4991C118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6009F9BC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129</w:t>
            </w:r>
          </w:p>
        </w:tc>
        <w:tc>
          <w:tcPr>
            <w:tcW w:w="6271" w:type="dxa"/>
            <w:vAlign w:val="center"/>
            <w:hideMark/>
          </w:tcPr>
          <w:p w14:paraId="79BE81F4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Tierney AA, Reed ME, Grant RW, Doo FX, </w:t>
            </w:r>
            <w:proofErr w:type="spellStart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Payán</w:t>
            </w:r>
            <w:proofErr w:type="spellEnd"/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 xml:space="preserve"> DD, Liu VX. Health Equity in the Era of Large Language? Models. American Journal of Managed Care 2025; 31(3).</w:t>
            </w:r>
          </w:p>
        </w:tc>
        <w:tc>
          <w:tcPr>
            <w:tcW w:w="1630" w:type="dxa"/>
          </w:tcPr>
          <w:p w14:paraId="1C8C539F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Americas</w:t>
            </w:r>
          </w:p>
        </w:tc>
        <w:tc>
          <w:tcPr>
            <w:tcW w:w="1799" w:type="dxa"/>
          </w:tcPr>
          <w:p w14:paraId="4E70B67B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Narrative review/ program description</w:t>
            </w:r>
          </w:p>
        </w:tc>
        <w:tc>
          <w:tcPr>
            <w:tcW w:w="2693" w:type="dxa"/>
          </w:tcPr>
          <w:p w14:paraId="55155D9B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 xml:space="preserve">Summarizes community, health system or digital health approaches with </w:t>
            </w:r>
            <w:r w:rsidRPr="006A0F46">
              <w:rPr>
                <w:rFonts w:cs="Calibri"/>
                <w:color w:val="000000" w:themeColor="text1"/>
                <w:sz w:val="24"/>
              </w:rPr>
              <w:lastRenderedPageBreak/>
              <w:t>implications for policy/ practice.</w:t>
            </w:r>
          </w:p>
        </w:tc>
        <w:tc>
          <w:tcPr>
            <w:tcW w:w="2213" w:type="dxa"/>
          </w:tcPr>
          <w:p w14:paraId="2FB4E3BE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lastRenderedPageBreak/>
              <w:t xml:space="preserve">Findings could be limited due data availability and </w:t>
            </w:r>
            <w:r w:rsidRPr="006A0F46">
              <w:rPr>
                <w:rFonts w:cs="Calibri"/>
                <w:color w:val="000000" w:themeColor="text1"/>
                <w:sz w:val="24"/>
              </w:rPr>
              <w:lastRenderedPageBreak/>
              <w:t>context-specific factors.</w:t>
            </w:r>
          </w:p>
        </w:tc>
      </w:tr>
      <w:tr w:rsidR="0047666A" w:rsidRPr="006A0F46" w14:paraId="6586E788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77A9A416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lastRenderedPageBreak/>
              <w:t>130</w:t>
            </w:r>
          </w:p>
        </w:tc>
        <w:tc>
          <w:tcPr>
            <w:tcW w:w="6271" w:type="dxa"/>
            <w:vAlign w:val="center"/>
            <w:hideMark/>
          </w:tcPr>
          <w:p w14:paraId="4208CF30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Mondal H, Mondal S. Chapter Thirteen - Ethical and social issues related to AI in healthcare. In: Srivastava A, Mishra V, eds. Methods in Microbiology: Academic Press; 2024: 247-81.</w:t>
            </w:r>
          </w:p>
        </w:tc>
        <w:tc>
          <w:tcPr>
            <w:tcW w:w="1630" w:type="dxa"/>
          </w:tcPr>
          <w:p w14:paraId="67012D31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Not specified/ general</w:t>
            </w:r>
          </w:p>
        </w:tc>
        <w:tc>
          <w:tcPr>
            <w:tcW w:w="1799" w:type="dxa"/>
          </w:tcPr>
          <w:p w14:paraId="332F98F4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Narrative review/ program description</w:t>
            </w:r>
          </w:p>
        </w:tc>
        <w:tc>
          <w:tcPr>
            <w:tcW w:w="2693" w:type="dxa"/>
          </w:tcPr>
          <w:p w14:paraId="440B8E8C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Summarizes community, health system or digital health approaches with implications for policy/practice.</w:t>
            </w:r>
          </w:p>
        </w:tc>
        <w:tc>
          <w:tcPr>
            <w:tcW w:w="2213" w:type="dxa"/>
          </w:tcPr>
          <w:p w14:paraId="0A687CC2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could be limited due data availability and context-specific factors.</w:t>
            </w:r>
          </w:p>
        </w:tc>
      </w:tr>
      <w:tr w:rsidR="0047666A" w:rsidRPr="006A0F46" w14:paraId="486C3C5A" w14:textId="77777777" w:rsidTr="008C2B83">
        <w:trPr>
          <w:trHeight w:val="300"/>
        </w:trPr>
        <w:tc>
          <w:tcPr>
            <w:tcW w:w="562" w:type="dxa"/>
            <w:noWrap/>
            <w:vAlign w:val="center"/>
            <w:hideMark/>
          </w:tcPr>
          <w:p w14:paraId="036D2A12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131</w:t>
            </w:r>
          </w:p>
        </w:tc>
        <w:tc>
          <w:tcPr>
            <w:tcW w:w="6271" w:type="dxa"/>
            <w:vAlign w:val="center"/>
            <w:hideMark/>
          </w:tcPr>
          <w:p w14:paraId="0DF3A9F7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Carey S, Pang A, Kamps Md. Fairness in AI for healthcare. Future Healthcare Journal 2024; 11(3): 100177.</w:t>
            </w:r>
          </w:p>
        </w:tc>
        <w:tc>
          <w:tcPr>
            <w:tcW w:w="1630" w:type="dxa"/>
          </w:tcPr>
          <w:p w14:paraId="57CC2FC3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Not specified/ general</w:t>
            </w:r>
          </w:p>
        </w:tc>
        <w:tc>
          <w:tcPr>
            <w:tcW w:w="1799" w:type="dxa"/>
          </w:tcPr>
          <w:p w14:paraId="4F512D2C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Narrative review/ program description</w:t>
            </w:r>
          </w:p>
        </w:tc>
        <w:tc>
          <w:tcPr>
            <w:tcW w:w="2693" w:type="dxa"/>
          </w:tcPr>
          <w:p w14:paraId="783EC8F2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Summarizes community, health system or digital health approaches with implications for policy/practice.</w:t>
            </w:r>
          </w:p>
        </w:tc>
        <w:tc>
          <w:tcPr>
            <w:tcW w:w="2213" w:type="dxa"/>
          </w:tcPr>
          <w:p w14:paraId="1BAFF58F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could be limited due data availability and context-specific factors.</w:t>
            </w:r>
          </w:p>
        </w:tc>
      </w:tr>
      <w:tr w:rsidR="0047666A" w:rsidRPr="006A0F46" w14:paraId="4EC211FB" w14:textId="77777777" w:rsidTr="008C2B83">
        <w:trPr>
          <w:trHeight w:val="900"/>
        </w:trPr>
        <w:tc>
          <w:tcPr>
            <w:tcW w:w="562" w:type="dxa"/>
            <w:noWrap/>
            <w:vAlign w:val="center"/>
            <w:hideMark/>
          </w:tcPr>
          <w:p w14:paraId="7B541485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132</w:t>
            </w:r>
          </w:p>
        </w:tc>
        <w:tc>
          <w:tcPr>
            <w:tcW w:w="6271" w:type="dxa"/>
            <w:vAlign w:val="center"/>
            <w:hideMark/>
          </w:tcPr>
          <w:p w14:paraId="63A42BA0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Campos-Castillo C, Anthony D. Racial and ethnic differences in self-reported telehealth use during the COVID-19 pandemic: a secondary analysis of a US survey of internet users from late March. Journal of the American Medical Informatics Association 2020; 28(1): 119-25.</w:t>
            </w:r>
          </w:p>
        </w:tc>
        <w:tc>
          <w:tcPr>
            <w:tcW w:w="1630" w:type="dxa"/>
          </w:tcPr>
          <w:p w14:paraId="2C2A75F6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Americas</w:t>
            </w:r>
          </w:p>
        </w:tc>
        <w:tc>
          <w:tcPr>
            <w:tcW w:w="1799" w:type="dxa"/>
          </w:tcPr>
          <w:p w14:paraId="73FC3A3A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Cross-sectional survey/ secondary data analysis</w:t>
            </w:r>
          </w:p>
        </w:tc>
        <w:tc>
          <w:tcPr>
            <w:tcW w:w="2693" w:type="dxa"/>
          </w:tcPr>
          <w:p w14:paraId="2E52B76F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Policy-oriented synthesis or perspective outlining priorities and frameworks for strengthening PHC or digital health.</w:t>
            </w:r>
          </w:p>
        </w:tc>
        <w:tc>
          <w:tcPr>
            <w:tcW w:w="2213" w:type="dxa"/>
          </w:tcPr>
          <w:p w14:paraId="3653FA9C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Cross-sectional design limits causal inference; potential reporting bias.</w:t>
            </w:r>
          </w:p>
        </w:tc>
      </w:tr>
      <w:tr w:rsidR="0047666A" w:rsidRPr="006A0F46" w14:paraId="55B2D068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0638A5D3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133</w:t>
            </w:r>
          </w:p>
        </w:tc>
        <w:tc>
          <w:tcPr>
            <w:tcW w:w="6271" w:type="dxa"/>
            <w:vAlign w:val="center"/>
            <w:hideMark/>
          </w:tcPr>
          <w:p w14:paraId="463E48BF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Choi NG, DiNitto DM. The digital divide among low-income homebound older adults: Internet use patterns, eHealth literacy, and attitudes toward computer/Internet use. Journal of medical Internet research 2013; 15(5): e93.</w:t>
            </w:r>
          </w:p>
        </w:tc>
        <w:tc>
          <w:tcPr>
            <w:tcW w:w="1630" w:type="dxa"/>
          </w:tcPr>
          <w:p w14:paraId="5E79B0F6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Not specified/ general</w:t>
            </w:r>
          </w:p>
        </w:tc>
        <w:tc>
          <w:tcPr>
            <w:tcW w:w="1799" w:type="dxa"/>
          </w:tcPr>
          <w:p w14:paraId="7D86A495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Narrative review/ program description</w:t>
            </w:r>
          </w:p>
        </w:tc>
        <w:tc>
          <w:tcPr>
            <w:tcW w:w="2693" w:type="dxa"/>
          </w:tcPr>
          <w:p w14:paraId="3164D274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Summarizes community, health system or digital health approaches with implications for policy/ practice.</w:t>
            </w:r>
          </w:p>
        </w:tc>
        <w:tc>
          <w:tcPr>
            <w:tcW w:w="2213" w:type="dxa"/>
          </w:tcPr>
          <w:p w14:paraId="03EA7C65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could be limited due data availability and context-specific factors.</w:t>
            </w:r>
          </w:p>
        </w:tc>
      </w:tr>
      <w:tr w:rsidR="0047666A" w:rsidRPr="006A0F46" w14:paraId="1064E929" w14:textId="77777777" w:rsidTr="008C2B83">
        <w:trPr>
          <w:trHeight w:val="600"/>
        </w:trPr>
        <w:tc>
          <w:tcPr>
            <w:tcW w:w="562" w:type="dxa"/>
            <w:noWrap/>
            <w:vAlign w:val="center"/>
            <w:hideMark/>
          </w:tcPr>
          <w:p w14:paraId="47F21BF1" w14:textId="77777777" w:rsidR="0047666A" w:rsidRPr="006A0F46" w:rsidRDefault="0047666A" w:rsidP="008C2B83">
            <w:pPr>
              <w:spacing w:before="0" w:after="0" w:line="240" w:lineRule="auto"/>
              <w:jc w:val="right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134</w:t>
            </w:r>
          </w:p>
        </w:tc>
        <w:tc>
          <w:tcPr>
            <w:tcW w:w="6271" w:type="dxa"/>
            <w:vAlign w:val="center"/>
            <w:hideMark/>
          </w:tcPr>
          <w:p w14:paraId="2E26D78D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  <w:t>Kozelka EE, Jenkins JH, Carpenter-Song E. Advancing Health Equity in Digital Mental Health: Lessons from Medical Anthropology for Global Mental Health. JMIR mental health, 2021. http://europepmc.org/abstract/MED/34398788 (accessed 2021/08//).</w:t>
            </w:r>
          </w:p>
        </w:tc>
        <w:tc>
          <w:tcPr>
            <w:tcW w:w="1630" w:type="dxa"/>
          </w:tcPr>
          <w:p w14:paraId="2327FE63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Europe</w:t>
            </w:r>
          </w:p>
        </w:tc>
        <w:tc>
          <w:tcPr>
            <w:tcW w:w="1799" w:type="dxa"/>
          </w:tcPr>
          <w:p w14:paraId="5056DE5A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Narrative review/ program description</w:t>
            </w:r>
          </w:p>
        </w:tc>
        <w:tc>
          <w:tcPr>
            <w:tcW w:w="2693" w:type="dxa"/>
          </w:tcPr>
          <w:p w14:paraId="2F9CF9FD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Summarizes community, health system or digital health approaches with implications for policy/ practice.</w:t>
            </w:r>
          </w:p>
        </w:tc>
        <w:tc>
          <w:tcPr>
            <w:tcW w:w="2213" w:type="dxa"/>
          </w:tcPr>
          <w:p w14:paraId="342F29D7" w14:textId="77777777" w:rsidR="0047666A" w:rsidRPr="006A0F46" w:rsidRDefault="0047666A" w:rsidP="008C2B83">
            <w:pPr>
              <w:spacing w:before="0" w:after="0" w:line="240" w:lineRule="auto"/>
              <w:rPr>
                <w:rFonts w:eastAsia="Times New Roman" w:cs="Calibri"/>
                <w:color w:val="000000" w:themeColor="text1"/>
                <w:kern w:val="0"/>
                <w:sz w:val="24"/>
                <w:lang w:eastAsia="en-AU"/>
                <w14:ligatures w14:val="none"/>
              </w:rPr>
            </w:pPr>
            <w:r w:rsidRPr="006A0F46">
              <w:rPr>
                <w:rFonts w:cs="Calibri"/>
                <w:color w:val="000000" w:themeColor="text1"/>
                <w:sz w:val="24"/>
              </w:rPr>
              <w:t>Findings could be limited due data availability and context-specific factors.</w:t>
            </w:r>
          </w:p>
        </w:tc>
      </w:tr>
      <w:bookmarkEnd w:id="0"/>
    </w:tbl>
    <w:p w14:paraId="0A518B63" w14:textId="77777777" w:rsidR="0047666A" w:rsidRPr="006A0F46" w:rsidRDefault="0047666A" w:rsidP="0047666A">
      <w:pPr>
        <w:rPr>
          <w:rFonts w:cs="Calibri"/>
          <w:color w:val="000000" w:themeColor="text1"/>
          <w:sz w:val="24"/>
        </w:rPr>
      </w:pPr>
    </w:p>
    <w:sectPr w:rsidR="0047666A" w:rsidRPr="006A0F46" w:rsidSect="0047666A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D2647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7261E0"/>
    <w:multiLevelType w:val="hybridMultilevel"/>
    <w:tmpl w:val="5950B8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0E4D4F"/>
    <w:multiLevelType w:val="hybridMultilevel"/>
    <w:tmpl w:val="2DFCA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041C1"/>
    <w:multiLevelType w:val="hybridMultilevel"/>
    <w:tmpl w:val="86D293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9E7456"/>
    <w:multiLevelType w:val="hybridMultilevel"/>
    <w:tmpl w:val="AAAC1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DB0D33"/>
    <w:multiLevelType w:val="hybridMultilevel"/>
    <w:tmpl w:val="05DC42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F547760"/>
    <w:multiLevelType w:val="hybridMultilevel"/>
    <w:tmpl w:val="021C4C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7768B4"/>
    <w:multiLevelType w:val="hybridMultilevel"/>
    <w:tmpl w:val="717E5A96"/>
    <w:lvl w:ilvl="0" w:tplc="7F18187A">
      <w:start w:val="1"/>
      <w:numFmt w:val="decimal"/>
      <w:lvlText w:val="%1."/>
      <w:lvlJc w:val="left"/>
      <w:pPr>
        <w:ind w:left="1020" w:hanging="360"/>
      </w:pPr>
    </w:lvl>
    <w:lvl w:ilvl="1" w:tplc="6B26FCBE">
      <w:start w:val="1"/>
      <w:numFmt w:val="decimal"/>
      <w:lvlText w:val="%2."/>
      <w:lvlJc w:val="left"/>
      <w:pPr>
        <w:ind w:left="1020" w:hanging="360"/>
      </w:pPr>
    </w:lvl>
    <w:lvl w:ilvl="2" w:tplc="C402FFB0">
      <w:start w:val="1"/>
      <w:numFmt w:val="decimal"/>
      <w:lvlText w:val="%3."/>
      <w:lvlJc w:val="left"/>
      <w:pPr>
        <w:ind w:left="1020" w:hanging="360"/>
      </w:pPr>
    </w:lvl>
    <w:lvl w:ilvl="3" w:tplc="BA4A314C">
      <w:start w:val="1"/>
      <w:numFmt w:val="decimal"/>
      <w:lvlText w:val="%4."/>
      <w:lvlJc w:val="left"/>
      <w:pPr>
        <w:ind w:left="1020" w:hanging="360"/>
      </w:pPr>
    </w:lvl>
    <w:lvl w:ilvl="4" w:tplc="8E9ED010">
      <w:start w:val="1"/>
      <w:numFmt w:val="decimal"/>
      <w:lvlText w:val="%5."/>
      <w:lvlJc w:val="left"/>
      <w:pPr>
        <w:ind w:left="1020" w:hanging="360"/>
      </w:pPr>
    </w:lvl>
    <w:lvl w:ilvl="5" w:tplc="97CE5BEC">
      <w:start w:val="1"/>
      <w:numFmt w:val="decimal"/>
      <w:lvlText w:val="%6."/>
      <w:lvlJc w:val="left"/>
      <w:pPr>
        <w:ind w:left="1020" w:hanging="360"/>
      </w:pPr>
    </w:lvl>
    <w:lvl w:ilvl="6" w:tplc="F468C202">
      <w:start w:val="1"/>
      <w:numFmt w:val="decimal"/>
      <w:lvlText w:val="%7."/>
      <w:lvlJc w:val="left"/>
      <w:pPr>
        <w:ind w:left="1020" w:hanging="360"/>
      </w:pPr>
    </w:lvl>
    <w:lvl w:ilvl="7" w:tplc="5E82FDE8">
      <w:start w:val="1"/>
      <w:numFmt w:val="decimal"/>
      <w:lvlText w:val="%8."/>
      <w:lvlJc w:val="left"/>
      <w:pPr>
        <w:ind w:left="1020" w:hanging="360"/>
      </w:pPr>
    </w:lvl>
    <w:lvl w:ilvl="8" w:tplc="734243C4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704A25ED"/>
    <w:multiLevelType w:val="hybridMultilevel"/>
    <w:tmpl w:val="6F906C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64A4739"/>
    <w:multiLevelType w:val="hybridMultilevel"/>
    <w:tmpl w:val="0D94245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E2626E"/>
    <w:multiLevelType w:val="hybridMultilevel"/>
    <w:tmpl w:val="42FABE0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88640">
    <w:abstractNumId w:val="7"/>
  </w:num>
  <w:num w:numId="2" w16cid:durableId="1491753292">
    <w:abstractNumId w:val="9"/>
  </w:num>
  <w:num w:numId="3" w16cid:durableId="243422557">
    <w:abstractNumId w:val="2"/>
  </w:num>
  <w:num w:numId="4" w16cid:durableId="1425884774">
    <w:abstractNumId w:val="1"/>
  </w:num>
  <w:num w:numId="5" w16cid:durableId="1763257824">
    <w:abstractNumId w:val="5"/>
  </w:num>
  <w:num w:numId="6" w16cid:durableId="1736507999">
    <w:abstractNumId w:val="4"/>
  </w:num>
  <w:num w:numId="7" w16cid:durableId="2056734173">
    <w:abstractNumId w:val="8"/>
  </w:num>
  <w:num w:numId="8" w16cid:durableId="628511267">
    <w:abstractNumId w:val="6"/>
  </w:num>
  <w:num w:numId="9" w16cid:durableId="746806668">
    <w:abstractNumId w:val="0"/>
  </w:num>
  <w:num w:numId="10" w16cid:durableId="1215390173">
    <w:abstractNumId w:val="10"/>
  </w:num>
  <w:num w:numId="11" w16cid:durableId="14684721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553"/>
    <w:rsid w:val="0047666A"/>
    <w:rsid w:val="00661DBD"/>
    <w:rsid w:val="006A0F46"/>
    <w:rsid w:val="00AB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B4751"/>
  <w15:chartTrackingRefBased/>
  <w15:docId w15:val="{2C8B32C7-97A4-4C08-9F45-209FC5A3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66A"/>
    <w:pPr>
      <w:spacing w:before="120" w:after="120" w:line="360" w:lineRule="auto"/>
    </w:pPr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55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5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55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5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55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55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55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55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55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55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B55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B55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55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55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55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55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55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55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55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5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5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5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5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55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55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55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55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55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5553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766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66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666A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6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66A"/>
    <w:rPr>
      <w:rFonts w:ascii="Calibri" w:hAnsi="Calibri"/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47666A"/>
    <w:pPr>
      <w:spacing w:after="0"/>
      <w:jc w:val="center"/>
    </w:pPr>
    <w:rPr>
      <w:rFonts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7666A"/>
    <w:rPr>
      <w:rFonts w:ascii="Calibri" w:hAnsi="Calibri" w:cs="Calibri"/>
      <w:noProof/>
      <w:sz w:val="22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47666A"/>
    <w:rPr>
      <w:rFonts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47666A"/>
    <w:rPr>
      <w:rFonts w:ascii="Calibri" w:hAnsi="Calibri" w:cs="Calibri"/>
      <w:noProof/>
      <w:sz w:val="22"/>
      <w:lang w:val="en-US"/>
    </w:rPr>
  </w:style>
  <w:style w:type="paragraph" w:styleId="Revision">
    <w:name w:val="Revision"/>
    <w:hidden/>
    <w:uiPriority w:val="99"/>
    <w:semiHidden/>
    <w:rsid w:val="0047666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766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666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76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7666A"/>
    <w:rPr>
      <w:rFonts w:ascii="Times New Roman" w:hAnsi="Times New Roman" w:cs="Times New Roman"/>
    </w:rPr>
  </w:style>
  <w:style w:type="paragraph" w:styleId="ListBullet">
    <w:name w:val="List Bullet"/>
    <w:basedOn w:val="Normal"/>
    <w:uiPriority w:val="99"/>
    <w:unhideWhenUsed/>
    <w:rsid w:val="0047666A"/>
    <w:pPr>
      <w:numPr>
        <w:numId w:val="9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/>
      <w:kern w:val="0"/>
      <w:szCs w:val="22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47666A"/>
    <w:rPr>
      <w:b/>
      <w:bCs/>
    </w:rPr>
  </w:style>
  <w:style w:type="paragraph" w:customStyle="1" w:styleId="p1">
    <w:name w:val="p1"/>
    <w:basedOn w:val="Normal"/>
    <w:rsid w:val="0047666A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1"/>
      <w:szCs w:val="11"/>
      <w:lang w:val="en-GB" w:eastAsia="en-GB" w:bidi="th-TH"/>
      <w14:ligatures w14:val="none"/>
    </w:rPr>
  </w:style>
  <w:style w:type="paragraph" w:customStyle="1" w:styleId="p2">
    <w:name w:val="p2"/>
    <w:basedOn w:val="Normal"/>
    <w:rsid w:val="0047666A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4"/>
      <w:szCs w:val="14"/>
      <w:lang w:val="en-GB" w:eastAsia="en-GB" w:bidi="th-TH"/>
      <w14:ligatures w14:val="none"/>
    </w:rPr>
  </w:style>
  <w:style w:type="table" w:styleId="ListTable3">
    <w:name w:val="List Table 3"/>
    <w:basedOn w:val="TableNormal"/>
    <w:uiPriority w:val="48"/>
    <w:rsid w:val="0047666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9124</Words>
  <Characters>52007</Characters>
  <Application>Microsoft Office Word</Application>
  <DocSecurity>0</DocSecurity>
  <Lines>433</Lines>
  <Paragraphs>122</Paragraphs>
  <ScaleCrop>false</ScaleCrop>
  <Company/>
  <LinksUpToDate>false</LinksUpToDate>
  <CharactersWithSpaces>61009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 Mishra (South Western Sydney LHD)</dc:creator>
  <cp:keywords/>
  <dc:description/>
  <cp:lastModifiedBy>Shiva Mishra (South Western Sydney LHD)</cp:lastModifiedBy>
  <cp:revision>3</cp:revision>
  <dcterms:created xsi:type="dcterms:W3CDTF">2025-09-12T02:34:00Z</dcterms:created>
  <dcterms:modified xsi:type="dcterms:W3CDTF">2025-09-12T02:35:00Z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a44f01-6907-4156-9b79-a71e6c56ad93_Enabled">
    <vt:lpwstr>true</vt:lpwstr>
  </property>
  <property fmtid="{D5CDD505-2E9C-101B-9397-08002B2CF9AE}" pid="3" name="MSIP_Label_76a44f01-6907-4156-9b79-a71e6c56ad93_SetDate">
    <vt:lpwstr>2025-09-12T02:34:25Z</vt:lpwstr>
  </property>
  <property fmtid="{D5CDD505-2E9C-101B-9397-08002B2CF9AE}" pid="4" name="MSIP_Label_76a44f01-6907-4156-9b79-a71e6c56ad93_Method">
    <vt:lpwstr>Privileged</vt:lpwstr>
  </property>
  <property fmtid="{D5CDD505-2E9C-101B-9397-08002B2CF9AE}" pid="5" name="MSIP_Label_76a44f01-6907-4156-9b79-a71e6c56ad93_Name">
    <vt:lpwstr>OFFICIAL</vt:lpwstr>
  </property>
  <property fmtid="{D5CDD505-2E9C-101B-9397-08002B2CF9AE}" pid="6" name="MSIP_Label_76a44f01-6907-4156-9b79-a71e6c56ad93_SiteId">
    <vt:lpwstr>a687a7bf-02db-43df-bcbb-e7a8bda611a2</vt:lpwstr>
  </property>
  <property fmtid="{D5CDD505-2E9C-101B-9397-08002B2CF9AE}" pid="7" name="MSIP_Label_76a44f01-6907-4156-9b79-a71e6c56ad93_ActionId">
    <vt:lpwstr>2c16f99f-e8ff-43d7-8e6d-6db71a9ac9ac</vt:lpwstr>
  </property>
  <property fmtid="{D5CDD505-2E9C-101B-9397-08002B2CF9AE}" pid="8" name="MSIP_Label_76a44f01-6907-4156-9b79-a71e6c56ad93_ContentBits">
    <vt:lpwstr>0</vt:lpwstr>
  </property>
  <property fmtid="{D5CDD505-2E9C-101B-9397-08002B2CF9AE}" pid="9" name="MSIP_Label_76a44f01-6907-4156-9b79-a71e6c56ad93_Tag">
    <vt:lpwstr>10, 0, 1, 1</vt:lpwstr>
  </property>
</Properties>
</file>