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57543" w14:textId="77777777" w:rsidR="00F46760" w:rsidRPr="00E019BE" w:rsidRDefault="00F46760" w:rsidP="00F46760">
      <w:pPr>
        <w:spacing w:before="120" w:after="120" w:line="360" w:lineRule="auto"/>
        <w:jc w:val="both"/>
        <w:rPr>
          <w:rFonts w:ascii="Times New Roman" w:hAnsi="Times New Roman" w:cs="Times New Roman"/>
          <w:b/>
          <w:bCs/>
          <w:color w:val="000000" w:themeColor="text1"/>
          <w:sz w:val="28"/>
          <w:szCs w:val="28"/>
        </w:rPr>
      </w:pPr>
      <w:r w:rsidRPr="00E019BE">
        <w:rPr>
          <w:rFonts w:ascii="Times New Roman" w:hAnsi="Times New Roman" w:cs="Times New Roman"/>
          <w:b/>
          <w:bCs/>
          <w:color w:val="000000" w:themeColor="text1"/>
          <w:sz w:val="28"/>
          <w:szCs w:val="28"/>
        </w:rPr>
        <w:t>Extended data figures</w:t>
      </w:r>
      <w:bookmarkStart w:id="0" w:name="_Hlk206758181"/>
    </w:p>
    <w:p w14:paraId="65208073" w14:textId="77777777" w:rsidR="00F46760" w:rsidRPr="00D54D20" w:rsidRDefault="00F46760" w:rsidP="00F46760">
      <w:pPr>
        <w:spacing w:before="120" w:after="120" w:line="360" w:lineRule="auto"/>
        <w:jc w:val="both"/>
        <w:rPr>
          <w:rFonts w:ascii="Times New Roman" w:eastAsia="Calibri" w:hAnsi="Times New Roman" w:cs="Times New Roman"/>
          <w:lang w:val="en-US"/>
        </w:rPr>
      </w:pPr>
      <w:r w:rsidRPr="000D69E1">
        <w:rPr>
          <w:rFonts w:ascii="Times New Roman" w:eastAsia="Calibri" w:hAnsi="Times New Roman" w:cs="Times New Roman"/>
          <w:b/>
          <w:bCs/>
          <w:lang w:val="en-US"/>
        </w:rPr>
        <w:t>Extended Data Fig. 1</w:t>
      </w:r>
      <w:bookmarkEnd w:id="0"/>
      <w:r w:rsidRPr="000D69E1">
        <w:rPr>
          <w:rFonts w:ascii="Times New Roman" w:eastAsia="Calibri" w:hAnsi="Times New Roman" w:cs="Times New Roman"/>
          <w:b/>
          <w:bCs/>
          <w:lang w:val="en-US"/>
        </w:rPr>
        <w:t xml:space="preserve"> | Associations between plant survival and growth with mean annual precipitation, mean annual temperature and PC1 of the 20 provenance</w:t>
      </w:r>
      <w:r>
        <w:rPr>
          <w:rFonts w:ascii="Times New Roman" w:eastAsia="Calibri" w:hAnsi="Times New Roman" w:cs="Times New Roman"/>
          <w:b/>
          <w:bCs/>
          <w:lang w:val="en-US"/>
        </w:rPr>
        <w:t>s</w:t>
      </w:r>
      <w:r w:rsidRPr="000D69E1">
        <w:rPr>
          <w:rFonts w:ascii="Times New Roman" w:eastAsia="Calibri" w:hAnsi="Times New Roman" w:cs="Times New Roman"/>
          <w:b/>
          <w:bCs/>
          <w:lang w:val="en-US"/>
        </w:rPr>
        <w:t xml:space="preserve">. </w:t>
      </w:r>
      <w:r w:rsidRPr="00275905">
        <w:rPr>
          <w:rFonts w:ascii="Times New Roman" w:eastAsia="Calibri" w:hAnsi="Times New Roman" w:cs="Times New Roman"/>
          <w:lang w:val="en-US"/>
        </w:rPr>
        <w:t>The x-axis was standardised by centring the provenances</w:t>
      </w:r>
      <w:r>
        <w:rPr>
          <w:rFonts w:ascii="Times New Roman" w:eastAsia="Calibri" w:hAnsi="Times New Roman" w:cs="Times New Roman"/>
          <w:lang w:val="en-US"/>
        </w:rPr>
        <w:t>’</w:t>
      </w:r>
      <w:r w:rsidRPr="00275905">
        <w:rPr>
          <w:rFonts w:ascii="Times New Roman" w:eastAsia="Calibri" w:hAnsi="Times New Roman" w:cs="Times New Roman"/>
          <w:lang w:val="en-US"/>
        </w:rPr>
        <w:t xml:space="preserve"> mean annual precipitation (or temperature or PC1) relative to the trial site’s local precipitation (or temperature or PC1) (i.e., difference from the local provenance). Each line shows the GAMM relationship seen under a unique treatment combination (location, planting year, and substrate condition as </w:t>
      </w:r>
      <w:r w:rsidRPr="00F65B2B">
        <w:rPr>
          <w:rFonts w:ascii="Times New Roman" w:eastAsia="Calibri" w:hAnsi="Times New Roman" w:cs="Times New Roman"/>
          <w:lang w:val="en-US"/>
        </w:rPr>
        <w:t>per Figure 3). Fewer treatment combinations are shown for stem diameter and height due to limited survival. Line c</w:t>
      </w:r>
      <w:r w:rsidRPr="00275905">
        <w:rPr>
          <w:rFonts w:ascii="Times New Roman" w:eastAsia="Calibri" w:hAnsi="Times New Roman" w:cs="Times New Roman"/>
          <w:lang w:val="en-US"/>
        </w:rPr>
        <w:t>olours indicate the type of climate relationship predicted by the GAMM: drier/hotter has higher growth or survival than local and wetter (yellow), wetter/cooler higher than local and drier (blue), local higher than both wetter</w:t>
      </w:r>
      <w:r>
        <w:rPr>
          <w:rFonts w:ascii="Times New Roman" w:eastAsia="Calibri" w:hAnsi="Times New Roman" w:cs="Times New Roman"/>
          <w:lang w:val="en-US"/>
        </w:rPr>
        <w:t xml:space="preserve">/cooler </w:t>
      </w:r>
      <w:r w:rsidRPr="00D54D20">
        <w:rPr>
          <w:rFonts w:ascii="Times New Roman" w:eastAsia="Calibri" w:hAnsi="Times New Roman" w:cs="Times New Roman"/>
          <w:lang w:val="en-US"/>
        </w:rPr>
        <w:t xml:space="preserve">(green), </w:t>
      </w:r>
      <w:r>
        <w:rPr>
          <w:rFonts w:ascii="Times New Roman" w:eastAsia="Calibri" w:hAnsi="Times New Roman" w:cs="Times New Roman"/>
          <w:lang w:val="en-US"/>
        </w:rPr>
        <w:t xml:space="preserve">local lower </w:t>
      </w:r>
      <w:r w:rsidRPr="00275905">
        <w:rPr>
          <w:rFonts w:ascii="Times New Roman" w:eastAsia="Calibri" w:hAnsi="Times New Roman" w:cs="Times New Roman"/>
          <w:lang w:val="en-US"/>
        </w:rPr>
        <w:t>than both wetter</w:t>
      </w:r>
      <w:r>
        <w:rPr>
          <w:rFonts w:ascii="Times New Roman" w:eastAsia="Calibri" w:hAnsi="Times New Roman" w:cs="Times New Roman"/>
          <w:lang w:val="en-US"/>
        </w:rPr>
        <w:t xml:space="preserve">/cooler </w:t>
      </w:r>
      <w:r w:rsidRPr="00D54D20">
        <w:rPr>
          <w:rFonts w:ascii="Times New Roman" w:eastAsia="Calibri" w:hAnsi="Times New Roman" w:cs="Times New Roman"/>
          <w:lang w:val="en-US"/>
        </w:rPr>
        <w:t>(</w:t>
      </w:r>
      <w:r>
        <w:rPr>
          <w:rFonts w:ascii="Times New Roman" w:eastAsia="Calibri" w:hAnsi="Times New Roman" w:cs="Times New Roman"/>
          <w:lang w:val="en-US"/>
        </w:rPr>
        <w:t>purple</w:t>
      </w:r>
      <w:r w:rsidRPr="00D54D20">
        <w:rPr>
          <w:rFonts w:ascii="Times New Roman" w:eastAsia="Calibri" w:hAnsi="Times New Roman" w:cs="Times New Roman"/>
          <w:lang w:val="en-US"/>
        </w:rPr>
        <w:t>)</w:t>
      </w:r>
      <w:r>
        <w:rPr>
          <w:rFonts w:ascii="Times New Roman" w:eastAsia="Calibri" w:hAnsi="Times New Roman" w:cs="Times New Roman"/>
          <w:lang w:val="en-US"/>
        </w:rPr>
        <w:t xml:space="preserve">, </w:t>
      </w:r>
      <w:r w:rsidRPr="00D54D20">
        <w:rPr>
          <w:rFonts w:ascii="Times New Roman" w:eastAsia="Calibri" w:hAnsi="Times New Roman" w:cs="Times New Roman"/>
          <w:lang w:val="en-US"/>
        </w:rPr>
        <w:t xml:space="preserve">or no significant relationship (grey). Note that this analysis only captures </w:t>
      </w:r>
      <w:r>
        <w:rPr>
          <w:rFonts w:ascii="Times New Roman" w:eastAsia="Calibri" w:hAnsi="Times New Roman" w:cs="Times New Roman"/>
          <w:lang w:val="en-US"/>
        </w:rPr>
        <w:t>wide</w:t>
      </w:r>
      <w:r w:rsidRPr="00D54D20">
        <w:rPr>
          <w:rFonts w:ascii="Times New Roman" w:eastAsia="Calibri" w:hAnsi="Times New Roman" w:cs="Times New Roman"/>
          <w:lang w:val="en-US"/>
        </w:rPr>
        <w:t xml:space="preserve"> local effects (as in Figure 2D), where growth or survival peaks</w:t>
      </w:r>
      <w:r>
        <w:rPr>
          <w:rFonts w:ascii="Times New Roman" w:eastAsia="Calibri" w:hAnsi="Times New Roman" w:cs="Times New Roman"/>
          <w:lang w:val="en-US"/>
        </w:rPr>
        <w:t>/troughs</w:t>
      </w:r>
      <w:r w:rsidRPr="00D54D20">
        <w:rPr>
          <w:rFonts w:ascii="Times New Roman" w:eastAsia="Calibri" w:hAnsi="Times New Roman" w:cs="Times New Roman"/>
          <w:lang w:val="en-US"/>
        </w:rPr>
        <w:t xml:space="preserve"> at the local provenance</w:t>
      </w:r>
      <w:r>
        <w:rPr>
          <w:rFonts w:ascii="Times New Roman" w:eastAsia="Calibri" w:hAnsi="Times New Roman" w:cs="Times New Roman"/>
          <w:lang w:val="en-US"/>
        </w:rPr>
        <w:t>.</w:t>
      </w:r>
    </w:p>
    <w:p w14:paraId="2AECB862" w14:textId="77777777" w:rsidR="00F46760" w:rsidRPr="00D54D20" w:rsidRDefault="00F46760" w:rsidP="00F46760">
      <w:pPr>
        <w:spacing w:before="120" w:after="120" w:line="360" w:lineRule="auto"/>
        <w:jc w:val="both"/>
        <w:rPr>
          <w:rFonts w:ascii="Times New Roman" w:hAnsi="Times New Roman" w:cs="Times New Roman"/>
        </w:rPr>
      </w:pPr>
      <w:r w:rsidRPr="000D69E1">
        <w:rPr>
          <w:rStyle w:val="Strong"/>
          <w:rFonts w:ascii="Times New Roman" w:hAnsi="Times New Roman" w:cs="Times New Roman"/>
        </w:rPr>
        <w:t xml:space="preserve">Extended Data Fig. 2 | </w:t>
      </w:r>
      <w:r>
        <w:rPr>
          <w:rStyle w:val="Strong"/>
          <w:rFonts w:ascii="Times New Roman" w:hAnsi="Times New Roman" w:cs="Times New Roman"/>
        </w:rPr>
        <w:t>Summary</w:t>
      </w:r>
      <w:r w:rsidRPr="000D69E1">
        <w:rPr>
          <w:rStyle w:val="Strong"/>
          <w:rFonts w:ascii="Times New Roman" w:hAnsi="Times New Roman" w:cs="Times New Roman"/>
        </w:rPr>
        <w:t xml:space="preserve"> of significant local effects across species and locations.</w:t>
      </w:r>
      <w:r w:rsidRPr="000D69E1">
        <w:rPr>
          <w:rFonts w:ascii="Times New Roman" w:hAnsi="Times New Roman" w:cs="Times New Roman"/>
        </w:rPr>
        <w:t xml:space="preserve"> </w:t>
      </w:r>
      <w:r>
        <w:rPr>
          <w:rFonts w:ascii="Times New Roman" w:hAnsi="Times New Roman" w:cs="Times New Roman"/>
        </w:rPr>
        <w:t>Doughnut</w:t>
      </w:r>
      <w:r w:rsidRPr="00267C77">
        <w:rPr>
          <w:rFonts w:ascii="Times New Roman" w:hAnsi="Times New Roman" w:cs="Times New Roman"/>
        </w:rPr>
        <w:t xml:space="preserve"> charts show, for each species at each location, the </w:t>
      </w:r>
      <w:r>
        <w:rPr>
          <w:rFonts w:ascii="Times New Roman" w:hAnsi="Times New Roman" w:cs="Times New Roman"/>
        </w:rPr>
        <w:t xml:space="preserve">number and </w:t>
      </w:r>
      <w:r w:rsidRPr="00267C77">
        <w:rPr>
          <w:rFonts w:ascii="Times New Roman" w:hAnsi="Times New Roman" w:cs="Times New Roman"/>
        </w:rPr>
        <w:t>proportion of analyses in which the local provenance performed be</w:t>
      </w:r>
      <w:r>
        <w:rPr>
          <w:rFonts w:ascii="Times New Roman" w:hAnsi="Times New Roman" w:cs="Times New Roman"/>
        </w:rPr>
        <w:t>tter</w:t>
      </w:r>
      <w:r w:rsidRPr="00267C77">
        <w:rPr>
          <w:rFonts w:ascii="Times New Roman" w:hAnsi="Times New Roman" w:cs="Times New Roman"/>
        </w:rPr>
        <w:t xml:space="preserve"> (green), worse (purple), showed no significant effect (dark grey), or could not be assessed </w:t>
      </w:r>
      <w:r>
        <w:rPr>
          <w:rFonts w:ascii="Times New Roman" w:hAnsi="Times New Roman" w:cs="Times New Roman"/>
        </w:rPr>
        <w:t xml:space="preserve">because </w:t>
      </w:r>
      <w:r w:rsidRPr="00267C77">
        <w:rPr>
          <w:rFonts w:ascii="Times New Roman" w:hAnsi="Times New Roman" w:cs="Times New Roman"/>
        </w:rPr>
        <w:t>high mortality limited interpretation</w:t>
      </w:r>
      <w:r>
        <w:rPr>
          <w:rFonts w:ascii="Times New Roman" w:hAnsi="Times New Roman" w:cs="Times New Roman"/>
        </w:rPr>
        <w:t xml:space="preserve"> </w:t>
      </w:r>
      <w:r w:rsidRPr="00267C77">
        <w:rPr>
          <w:rFonts w:ascii="Times New Roman" w:hAnsi="Times New Roman" w:cs="Times New Roman"/>
        </w:rPr>
        <w:t>(</w:t>
      </w:r>
      <w:r>
        <w:rPr>
          <w:rFonts w:ascii="Times New Roman" w:hAnsi="Times New Roman" w:cs="Times New Roman"/>
        </w:rPr>
        <w:t xml:space="preserve">insufficient data, </w:t>
      </w:r>
      <w:r w:rsidRPr="00267C77">
        <w:rPr>
          <w:rFonts w:ascii="Times New Roman" w:hAnsi="Times New Roman" w:cs="Times New Roman"/>
        </w:rPr>
        <w:t>light grey). Local effects were ass</w:t>
      </w:r>
      <w:r w:rsidRPr="00F65B2B">
        <w:rPr>
          <w:rFonts w:ascii="Times New Roman" w:hAnsi="Times New Roman" w:cs="Times New Roman"/>
        </w:rPr>
        <w:t>essed using five different approaches aimed at detecting wide, narrow and immediate local effects (Fig. 2D, E, F) by examining residual patterns, comparing mean predicted performance for local with non-local locations and including a fixed effect of the local provenance. At each location, each treatment combination (t</w:t>
      </w:r>
      <w:r w:rsidRPr="00267C77">
        <w:rPr>
          <w:rFonts w:ascii="Times New Roman" w:hAnsi="Times New Roman" w:cs="Times New Roman"/>
        </w:rPr>
        <w:t xml:space="preserve">wo substrate conditions × two planting years, with replicate plots combined; n = 4) was tested for local effects using three performance variables (survival, height, stem diameter) against </w:t>
      </w:r>
      <w:r>
        <w:rPr>
          <w:rFonts w:ascii="Times New Roman" w:hAnsi="Times New Roman" w:cs="Times New Roman"/>
        </w:rPr>
        <w:t xml:space="preserve">the </w:t>
      </w:r>
      <w:r w:rsidRPr="00267C77">
        <w:rPr>
          <w:rFonts w:ascii="Times New Roman" w:hAnsi="Times New Roman" w:cs="Times New Roman"/>
        </w:rPr>
        <w:t>MAP of the provenances. This resulted in 60 analyses per species at locations 2,3</w:t>
      </w:r>
      <w:r>
        <w:rPr>
          <w:rFonts w:ascii="Times New Roman" w:hAnsi="Times New Roman" w:cs="Times New Roman"/>
        </w:rPr>
        <w:t>,</w:t>
      </w:r>
      <w:r w:rsidRPr="00267C77">
        <w:rPr>
          <w:rFonts w:ascii="Times New Roman" w:hAnsi="Times New Roman" w:cs="Times New Roman"/>
        </w:rPr>
        <w:t xml:space="preserve"> and 4 (4 treatment combinations × 3 performance variables × 5 analysis types)</w:t>
      </w:r>
      <w:r>
        <w:rPr>
          <w:rFonts w:ascii="Times New Roman" w:hAnsi="Times New Roman" w:cs="Times New Roman"/>
        </w:rPr>
        <w:t xml:space="preserve">. Note </w:t>
      </w:r>
      <w:r w:rsidRPr="00267C77">
        <w:rPr>
          <w:rFonts w:ascii="Times New Roman" w:hAnsi="Times New Roman" w:cs="Times New Roman"/>
        </w:rPr>
        <w:t xml:space="preserve">Location 1 had fewer analyses as </w:t>
      </w:r>
      <w:r>
        <w:rPr>
          <w:rFonts w:ascii="Times New Roman" w:hAnsi="Times New Roman" w:cs="Times New Roman"/>
        </w:rPr>
        <w:t xml:space="preserve">no disturbed </w:t>
      </w:r>
      <w:r w:rsidRPr="00267C77">
        <w:rPr>
          <w:rFonts w:ascii="Times New Roman" w:hAnsi="Times New Roman" w:cs="Times New Roman"/>
        </w:rPr>
        <w:t>sites</w:t>
      </w:r>
      <w:r>
        <w:rPr>
          <w:rFonts w:ascii="Times New Roman" w:hAnsi="Times New Roman" w:cs="Times New Roman"/>
        </w:rPr>
        <w:t xml:space="preserve"> were established</w:t>
      </w:r>
      <w:r w:rsidRPr="00267C77">
        <w:rPr>
          <w:rFonts w:ascii="Times New Roman" w:hAnsi="Times New Roman" w:cs="Times New Roman"/>
        </w:rPr>
        <w:t xml:space="preserve"> in </w:t>
      </w:r>
      <w:r>
        <w:rPr>
          <w:rFonts w:ascii="Times New Roman" w:hAnsi="Times New Roman" w:cs="Times New Roman"/>
        </w:rPr>
        <w:t xml:space="preserve">the </w:t>
      </w:r>
      <w:r w:rsidRPr="00267C77">
        <w:rPr>
          <w:rFonts w:ascii="Times New Roman" w:hAnsi="Times New Roman" w:cs="Times New Roman"/>
        </w:rPr>
        <w:t>2022</w:t>
      </w:r>
      <w:r>
        <w:rPr>
          <w:rFonts w:ascii="Times New Roman" w:hAnsi="Times New Roman" w:cs="Times New Roman"/>
        </w:rPr>
        <w:t xml:space="preserve"> planting year.</w:t>
      </w:r>
    </w:p>
    <w:p w14:paraId="566A6410" w14:textId="77777777" w:rsidR="00F46760" w:rsidRPr="00D54D20" w:rsidRDefault="00F46760" w:rsidP="00F46760">
      <w:pPr>
        <w:pStyle w:val="NormalWeb"/>
        <w:spacing w:before="120" w:beforeAutospacing="0" w:after="120" w:afterAutospacing="0" w:line="360" w:lineRule="auto"/>
        <w:jc w:val="both"/>
        <w:rPr>
          <w:sz w:val="22"/>
          <w:szCs w:val="22"/>
        </w:rPr>
      </w:pPr>
      <w:r w:rsidRPr="000D69E1">
        <w:rPr>
          <w:rStyle w:val="Strong"/>
          <w:sz w:val="22"/>
          <w:szCs w:val="22"/>
        </w:rPr>
        <w:t xml:space="preserve">Extended Data Fig. 3 | </w:t>
      </w:r>
      <w:r w:rsidRPr="00E019BE">
        <w:rPr>
          <w:rStyle w:val="Strong"/>
          <w:sz w:val="22"/>
          <w:szCs w:val="22"/>
        </w:rPr>
        <w:t xml:space="preserve">Survival over time and rainfall across trial sites. (A) Cumulative survival over time for each species </w:t>
      </w:r>
      <w:r w:rsidRPr="00E019BE">
        <w:rPr>
          <w:rFonts w:eastAsia="Calibri"/>
          <w:b/>
          <w:bCs/>
        </w:rPr>
        <w:t>×</w:t>
      </w:r>
      <w:r w:rsidRPr="00E019BE">
        <w:rPr>
          <w:rStyle w:val="Strong"/>
          <w:sz w:val="22"/>
          <w:szCs w:val="22"/>
        </w:rPr>
        <w:t xml:space="preserve"> substrate condition </w:t>
      </w:r>
      <w:r w:rsidRPr="00E019BE">
        <w:rPr>
          <w:rFonts w:eastAsia="Calibri"/>
          <w:b/>
          <w:bCs/>
        </w:rPr>
        <w:t>×</w:t>
      </w:r>
      <w:r w:rsidRPr="00E019BE">
        <w:rPr>
          <w:rStyle w:val="Strong"/>
          <w:sz w:val="22"/>
          <w:szCs w:val="22"/>
        </w:rPr>
        <w:t xml:space="preserve"> planting year combination. Points represent mean survival across plots at each monitoring period, with substrates distinguished by line colour. Summer periods are shaded pale yellow, which coincide with drops in survival. (B) Monthly precipitation (WorldClim) at trial sites during the experiment, with grey dashed vertical lines marking the 2021 and 2022 planting times. </w:t>
      </w:r>
    </w:p>
    <w:p w14:paraId="4A8D9932" w14:textId="77777777" w:rsidR="00F46760" w:rsidRPr="00E019BE" w:rsidRDefault="00F46760" w:rsidP="00F46760">
      <w:pPr>
        <w:spacing w:before="120" w:after="120" w:line="360" w:lineRule="auto"/>
        <w:jc w:val="both"/>
        <w:rPr>
          <w:rStyle w:val="eop"/>
          <w:rFonts w:ascii="Times New Roman" w:hAnsi="Times New Roman" w:cs="Times New Roman"/>
        </w:rPr>
      </w:pPr>
      <w:r w:rsidRPr="000D69E1">
        <w:rPr>
          <w:rFonts w:ascii="Times New Roman" w:hAnsi="Times New Roman" w:cs="Times New Roman"/>
          <w:b/>
          <w:bCs/>
        </w:rPr>
        <w:t xml:space="preserve">Extended Data Fig. 4 | </w:t>
      </w:r>
      <w:r>
        <w:rPr>
          <w:rFonts w:ascii="Times New Roman" w:hAnsi="Times New Roman" w:cs="Times New Roman"/>
          <w:b/>
          <w:bCs/>
        </w:rPr>
        <w:t>Mean s</w:t>
      </w:r>
      <w:r w:rsidRPr="00B17048">
        <w:rPr>
          <w:rFonts w:ascii="Times New Roman" w:hAnsi="Times New Roman" w:cs="Times New Roman"/>
          <w:b/>
          <w:bCs/>
        </w:rPr>
        <w:t>urvival and growth of each species across trial locations</w:t>
      </w:r>
      <w:r w:rsidRPr="000D69E1">
        <w:rPr>
          <w:rFonts w:ascii="Times New Roman" w:hAnsi="Times New Roman" w:cs="Times New Roman"/>
        </w:rPr>
        <w:t>.</w:t>
      </w:r>
      <w:r>
        <w:rPr>
          <w:rFonts w:ascii="Times New Roman" w:hAnsi="Times New Roman" w:cs="Times New Roman"/>
        </w:rPr>
        <w:t xml:space="preserve"> Means and standard errors (error bars) for survival </w:t>
      </w:r>
      <w:r w:rsidRPr="00A20608">
        <w:rPr>
          <w:rFonts w:ascii="Times New Roman" w:hAnsi="Times New Roman" w:cs="Times New Roman"/>
        </w:rPr>
        <w:t xml:space="preserve">(%; top row), stem diameter (mm; middle row), and height (cm; </w:t>
      </w:r>
      <w:r w:rsidRPr="00A20608">
        <w:rPr>
          <w:rFonts w:ascii="Times New Roman" w:hAnsi="Times New Roman" w:cs="Times New Roman"/>
        </w:rPr>
        <w:lastRenderedPageBreak/>
        <w:t>bottom row) across substrate × planting year combinations</w:t>
      </w:r>
      <w:r>
        <w:rPr>
          <w:rFonts w:ascii="Times New Roman" w:hAnsi="Times New Roman" w:cs="Times New Roman"/>
        </w:rPr>
        <w:t xml:space="preserve"> (bar colours)</w:t>
      </w:r>
      <w:r w:rsidRPr="00A20608">
        <w:rPr>
          <w:rFonts w:ascii="Times New Roman" w:hAnsi="Times New Roman" w:cs="Times New Roman"/>
        </w:rPr>
        <w:t xml:space="preserve"> </w:t>
      </w:r>
      <w:r>
        <w:rPr>
          <w:rFonts w:ascii="Times New Roman" w:hAnsi="Times New Roman" w:cs="Times New Roman"/>
        </w:rPr>
        <w:t>for</w:t>
      </w:r>
      <w:r w:rsidRPr="00A20608">
        <w:rPr>
          <w:rFonts w:ascii="Times New Roman" w:hAnsi="Times New Roman" w:cs="Times New Roman"/>
        </w:rPr>
        <w:t xml:space="preserve"> each location. Values are averaged across provenances and plots. Data collected after 2 years of growth</w:t>
      </w:r>
      <w:r>
        <w:rPr>
          <w:rFonts w:ascii="Times New Roman" w:hAnsi="Times New Roman" w:cs="Times New Roman"/>
        </w:rPr>
        <w:t>. Growth data is shown for</w:t>
      </w:r>
      <w:r w:rsidRPr="00A20608">
        <w:rPr>
          <w:rFonts w:ascii="Times New Roman" w:hAnsi="Times New Roman" w:cs="Times New Roman"/>
        </w:rPr>
        <w:t xml:space="preserve"> surviving plants only. </w:t>
      </w:r>
    </w:p>
    <w:p w14:paraId="353AF5C5" w14:textId="77777777" w:rsidR="00F46760" w:rsidRPr="006A4997" w:rsidRDefault="00F46760" w:rsidP="00F46760">
      <w:pPr>
        <w:spacing w:before="120" w:after="120" w:line="360" w:lineRule="auto"/>
        <w:jc w:val="both"/>
        <w:rPr>
          <w:rFonts w:ascii="Times New Roman" w:eastAsiaTheme="majorEastAsia" w:hAnsi="Times New Roman" w:cs="Times New Roman"/>
        </w:rPr>
      </w:pPr>
      <w:bookmarkStart w:id="1" w:name="_Hlk208315057"/>
      <w:r w:rsidRPr="000D69E1">
        <w:rPr>
          <w:rFonts w:ascii="Times New Roman" w:hAnsi="Times New Roman" w:cs="Times New Roman"/>
          <w:b/>
          <w:bCs/>
        </w:rPr>
        <w:t xml:space="preserve">Extended Data Fig. </w:t>
      </w:r>
      <w:r>
        <w:rPr>
          <w:rFonts w:ascii="Times New Roman" w:hAnsi="Times New Roman" w:cs="Times New Roman"/>
          <w:b/>
          <w:bCs/>
        </w:rPr>
        <w:t>5</w:t>
      </w:r>
      <w:r w:rsidRPr="000D69E1">
        <w:rPr>
          <w:rFonts w:ascii="Times New Roman" w:hAnsi="Times New Roman" w:cs="Times New Roman"/>
          <w:b/>
          <w:bCs/>
        </w:rPr>
        <w:t xml:space="preserve"> | </w:t>
      </w:r>
      <w:bookmarkEnd w:id="1"/>
      <w:r>
        <w:rPr>
          <w:rStyle w:val="eop"/>
          <w:rFonts w:ascii="Times New Roman" w:eastAsiaTheme="majorEastAsia" w:hAnsi="Times New Roman" w:cs="Times New Roman"/>
          <w:b/>
          <w:bCs/>
        </w:rPr>
        <w:t>Species</w:t>
      </w:r>
      <w:r w:rsidRPr="000D69E1">
        <w:rPr>
          <w:rStyle w:val="eop"/>
          <w:rFonts w:ascii="Times New Roman" w:eastAsiaTheme="majorEastAsia" w:hAnsi="Times New Roman" w:cs="Times New Roman"/>
        </w:rPr>
        <w:t xml:space="preserve"> </w:t>
      </w:r>
      <w:r>
        <w:rPr>
          <w:rStyle w:val="eop"/>
          <w:rFonts w:ascii="Times New Roman" w:eastAsiaTheme="majorEastAsia" w:hAnsi="Times New Roman" w:cs="Times New Roman"/>
          <w:b/>
          <w:bCs/>
        </w:rPr>
        <w:t>distributions.</w:t>
      </w:r>
      <w:r w:rsidRPr="006A4997">
        <w:rPr>
          <w:rStyle w:val="eop"/>
          <w:rFonts w:ascii="Times New Roman" w:eastAsiaTheme="majorEastAsia" w:hAnsi="Times New Roman" w:cs="Times New Roman"/>
        </w:rPr>
        <w:t xml:space="preserve"> Distributions of </w:t>
      </w:r>
      <w:r w:rsidRPr="006A4997">
        <w:rPr>
          <w:rStyle w:val="eop"/>
          <w:rFonts w:ascii="Times New Roman" w:eastAsiaTheme="majorEastAsia" w:hAnsi="Times New Roman" w:cs="Times New Roman"/>
          <w:i/>
          <w:iCs/>
        </w:rPr>
        <w:t>Eucalyptus todtiana</w:t>
      </w:r>
      <w:r>
        <w:rPr>
          <w:rStyle w:val="eop"/>
          <w:rFonts w:ascii="Times New Roman" w:eastAsiaTheme="majorEastAsia" w:hAnsi="Times New Roman" w:cs="Times New Roman"/>
          <w:i/>
          <w:iCs/>
        </w:rPr>
        <w:t xml:space="preserve"> </w:t>
      </w:r>
      <w:r w:rsidRPr="006A4997">
        <w:rPr>
          <w:rStyle w:val="eop"/>
          <w:rFonts w:ascii="Times New Roman" w:eastAsiaTheme="majorEastAsia" w:hAnsi="Times New Roman" w:cs="Times New Roman"/>
        </w:rPr>
        <w:t xml:space="preserve">and </w:t>
      </w:r>
      <w:r w:rsidRPr="006A4997">
        <w:rPr>
          <w:rStyle w:val="eop"/>
          <w:rFonts w:ascii="Times New Roman" w:eastAsiaTheme="majorEastAsia" w:hAnsi="Times New Roman" w:cs="Times New Roman"/>
          <w:i/>
          <w:iCs/>
        </w:rPr>
        <w:t>Banksia attenuata</w:t>
      </w:r>
      <w:r w:rsidRPr="006A4997">
        <w:rPr>
          <w:rStyle w:val="eop"/>
          <w:rFonts w:ascii="Times New Roman" w:eastAsiaTheme="majorEastAsia" w:hAnsi="Times New Roman" w:cs="Times New Roman"/>
        </w:rPr>
        <w:t xml:space="preserve"> in Western Australia, showing trial sites (circles) within the region from which the 20 provenances were sourced</w:t>
      </w:r>
      <w:r>
        <w:rPr>
          <w:rStyle w:val="eop"/>
          <w:rFonts w:ascii="Times New Roman" w:eastAsiaTheme="majorEastAsia" w:hAnsi="Times New Roman" w:cs="Times New Roman"/>
        </w:rPr>
        <w:t xml:space="preserve"> (rectangle). Species distribution data were obtained from </w:t>
      </w:r>
      <w:r w:rsidRPr="008F0805">
        <w:rPr>
          <w:rStyle w:val="eop"/>
          <w:rFonts w:ascii="Times New Roman" w:eastAsiaTheme="majorEastAsia" w:hAnsi="Times New Roman" w:cs="Times New Roman"/>
          <w:i/>
          <w:iCs/>
        </w:rPr>
        <w:t>FloraBase</w:t>
      </w:r>
      <w:r>
        <w:rPr>
          <w:rStyle w:val="eop"/>
          <w:rFonts w:ascii="Times New Roman" w:eastAsiaTheme="majorEastAsia" w:hAnsi="Times New Roman" w:cs="Times New Roman"/>
        </w:rPr>
        <w:t xml:space="preserve"> </w:t>
      </w:r>
      <w:r>
        <w:rPr>
          <w:rStyle w:val="eop"/>
          <w:rFonts w:ascii="Times New Roman" w:eastAsiaTheme="majorEastAsia" w:hAnsi="Times New Roman" w:cs="Times New Roman"/>
        </w:rPr>
        <w:fldChar w:fldCharType="begin"/>
      </w:r>
      <w:r>
        <w:rPr>
          <w:rStyle w:val="eop"/>
          <w:rFonts w:ascii="Times New Roman" w:eastAsiaTheme="majorEastAsia" w:hAnsi="Times New Roman" w:cs="Times New Roman"/>
        </w:rPr>
        <w:instrText xml:space="preserve"> ADDIN ZOTERO_ITEM CSL_CITATION {"citationID":"ItgTTl9I","properties":{"formattedCitation":"\\super 1\\nosupersub{}","plainCitation":"1","noteIndex":0},"citationItems":[{"id":1813,"uris":["http://zotero.org/users/7942165/items/Y8TKNK5Q"],"uri":["http://zotero.org/users/7942165/items/Y8TKNK5Q"],"itemData":{"id":1813,"type":"book","event-place":"Perth, Western Australia.","medium":"Department of Biodiversity, Conservation and Attractions","publisher-place":"Perth, Western Australia.","title":"FloraBase— the Western Australian Flora.","URL":"https://florabase.dpaw.wa.gov.au/","author":[{"family":"Western Australian Herbarium","given":""}],"accessed":{"date-parts":[["2025",8,31]]},"issued":{"date-parts":[["2024"]]}}}],"schema":"https://github.com/citation-style-language/schema/raw/master/csl-citation.json"} </w:instrText>
      </w:r>
      <w:r>
        <w:rPr>
          <w:rStyle w:val="eop"/>
          <w:rFonts w:ascii="Times New Roman" w:eastAsiaTheme="majorEastAsia" w:hAnsi="Times New Roman" w:cs="Times New Roman"/>
        </w:rPr>
        <w:fldChar w:fldCharType="separate"/>
      </w:r>
      <w:r w:rsidRPr="008F0805">
        <w:rPr>
          <w:rFonts w:ascii="Times New Roman" w:hAnsi="Times New Roman" w:cs="Times New Roman"/>
          <w:vertAlign w:val="superscript"/>
        </w:rPr>
        <w:t>1</w:t>
      </w:r>
      <w:r>
        <w:rPr>
          <w:rStyle w:val="eop"/>
          <w:rFonts w:ascii="Times New Roman" w:eastAsiaTheme="majorEastAsia" w:hAnsi="Times New Roman" w:cs="Times New Roman"/>
        </w:rPr>
        <w:fldChar w:fldCharType="end"/>
      </w:r>
      <w:r>
        <w:rPr>
          <w:rStyle w:val="eop"/>
          <w:rFonts w:ascii="Times New Roman" w:eastAsiaTheme="majorEastAsia" w:hAnsi="Times New Roman" w:cs="Times New Roman"/>
        </w:rPr>
        <w:t xml:space="preserve"> (</w:t>
      </w:r>
      <w:r w:rsidRPr="008F0805">
        <w:rPr>
          <w:rStyle w:val="eop"/>
          <w:rFonts w:ascii="Times New Roman" w:eastAsiaTheme="majorEastAsia" w:hAnsi="Times New Roman" w:cs="Times New Roman"/>
        </w:rPr>
        <w:t>https://florabase.dbca.wa.gov.au/</w:t>
      </w:r>
      <w:r>
        <w:rPr>
          <w:rStyle w:val="eop"/>
          <w:rFonts w:ascii="Times New Roman" w:eastAsiaTheme="majorEastAsia" w:hAnsi="Times New Roman" w:cs="Times New Roman"/>
        </w:rPr>
        <w:t>).</w:t>
      </w:r>
    </w:p>
    <w:p w14:paraId="405169FF"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760"/>
    <w:rsid w:val="00011C58"/>
    <w:rsid w:val="0006021D"/>
    <w:rsid w:val="00331A6B"/>
    <w:rsid w:val="00755780"/>
    <w:rsid w:val="00857596"/>
    <w:rsid w:val="008B319A"/>
    <w:rsid w:val="00C025DD"/>
    <w:rsid w:val="00F46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6E803"/>
  <w15:chartTrackingRefBased/>
  <w15:docId w15:val="{9A679700-75DF-4249-B442-88309989E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6760"/>
    <w:pPr>
      <w:spacing w:line="259" w:lineRule="auto"/>
    </w:pPr>
    <w:rPr>
      <w:rFonts w:eastAsiaTheme="minorEastAsia"/>
      <w:kern w:val="0"/>
      <w:sz w:val="22"/>
      <w:szCs w:val="22"/>
      <w:lang w:val="en-GB"/>
      <w14:ligatures w14:val="none"/>
    </w:rPr>
  </w:style>
  <w:style w:type="paragraph" w:styleId="Heading1">
    <w:name w:val="heading 1"/>
    <w:basedOn w:val="Normal"/>
    <w:next w:val="Normal"/>
    <w:link w:val="Heading1Char"/>
    <w:uiPriority w:val="9"/>
    <w:qFormat/>
    <w:rsid w:val="00F4676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F4676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F46760"/>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F46760"/>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F46760"/>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F46760"/>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F46760"/>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F46760"/>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F46760"/>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7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67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67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67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67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67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67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67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6760"/>
    <w:rPr>
      <w:rFonts w:eastAsiaTheme="majorEastAsia" w:cstheme="majorBidi"/>
      <w:color w:val="272727" w:themeColor="text1" w:themeTint="D8"/>
    </w:rPr>
  </w:style>
  <w:style w:type="paragraph" w:styleId="Title">
    <w:name w:val="Title"/>
    <w:basedOn w:val="Normal"/>
    <w:next w:val="Normal"/>
    <w:link w:val="TitleChar"/>
    <w:uiPriority w:val="10"/>
    <w:qFormat/>
    <w:rsid w:val="00F46760"/>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F467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6760"/>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F467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6760"/>
    <w:pPr>
      <w:spacing w:before="160" w:line="278" w:lineRule="auto"/>
      <w:jc w:val="center"/>
    </w:pPr>
    <w:rPr>
      <w:rFonts w:eastAsiaTheme="minorHAns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F46760"/>
    <w:rPr>
      <w:i/>
      <w:iCs/>
      <w:color w:val="404040" w:themeColor="text1" w:themeTint="BF"/>
    </w:rPr>
  </w:style>
  <w:style w:type="paragraph" w:styleId="ListParagraph">
    <w:name w:val="List Paragraph"/>
    <w:basedOn w:val="Normal"/>
    <w:uiPriority w:val="34"/>
    <w:qFormat/>
    <w:rsid w:val="00F46760"/>
    <w:pPr>
      <w:spacing w:line="278" w:lineRule="auto"/>
      <w:ind w:left="720"/>
      <w:contextualSpacing/>
    </w:pPr>
    <w:rPr>
      <w:rFonts w:eastAsiaTheme="minorHAnsi"/>
      <w:kern w:val="2"/>
      <w:sz w:val="24"/>
      <w:szCs w:val="24"/>
      <w:lang w:val="en-US"/>
      <w14:ligatures w14:val="standardContextual"/>
    </w:rPr>
  </w:style>
  <w:style w:type="character" w:styleId="IntenseEmphasis">
    <w:name w:val="Intense Emphasis"/>
    <w:basedOn w:val="DefaultParagraphFont"/>
    <w:uiPriority w:val="21"/>
    <w:qFormat/>
    <w:rsid w:val="00F46760"/>
    <w:rPr>
      <w:i/>
      <w:iCs/>
      <w:color w:val="0F4761" w:themeColor="accent1" w:themeShade="BF"/>
    </w:rPr>
  </w:style>
  <w:style w:type="paragraph" w:styleId="IntenseQuote">
    <w:name w:val="Intense Quote"/>
    <w:basedOn w:val="Normal"/>
    <w:next w:val="Normal"/>
    <w:link w:val="IntenseQuoteChar"/>
    <w:uiPriority w:val="30"/>
    <w:qFormat/>
    <w:rsid w:val="00F4676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F46760"/>
    <w:rPr>
      <w:i/>
      <w:iCs/>
      <w:color w:val="0F4761" w:themeColor="accent1" w:themeShade="BF"/>
    </w:rPr>
  </w:style>
  <w:style w:type="character" w:styleId="IntenseReference">
    <w:name w:val="Intense Reference"/>
    <w:basedOn w:val="DefaultParagraphFont"/>
    <w:uiPriority w:val="32"/>
    <w:qFormat/>
    <w:rsid w:val="00F46760"/>
    <w:rPr>
      <w:b/>
      <w:bCs/>
      <w:smallCaps/>
      <w:color w:val="0F4761" w:themeColor="accent1" w:themeShade="BF"/>
      <w:spacing w:val="5"/>
    </w:rPr>
  </w:style>
  <w:style w:type="paragraph" w:styleId="NormalWeb">
    <w:name w:val="Normal (Web)"/>
    <w:basedOn w:val="Normal"/>
    <w:uiPriority w:val="99"/>
    <w:unhideWhenUsed/>
    <w:rsid w:val="00F46760"/>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eop">
    <w:name w:val="eop"/>
    <w:basedOn w:val="DefaultParagraphFont"/>
    <w:rsid w:val="00F46760"/>
  </w:style>
  <w:style w:type="character" w:styleId="Strong">
    <w:name w:val="Strong"/>
    <w:basedOn w:val="DefaultParagraphFont"/>
    <w:uiPriority w:val="22"/>
    <w:qFormat/>
    <w:rsid w:val="00F467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659</Words>
  <Characters>3760</Characters>
  <Application>Microsoft Office Word</Application>
  <DocSecurity>0</DocSecurity>
  <Lines>31</Lines>
  <Paragraphs>8</Paragraphs>
  <ScaleCrop>false</ScaleCrop>
  <Company>Springer Nature</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2025-09-22T02:16:00Z</dcterms:created>
  <dcterms:modified xsi:type="dcterms:W3CDTF">2025-09-22T02:16:00Z</dcterms:modified>
</cp:coreProperties>
</file>