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BFC6B" w14:textId="77777777" w:rsidR="00896B0D" w:rsidRPr="00422ED5" w:rsidRDefault="00896B0D" w:rsidP="00896B0D">
      <w:pPr>
        <w:spacing w:before="100" w:beforeAutospacing="1" w:after="100" w:afterAutospacing="1" w:line="480" w:lineRule="auto"/>
      </w:pPr>
      <w:r w:rsidRPr="00422ED5">
        <w:rPr>
          <w:rStyle w:val="Strong"/>
          <w:rFonts w:eastAsiaTheme="majorEastAsia"/>
        </w:rPr>
        <w:t xml:space="preserve">Table </w:t>
      </w:r>
      <w:r>
        <w:rPr>
          <w:rStyle w:val="Strong"/>
          <w:rFonts w:eastAsiaTheme="majorEastAsia"/>
        </w:rPr>
        <w:t>1</w:t>
      </w:r>
      <w:r w:rsidRPr="00422ED5">
        <w:rPr>
          <w:rStyle w:val="Strong"/>
          <w:rFonts w:eastAsiaTheme="majorEastAsia"/>
        </w:rPr>
        <w:t>. Summary of RCTS analyzed in this systematic review.</w:t>
      </w:r>
    </w:p>
    <w:tbl>
      <w:tblPr>
        <w:tblStyle w:val="TableGrid"/>
        <w:tblW w:w="0" w:type="auto"/>
        <w:tblLook w:val="04A0" w:firstRow="1" w:lastRow="0" w:firstColumn="1" w:lastColumn="0" w:noHBand="0" w:noVBand="1"/>
      </w:tblPr>
      <w:tblGrid>
        <w:gridCol w:w="1182"/>
        <w:gridCol w:w="1286"/>
        <w:gridCol w:w="768"/>
        <w:gridCol w:w="1573"/>
        <w:gridCol w:w="1251"/>
        <w:gridCol w:w="931"/>
        <w:gridCol w:w="1019"/>
        <w:gridCol w:w="1276"/>
        <w:gridCol w:w="651"/>
        <w:gridCol w:w="863"/>
        <w:gridCol w:w="1035"/>
        <w:gridCol w:w="1115"/>
      </w:tblGrid>
      <w:tr w:rsidR="00896B0D" w:rsidRPr="007B5092" w14:paraId="6B5742CB" w14:textId="77777777" w:rsidTr="008C24EE">
        <w:tc>
          <w:tcPr>
            <w:tcW w:w="0" w:type="auto"/>
          </w:tcPr>
          <w:p w14:paraId="4EAF78E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Study, Journal, Year</w:t>
            </w:r>
          </w:p>
        </w:tc>
        <w:tc>
          <w:tcPr>
            <w:tcW w:w="0" w:type="auto"/>
          </w:tcPr>
          <w:p w14:paraId="3CBDFC34"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Eligibility Criteria</w:t>
            </w:r>
          </w:p>
          <w:p w14:paraId="5F8118E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(all LN Class III/IV/V)</w:t>
            </w:r>
          </w:p>
        </w:tc>
        <w:tc>
          <w:tcPr>
            <w:tcW w:w="0" w:type="auto"/>
          </w:tcPr>
          <w:p w14:paraId="76A530BA"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Follow-up (weeks)</w:t>
            </w:r>
          </w:p>
        </w:tc>
        <w:tc>
          <w:tcPr>
            <w:tcW w:w="0" w:type="auto"/>
          </w:tcPr>
          <w:p w14:paraId="3A4B557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Intervention</w:t>
            </w:r>
          </w:p>
        </w:tc>
        <w:tc>
          <w:tcPr>
            <w:tcW w:w="0" w:type="auto"/>
          </w:tcPr>
          <w:p w14:paraId="771AA6D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Background Tx</w:t>
            </w:r>
          </w:p>
        </w:tc>
        <w:tc>
          <w:tcPr>
            <w:tcW w:w="0" w:type="auto"/>
          </w:tcPr>
          <w:p w14:paraId="547FACE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Steroid Taper</w:t>
            </w:r>
          </w:p>
        </w:tc>
        <w:tc>
          <w:tcPr>
            <w:tcW w:w="0" w:type="auto"/>
          </w:tcPr>
          <w:p w14:paraId="4118B3E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N (Tx/Ctrl)</w:t>
            </w:r>
          </w:p>
        </w:tc>
        <w:tc>
          <w:tcPr>
            <w:tcW w:w="0" w:type="auto"/>
          </w:tcPr>
          <w:p w14:paraId="6BBB195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CRR Definition</w:t>
            </w:r>
          </w:p>
        </w:tc>
        <w:tc>
          <w:tcPr>
            <w:tcW w:w="0" w:type="auto"/>
          </w:tcPr>
          <w:p w14:paraId="03C7BF5A"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Mean Age  Tx group</w:t>
            </w:r>
          </w:p>
        </w:tc>
        <w:tc>
          <w:tcPr>
            <w:tcW w:w="0" w:type="auto"/>
          </w:tcPr>
          <w:p w14:paraId="2104A1B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 Female (Tx/Ctrl)</w:t>
            </w:r>
          </w:p>
        </w:tc>
        <w:tc>
          <w:tcPr>
            <w:tcW w:w="0" w:type="auto"/>
          </w:tcPr>
          <w:p w14:paraId="49BC7791"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eGFR (ml/min) (Tx/Ctrl)</w:t>
            </w:r>
          </w:p>
        </w:tc>
        <w:tc>
          <w:tcPr>
            <w:tcW w:w="0" w:type="auto"/>
            <w:vAlign w:val="bottom"/>
          </w:tcPr>
          <w:p w14:paraId="5E43D53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Racial Distribution</w:t>
            </w:r>
          </w:p>
        </w:tc>
      </w:tr>
      <w:tr w:rsidR="00896B0D" w:rsidRPr="007B5092" w14:paraId="29BCCFD2" w14:textId="77777777" w:rsidTr="008C24EE">
        <w:tc>
          <w:tcPr>
            <w:tcW w:w="0" w:type="auto"/>
          </w:tcPr>
          <w:p w14:paraId="0DAA5F3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AURORA 1, The Lancet, 2021</w:t>
            </w:r>
          </w:p>
        </w:tc>
        <w:tc>
          <w:tcPr>
            <w:tcW w:w="0" w:type="auto"/>
          </w:tcPr>
          <w:p w14:paraId="5C1338A9"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Age 18–75; LN ≤2 yrs; UPCR ≥1.5 (≥2 if class V); eGFR &gt;45</w:t>
            </w:r>
          </w:p>
        </w:tc>
        <w:tc>
          <w:tcPr>
            <w:tcW w:w="0" w:type="auto"/>
          </w:tcPr>
          <w:p w14:paraId="6871A560"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52</w:t>
            </w:r>
          </w:p>
        </w:tc>
        <w:tc>
          <w:tcPr>
            <w:tcW w:w="0" w:type="auto"/>
          </w:tcPr>
          <w:p w14:paraId="6AE248F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Voclosporin 23·7 mg twice daily</w:t>
            </w:r>
          </w:p>
        </w:tc>
        <w:tc>
          <w:tcPr>
            <w:tcW w:w="0" w:type="auto"/>
          </w:tcPr>
          <w:p w14:paraId="0616E81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MMF + low-dose steroids</w:t>
            </w:r>
          </w:p>
        </w:tc>
        <w:tc>
          <w:tcPr>
            <w:tcW w:w="0" w:type="auto"/>
          </w:tcPr>
          <w:p w14:paraId="37D21CE9"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 xml:space="preserve">2·5 mg per day at </w:t>
            </w:r>
            <w:r w:rsidRPr="007B5092">
              <w:rPr>
                <w:rFonts w:ascii="Times New Roman" w:hAnsi="Times New Roman" w:cs="Times New Roman"/>
                <w:sz w:val="16"/>
                <w:szCs w:val="16"/>
              </w:rPr>
              <w:br/>
              <w:t>week 16</w:t>
            </w:r>
          </w:p>
        </w:tc>
        <w:tc>
          <w:tcPr>
            <w:tcW w:w="0" w:type="auto"/>
          </w:tcPr>
          <w:p w14:paraId="12ABE1BA"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357 (179/178)</w:t>
            </w:r>
          </w:p>
        </w:tc>
        <w:tc>
          <w:tcPr>
            <w:tcW w:w="0" w:type="auto"/>
            <w:vAlign w:val="bottom"/>
          </w:tcPr>
          <w:p w14:paraId="66FF5032"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color w:val="000000"/>
                <w:sz w:val="16"/>
                <w:szCs w:val="16"/>
              </w:rPr>
              <w:t>UPCR ≤ 0.5 mg/mg, stable eGFR, no rescue therapy</w:t>
            </w:r>
          </w:p>
        </w:tc>
        <w:tc>
          <w:tcPr>
            <w:tcW w:w="0" w:type="auto"/>
          </w:tcPr>
          <w:p w14:paraId="6BB46DC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31</w:t>
            </w:r>
          </w:p>
        </w:tc>
        <w:tc>
          <w:tcPr>
            <w:tcW w:w="0" w:type="auto"/>
          </w:tcPr>
          <w:p w14:paraId="03E4161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90/85</w:t>
            </w:r>
          </w:p>
        </w:tc>
        <w:tc>
          <w:tcPr>
            <w:tcW w:w="0" w:type="auto"/>
          </w:tcPr>
          <w:p w14:paraId="602FCC50"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92.1/90.4</w:t>
            </w:r>
          </w:p>
        </w:tc>
        <w:tc>
          <w:tcPr>
            <w:tcW w:w="0" w:type="auto"/>
            <w:vAlign w:val="bottom"/>
          </w:tcPr>
          <w:p w14:paraId="24BE0B1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 14.5, W 38.0, A 29.6, O17.9</w:t>
            </w:r>
          </w:p>
        </w:tc>
      </w:tr>
      <w:tr w:rsidR="00896B0D" w:rsidRPr="007B5092" w14:paraId="403BE5E3" w14:textId="77777777" w:rsidTr="008C24EE">
        <w:trPr>
          <w:trHeight w:val="629"/>
        </w:trPr>
        <w:tc>
          <w:tcPr>
            <w:tcW w:w="0" w:type="auto"/>
          </w:tcPr>
          <w:p w14:paraId="4B7D69E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AURA LV, Kidney International, 2019</w:t>
            </w:r>
          </w:p>
        </w:tc>
        <w:tc>
          <w:tcPr>
            <w:tcW w:w="0" w:type="auto"/>
          </w:tcPr>
          <w:p w14:paraId="2555A39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Age 18–75; LN ≤6 mo; UPCR ≥1.5 (≥2 if class V); eGFR &gt;45</w:t>
            </w:r>
          </w:p>
        </w:tc>
        <w:tc>
          <w:tcPr>
            <w:tcW w:w="0" w:type="auto"/>
          </w:tcPr>
          <w:p w14:paraId="61724A79"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48</w:t>
            </w:r>
          </w:p>
        </w:tc>
        <w:tc>
          <w:tcPr>
            <w:tcW w:w="0" w:type="auto"/>
          </w:tcPr>
          <w:p w14:paraId="789FE3A3"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Voclosporin 23·7 mg twice daily*</w:t>
            </w:r>
          </w:p>
        </w:tc>
        <w:tc>
          <w:tcPr>
            <w:tcW w:w="0" w:type="auto"/>
          </w:tcPr>
          <w:p w14:paraId="28ECE2B2"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MMF + low-dose corticosteroids</w:t>
            </w:r>
          </w:p>
        </w:tc>
        <w:tc>
          <w:tcPr>
            <w:tcW w:w="0" w:type="auto"/>
          </w:tcPr>
          <w:p w14:paraId="22C1918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2·5 mg per day at</w:t>
            </w:r>
            <w:r w:rsidRPr="007B5092">
              <w:rPr>
                <w:rFonts w:ascii="Times New Roman" w:hAnsi="Times New Roman" w:cs="Times New Roman"/>
                <w:sz w:val="16"/>
                <w:szCs w:val="16"/>
              </w:rPr>
              <w:br/>
              <w:t>week 16</w:t>
            </w:r>
          </w:p>
        </w:tc>
        <w:tc>
          <w:tcPr>
            <w:tcW w:w="0" w:type="auto"/>
          </w:tcPr>
          <w:p w14:paraId="76F8606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265 (89 in low dose, 88 in high dose, 88 in placebo)</w:t>
            </w:r>
          </w:p>
        </w:tc>
        <w:tc>
          <w:tcPr>
            <w:tcW w:w="0" w:type="auto"/>
            <w:vAlign w:val="bottom"/>
          </w:tcPr>
          <w:p w14:paraId="3197150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color w:val="000000"/>
                <w:sz w:val="16"/>
                <w:szCs w:val="16"/>
              </w:rPr>
              <w:t>UPCR ≤ 0.5 ×2, eGFR &gt;60 or ≤20% drop ×2, no rescue therapy</w:t>
            </w:r>
          </w:p>
        </w:tc>
        <w:tc>
          <w:tcPr>
            <w:tcW w:w="0" w:type="auto"/>
          </w:tcPr>
          <w:p w14:paraId="0C0E7DA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31.4</w:t>
            </w:r>
          </w:p>
        </w:tc>
        <w:tc>
          <w:tcPr>
            <w:tcW w:w="0" w:type="auto"/>
          </w:tcPr>
          <w:p w14:paraId="22F6DD1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85.4/83</w:t>
            </w:r>
          </w:p>
        </w:tc>
        <w:tc>
          <w:tcPr>
            <w:tcW w:w="0" w:type="auto"/>
          </w:tcPr>
          <w:p w14:paraId="738C6D0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95.3/100.2</w:t>
            </w:r>
          </w:p>
        </w:tc>
        <w:tc>
          <w:tcPr>
            <w:tcW w:w="0" w:type="auto"/>
            <w:vAlign w:val="bottom"/>
          </w:tcPr>
          <w:p w14:paraId="6D3FB62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 3.4, W 33.7, A 58.4, O 4.5</w:t>
            </w:r>
          </w:p>
        </w:tc>
      </w:tr>
      <w:tr w:rsidR="00896B0D" w:rsidRPr="007B5092" w14:paraId="3C65667C" w14:textId="77777777" w:rsidTr="008C24EE">
        <w:tc>
          <w:tcPr>
            <w:tcW w:w="0" w:type="auto"/>
          </w:tcPr>
          <w:p w14:paraId="54EF08B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BLISS LN, NEJM, 2020</w:t>
            </w:r>
          </w:p>
        </w:tc>
        <w:tc>
          <w:tcPr>
            <w:tcW w:w="0" w:type="auto"/>
          </w:tcPr>
          <w:p w14:paraId="712E0063"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Age ≥18; LN ≤6 mo; UPCR ≥1; eGFR ≥30; no prior MMF+CYC failure</w:t>
            </w:r>
          </w:p>
        </w:tc>
        <w:tc>
          <w:tcPr>
            <w:tcW w:w="0" w:type="auto"/>
          </w:tcPr>
          <w:p w14:paraId="0CD1C0B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52 and 104</w:t>
            </w:r>
          </w:p>
        </w:tc>
        <w:tc>
          <w:tcPr>
            <w:tcW w:w="0" w:type="auto"/>
          </w:tcPr>
          <w:p w14:paraId="65DBE65A"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Belimumab IV at days 1, 15, and 29 and every 28 days</w:t>
            </w:r>
          </w:p>
        </w:tc>
        <w:tc>
          <w:tcPr>
            <w:tcW w:w="0" w:type="auto"/>
          </w:tcPr>
          <w:p w14:paraId="402106C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MMF or CYC-AZA + corticosteroids</w:t>
            </w:r>
          </w:p>
        </w:tc>
        <w:tc>
          <w:tcPr>
            <w:tcW w:w="0" w:type="auto"/>
          </w:tcPr>
          <w:p w14:paraId="4E0DD25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Based on Euro-Lupus Nephritis Trial</w:t>
            </w:r>
          </w:p>
        </w:tc>
        <w:tc>
          <w:tcPr>
            <w:tcW w:w="0" w:type="auto"/>
          </w:tcPr>
          <w:p w14:paraId="034B297A"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448 (223/223)</w:t>
            </w:r>
          </w:p>
        </w:tc>
        <w:tc>
          <w:tcPr>
            <w:tcW w:w="0" w:type="auto"/>
            <w:vAlign w:val="bottom"/>
          </w:tcPr>
          <w:p w14:paraId="7582E6F0"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UPCR &lt;0.5, eGFR ≥90 or ≤</w:t>
            </w:r>
            <w:r w:rsidRPr="007B5092">
              <w:rPr>
                <w:rFonts w:ascii="Times New Roman" w:hAnsi="Times New Roman" w:cs="Times New Roman"/>
                <w:color w:val="000000"/>
                <w:sz w:val="16"/>
                <w:szCs w:val="16"/>
              </w:rPr>
              <w:t xml:space="preserve">10% drop, no </w:t>
            </w:r>
            <w:r w:rsidRPr="007B5092">
              <w:rPr>
                <w:rFonts w:ascii="Times New Roman" w:hAnsi="Times New Roman" w:cs="Times New Roman"/>
                <w:sz w:val="16"/>
                <w:szCs w:val="16"/>
              </w:rPr>
              <w:t>rescue</w:t>
            </w:r>
          </w:p>
          <w:p w14:paraId="39E2792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therapy, inactive urine sediment</w:t>
            </w:r>
          </w:p>
        </w:tc>
        <w:tc>
          <w:tcPr>
            <w:tcW w:w="0" w:type="auto"/>
          </w:tcPr>
          <w:p w14:paraId="404FAB29"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33.7</w:t>
            </w:r>
          </w:p>
        </w:tc>
        <w:tc>
          <w:tcPr>
            <w:tcW w:w="0" w:type="auto"/>
          </w:tcPr>
          <w:p w14:paraId="4B660861"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88/88</w:t>
            </w:r>
          </w:p>
        </w:tc>
        <w:tc>
          <w:tcPr>
            <w:tcW w:w="0" w:type="auto"/>
          </w:tcPr>
          <w:p w14:paraId="245C4BD4"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100/101</w:t>
            </w:r>
          </w:p>
        </w:tc>
        <w:tc>
          <w:tcPr>
            <w:tcW w:w="0" w:type="auto"/>
            <w:vAlign w:val="bottom"/>
          </w:tcPr>
          <w:p w14:paraId="03D5CEA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 13.5, W 33, A 51, O 2</w:t>
            </w:r>
          </w:p>
        </w:tc>
      </w:tr>
      <w:tr w:rsidR="00896B0D" w:rsidRPr="007B5092" w14:paraId="71A28974" w14:textId="77777777" w:rsidTr="008C24EE">
        <w:tc>
          <w:tcPr>
            <w:tcW w:w="0" w:type="auto"/>
          </w:tcPr>
          <w:p w14:paraId="1919750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NOBILITY, Ann Rheum Dis, 2022</w:t>
            </w:r>
          </w:p>
        </w:tc>
        <w:tc>
          <w:tcPr>
            <w:tcW w:w="0" w:type="auto"/>
          </w:tcPr>
          <w:p w14:paraId="00AB0FB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Age 18–75; LN ≤6 mo; UPCR &gt;1; eGFR ≥30</w:t>
            </w:r>
          </w:p>
        </w:tc>
        <w:tc>
          <w:tcPr>
            <w:tcW w:w="0" w:type="auto"/>
          </w:tcPr>
          <w:p w14:paraId="3D86C39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52 and 104</w:t>
            </w:r>
          </w:p>
        </w:tc>
        <w:tc>
          <w:tcPr>
            <w:tcW w:w="0" w:type="auto"/>
          </w:tcPr>
          <w:p w14:paraId="760A1EB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Obinutuzumab IV 1000 mg on day 1 and weeks 2, 24 and 26</w:t>
            </w:r>
          </w:p>
        </w:tc>
        <w:tc>
          <w:tcPr>
            <w:tcW w:w="0" w:type="auto"/>
            <w:vAlign w:val="bottom"/>
          </w:tcPr>
          <w:p w14:paraId="7D4A4EBD"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MMF + corticosteroids</w:t>
            </w:r>
          </w:p>
        </w:tc>
        <w:tc>
          <w:tcPr>
            <w:tcW w:w="0" w:type="auto"/>
          </w:tcPr>
          <w:p w14:paraId="26BBA24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 xml:space="preserve">7.5 mg per </w:t>
            </w:r>
            <w:r w:rsidRPr="007B5092">
              <w:rPr>
                <w:rFonts w:ascii="Times New Roman" w:hAnsi="Times New Roman" w:cs="Times New Roman"/>
                <w:sz w:val="16"/>
                <w:szCs w:val="16"/>
              </w:rPr>
              <w:br/>
              <w:t>day by week 12</w:t>
            </w:r>
          </w:p>
        </w:tc>
        <w:tc>
          <w:tcPr>
            <w:tcW w:w="0" w:type="auto"/>
          </w:tcPr>
          <w:p w14:paraId="074D036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125 (63/62)</w:t>
            </w:r>
          </w:p>
        </w:tc>
        <w:tc>
          <w:tcPr>
            <w:tcW w:w="0" w:type="auto"/>
            <w:vAlign w:val="bottom"/>
          </w:tcPr>
          <w:p w14:paraId="3088C4E3"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UPCR &lt;0.5, SCr ≤ ULN with ≤15% increase, inactive urine sediment, no rescue therapy</w:t>
            </w:r>
          </w:p>
        </w:tc>
        <w:tc>
          <w:tcPr>
            <w:tcW w:w="0" w:type="auto"/>
          </w:tcPr>
          <w:p w14:paraId="09F607F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33.1</w:t>
            </w:r>
          </w:p>
        </w:tc>
        <w:tc>
          <w:tcPr>
            <w:tcW w:w="0" w:type="auto"/>
          </w:tcPr>
          <w:p w14:paraId="3E9C5DD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87/ 82</w:t>
            </w:r>
          </w:p>
        </w:tc>
        <w:tc>
          <w:tcPr>
            <w:tcW w:w="0" w:type="auto"/>
          </w:tcPr>
          <w:p w14:paraId="0FC96D3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102/102.1</w:t>
            </w:r>
          </w:p>
        </w:tc>
        <w:tc>
          <w:tcPr>
            <w:tcW w:w="0" w:type="auto"/>
            <w:vAlign w:val="bottom"/>
          </w:tcPr>
          <w:p w14:paraId="3D6F4B24"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 10, W 44, AI/AN: 18, O 24</w:t>
            </w:r>
          </w:p>
        </w:tc>
      </w:tr>
      <w:tr w:rsidR="00896B0D" w:rsidRPr="007B5092" w14:paraId="6494CCE3" w14:textId="77777777" w:rsidTr="008C24EE">
        <w:tc>
          <w:tcPr>
            <w:tcW w:w="0" w:type="auto"/>
          </w:tcPr>
          <w:p w14:paraId="03801E21"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REGENCY, NEJM, 2025</w:t>
            </w:r>
          </w:p>
        </w:tc>
        <w:tc>
          <w:tcPr>
            <w:tcW w:w="0" w:type="auto"/>
          </w:tcPr>
          <w:p w14:paraId="65109C8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Age 18–75; LN ≤6 mo; UPCR ≥1; ANA ≥1:80; eGFR ≥30</w:t>
            </w:r>
          </w:p>
        </w:tc>
        <w:tc>
          <w:tcPr>
            <w:tcW w:w="0" w:type="auto"/>
          </w:tcPr>
          <w:p w14:paraId="4952886A"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76</w:t>
            </w:r>
          </w:p>
        </w:tc>
        <w:tc>
          <w:tcPr>
            <w:tcW w:w="0" w:type="auto"/>
          </w:tcPr>
          <w:p w14:paraId="7E483760"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Obinutuzumab IV 1000 mg on day 1 and at weeks 2, 24, 26, and 52, with or without an additional dose at week 50</w:t>
            </w:r>
          </w:p>
        </w:tc>
        <w:tc>
          <w:tcPr>
            <w:tcW w:w="0" w:type="auto"/>
            <w:vAlign w:val="bottom"/>
          </w:tcPr>
          <w:p w14:paraId="33815B2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MMF + corticosteroids</w:t>
            </w:r>
          </w:p>
        </w:tc>
        <w:tc>
          <w:tcPr>
            <w:tcW w:w="0" w:type="auto"/>
          </w:tcPr>
          <w:p w14:paraId="0492DBF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 xml:space="preserve">7.5 mg per day by </w:t>
            </w:r>
            <w:r w:rsidRPr="007B5092">
              <w:rPr>
                <w:rFonts w:ascii="Times New Roman" w:hAnsi="Times New Roman" w:cs="Times New Roman"/>
                <w:sz w:val="16"/>
                <w:szCs w:val="16"/>
              </w:rPr>
              <w:br/>
              <w:t>week 12 and 5 mg per day by week 24</w:t>
            </w:r>
          </w:p>
        </w:tc>
        <w:tc>
          <w:tcPr>
            <w:tcW w:w="0" w:type="auto"/>
          </w:tcPr>
          <w:p w14:paraId="110E0CD8"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271 (135/136)</w:t>
            </w:r>
          </w:p>
        </w:tc>
        <w:tc>
          <w:tcPr>
            <w:tcW w:w="0" w:type="auto"/>
            <w:vAlign w:val="bottom"/>
          </w:tcPr>
          <w:p w14:paraId="630F7A15"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UPCR &lt;0.5, eGFR ≥85% of baseline, no intercurrent event</w:t>
            </w:r>
          </w:p>
        </w:tc>
        <w:tc>
          <w:tcPr>
            <w:tcW w:w="0" w:type="auto"/>
          </w:tcPr>
          <w:p w14:paraId="63CB59A2"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33</w:t>
            </w:r>
          </w:p>
        </w:tc>
        <w:tc>
          <w:tcPr>
            <w:tcW w:w="0" w:type="auto"/>
          </w:tcPr>
          <w:p w14:paraId="0B3A8C2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84.4/84.6</w:t>
            </w:r>
          </w:p>
        </w:tc>
        <w:tc>
          <w:tcPr>
            <w:tcW w:w="0" w:type="auto"/>
          </w:tcPr>
          <w:p w14:paraId="6020322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102.8/101.9</w:t>
            </w:r>
          </w:p>
        </w:tc>
        <w:tc>
          <w:tcPr>
            <w:tcW w:w="0" w:type="auto"/>
            <w:vAlign w:val="bottom"/>
          </w:tcPr>
          <w:p w14:paraId="4E31B90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 14.8, W 48.1, A 6.7, AI/AN 18.5, O 26.7</w:t>
            </w:r>
          </w:p>
        </w:tc>
      </w:tr>
      <w:tr w:rsidR="00896B0D" w:rsidRPr="007B5092" w14:paraId="71534498" w14:textId="77777777" w:rsidTr="008C24EE">
        <w:tc>
          <w:tcPr>
            <w:tcW w:w="0" w:type="auto"/>
          </w:tcPr>
          <w:p w14:paraId="3B84FDE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LUNAR, Arthritis &amp; Rheumatism, 2012</w:t>
            </w:r>
          </w:p>
        </w:tc>
        <w:tc>
          <w:tcPr>
            <w:tcW w:w="0" w:type="auto"/>
          </w:tcPr>
          <w:p w14:paraId="780D4DC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Age 16–75; LN ≤12 mo; UPCR ≥1; active sediment if biopsy &gt;3 mo; eGFR ≥25</w:t>
            </w:r>
          </w:p>
        </w:tc>
        <w:tc>
          <w:tcPr>
            <w:tcW w:w="0" w:type="auto"/>
          </w:tcPr>
          <w:p w14:paraId="316E84D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52</w:t>
            </w:r>
          </w:p>
        </w:tc>
        <w:tc>
          <w:tcPr>
            <w:tcW w:w="0" w:type="auto"/>
          </w:tcPr>
          <w:p w14:paraId="77EC18E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Rituximab IV 1,000 mg on days 1, 15, 168, and 182</w:t>
            </w:r>
          </w:p>
        </w:tc>
        <w:tc>
          <w:tcPr>
            <w:tcW w:w="0" w:type="auto"/>
          </w:tcPr>
          <w:p w14:paraId="37854BF6"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MMF + corticosteroids</w:t>
            </w:r>
          </w:p>
        </w:tc>
        <w:tc>
          <w:tcPr>
            <w:tcW w:w="0" w:type="auto"/>
          </w:tcPr>
          <w:p w14:paraId="0FBFEC9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 xml:space="preserve">10 mg/day by </w:t>
            </w:r>
            <w:r w:rsidRPr="007B5092">
              <w:rPr>
                <w:rFonts w:ascii="Times New Roman" w:hAnsi="Times New Roman" w:cs="Times New Roman"/>
                <w:sz w:val="16"/>
                <w:szCs w:val="16"/>
              </w:rPr>
              <w:br/>
              <w:t>week 16</w:t>
            </w:r>
          </w:p>
        </w:tc>
        <w:tc>
          <w:tcPr>
            <w:tcW w:w="0" w:type="auto"/>
          </w:tcPr>
          <w:p w14:paraId="50E5317B"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144 (72/72)</w:t>
            </w:r>
          </w:p>
        </w:tc>
        <w:tc>
          <w:tcPr>
            <w:tcW w:w="0" w:type="auto"/>
            <w:vAlign w:val="bottom"/>
          </w:tcPr>
          <w:p w14:paraId="03A80B7C" w14:textId="77777777" w:rsidR="00896B0D" w:rsidRPr="007B5092" w:rsidRDefault="00896B0D" w:rsidP="008C24EE">
            <w:pPr>
              <w:pStyle w:val="NoSpacing"/>
              <w:rPr>
                <w:rFonts w:ascii="Times New Roman" w:hAnsi="Times New Roman" w:cs="Times New Roman"/>
                <w:sz w:val="16"/>
                <w:szCs w:val="16"/>
              </w:rPr>
            </w:pPr>
            <w:r>
              <w:rPr>
                <w:rFonts w:ascii="Times New Roman" w:hAnsi="Times New Roman" w:cs="Times New Roman"/>
                <w:sz w:val="16"/>
                <w:szCs w:val="16"/>
              </w:rPr>
              <w:t>SCr</w:t>
            </w:r>
            <w:r w:rsidRPr="007B5092">
              <w:rPr>
                <w:rFonts w:ascii="Times New Roman" w:hAnsi="Times New Roman" w:cs="Times New Roman"/>
                <w:sz w:val="16"/>
                <w:szCs w:val="16"/>
              </w:rPr>
              <w:t xml:space="preserve"> ≤115% baseline, UPCR ≤0.5, inactive urine sediment</w:t>
            </w:r>
          </w:p>
        </w:tc>
        <w:tc>
          <w:tcPr>
            <w:tcW w:w="0" w:type="auto"/>
          </w:tcPr>
          <w:p w14:paraId="60CD58AE"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31.8</w:t>
            </w:r>
          </w:p>
        </w:tc>
        <w:tc>
          <w:tcPr>
            <w:tcW w:w="0" w:type="auto"/>
          </w:tcPr>
          <w:p w14:paraId="40CFF3BC"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87.5/93.1</w:t>
            </w:r>
          </w:p>
        </w:tc>
        <w:tc>
          <w:tcPr>
            <w:tcW w:w="0" w:type="auto"/>
          </w:tcPr>
          <w:p w14:paraId="04C65C0D"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96/87.7</w:t>
            </w:r>
          </w:p>
        </w:tc>
        <w:tc>
          <w:tcPr>
            <w:tcW w:w="0" w:type="auto"/>
            <w:vAlign w:val="bottom"/>
          </w:tcPr>
          <w:p w14:paraId="48C60FA7" w14:textId="77777777" w:rsidR="00896B0D" w:rsidRPr="007B5092" w:rsidRDefault="00896B0D" w:rsidP="008C24EE">
            <w:pPr>
              <w:pStyle w:val="NoSpacing"/>
              <w:rPr>
                <w:rFonts w:ascii="Times New Roman" w:hAnsi="Times New Roman" w:cs="Times New Roman"/>
                <w:sz w:val="16"/>
                <w:szCs w:val="16"/>
              </w:rPr>
            </w:pPr>
            <w:r w:rsidRPr="007B5092">
              <w:rPr>
                <w:rFonts w:ascii="Times New Roman" w:hAnsi="Times New Roman" w:cs="Times New Roman"/>
                <w:sz w:val="16"/>
                <w:szCs w:val="16"/>
              </w:rPr>
              <w:t>B 27.8, W 26.4; H 40.3, A/PI 5.6</w:t>
            </w:r>
          </w:p>
        </w:tc>
      </w:tr>
    </w:tbl>
    <w:p w14:paraId="227B6DA3" w14:textId="77777777" w:rsidR="00896B0D" w:rsidRPr="00422ED5" w:rsidRDefault="00896B0D" w:rsidP="00896B0D"/>
    <w:p w14:paraId="7429C7C6" w14:textId="77777777" w:rsidR="00896B0D" w:rsidRPr="00422ED5" w:rsidRDefault="00896B0D" w:rsidP="00896B0D">
      <w:pPr>
        <w:spacing w:before="100" w:beforeAutospacing="1" w:after="100" w:afterAutospacing="1" w:line="480" w:lineRule="auto"/>
      </w:pPr>
      <w:r w:rsidRPr="00422ED5">
        <w:rPr>
          <w:rStyle w:val="Strong"/>
          <w:rFonts w:eastAsiaTheme="majorEastAsia"/>
        </w:rPr>
        <w:lastRenderedPageBreak/>
        <w:t xml:space="preserve">Table </w:t>
      </w:r>
      <w:r>
        <w:rPr>
          <w:rStyle w:val="Strong"/>
          <w:rFonts w:eastAsiaTheme="majorEastAsia"/>
        </w:rPr>
        <w:t xml:space="preserve">1 </w:t>
      </w:r>
      <w:r w:rsidRPr="00422ED5">
        <w:t>summarizes key design characteristics, treatment regimens, eligibility criteria, and baseline demographics of six major randomized controlled trials in lupus nephritis: AURORA 1, AURA LV, BLISS-LN, NOBILITY, REGENCY, and LUNAR. All studies enrolled patients with biopsy-proven LN, most commonly ISN/RPS class III, IV, or V, with varying requirements for proteinuria and renal function at entry. The comparator arms in all trials consisted of background standard-of-care therapy, including MMF and corticosteroids, with or without additional immunosuppressants.</w:t>
      </w:r>
    </w:p>
    <w:p w14:paraId="01E1F4AA" w14:textId="77777777" w:rsidR="00896B0D" w:rsidRPr="0052695C" w:rsidRDefault="00896B0D" w:rsidP="00896B0D">
      <w:pPr>
        <w:spacing w:before="100" w:beforeAutospacing="1" w:after="100" w:afterAutospacing="1" w:line="480" w:lineRule="auto"/>
      </w:pPr>
      <w:r w:rsidRPr="0052695C">
        <w:t>*</w:t>
      </w:r>
      <w:r w:rsidRPr="0052695C">
        <w:rPr>
          <w:color w:val="000000"/>
          <w:shd w:val="clear" w:color="auto" w:fill="FFFFFF"/>
        </w:rPr>
        <w:t>For the AURA LV trial, only the low-dose voclosporin arm (23.7 mg BID) was analyzed in this review, as it demonstrated greater efficacy and matched the approved dosing regimen used in AURORA 1.</w:t>
      </w:r>
    </w:p>
    <w:p w14:paraId="5473C971" w14:textId="77777777" w:rsidR="00896B0D" w:rsidRDefault="00896B0D" w:rsidP="00896B0D">
      <w:pPr>
        <w:spacing w:before="100" w:beforeAutospacing="1" w:after="100" w:afterAutospacing="1" w:line="480" w:lineRule="auto"/>
        <w:sectPr w:rsidR="00896B0D" w:rsidSect="00896B0D">
          <w:pgSz w:w="15840" w:h="12240" w:orient="landscape"/>
          <w:pgMar w:top="1440" w:right="1440" w:bottom="1440" w:left="1440" w:header="720" w:footer="720" w:gutter="0"/>
          <w:cols w:space="720"/>
          <w:docGrid w:linePitch="360"/>
        </w:sectPr>
      </w:pPr>
      <w:r w:rsidRPr="00422ED5">
        <w:t xml:space="preserve">Abbreviations: CRR = complete renal response. </w:t>
      </w:r>
      <w:r>
        <w:t xml:space="preserve">SCr = Serum creatinine. </w:t>
      </w:r>
      <w:r w:rsidRPr="00422ED5">
        <w:t>MMF = mycophenolate mofetil. CYC = cyclophosphamide. AZA = azathioprine. UPCR = urine protein-to-creatinine ratio. eGFR = estimated glomerular filtration rate. IV = intravenous. ANA = antinuclear antibody. B = Black/African American; W = White; A = Asian; O = Other; AI/AN = American Indian/Alaska Native; H = Hispanic; PI = Pacific Islander. ULN = upper limit of normal. Tx = treatment; Ctrl = contr</w:t>
      </w:r>
      <w:r>
        <w:t>ol</w:t>
      </w:r>
    </w:p>
    <w:p w14:paraId="7903C9EB" w14:textId="77777777" w:rsidR="00896B0D" w:rsidRPr="00F64F88" w:rsidRDefault="00896B0D" w:rsidP="00896B0D">
      <w:pPr>
        <w:spacing w:line="480" w:lineRule="auto"/>
        <w:rPr>
          <w:b/>
          <w:bCs/>
        </w:rPr>
      </w:pPr>
      <w:r w:rsidRPr="00F64F88">
        <w:rPr>
          <w:b/>
          <w:bCs/>
        </w:rPr>
        <w:lastRenderedPageBreak/>
        <w:t xml:space="preserve">Table </w:t>
      </w:r>
      <w:r>
        <w:rPr>
          <w:b/>
          <w:bCs/>
        </w:rPr>
        <w:t>2</w:t>
      </w:r>
      <w:r w:rsidRPr="00F64F88">
        <w:rPr>
          <w:b/>
          <w:bCs/>
        </w:rPr>
        <w:t xml:space="preserve">. </w:t>
      </w:r>
      <w:r w:rsidRPr="00F64F88">
        <w:rPr>
          <w:b/>
          <w:bCs/>
          <w:color w:val="000000"/>
          <w:shd w:val="clear" w:color="auto" w:fill="FFFFFF"/>
        </w:rPr>
        <w:t>Complete Renal Response Rates at Multiple Timepoints in Major RCTS of Targeted Therapies for Lupus Nephritis.</w:t>
      </w:r>
    </w:p>
    <w:p w14:paraId="2166335C" w14:textId="77777777" w:rsidR="00896B0D" w:rsidRPr="00F64F88" w:rsidRDefault="00896B0D" w:rsidP="00896B0D">
      <w:pPr>
        <w:rPr>
          <w:b/>
          <w:bCs/>
          <w:sz w:val="20"/>
          <w:szCs w:val="20"/>
        </w:rPr>
      </w:pPr>
    </w:p>
    <w:tbl>
      <w:tblPr>
        <w:tblW w:w="9368" w:type="dxa"/>
        <w:tblCellMar>
          <w:left w:w="0" w:type="dxa"/>
          <w:right w:w="0" w:type="dxa"/>
        </w:tblCellMar>
        <w:tblLook w:val="04A0" w:firstRow="1" w:lastRow="0" w:firstColumn="1" w:lastColumn="0" w:noHBand="0" w:noVBand="1"/>
      </w:tblPr>
      <w:tblGrid>
        <w:gridCol w:w="1379"/>
        <w:gridCol w:w="1706"/>
        <w:gridCol w:w="1246"/>
        <w:gridCol w:w="1246"/>
        <w:gridCol w:w="1246"/>
        <w:gridCol w:w="1246"/>
        <w:gridCol w:w="1299"/>
      </w:tblGrid>
      <w:tr w:rsidR="00896B0D" w:rsidRPr="00F64F88" w14:paraId="4831E5C8" w14:textId="77777777" w:rsidTr="008C24EE">
        <w:trPr>
          <w:trHeight w:val="451"/>
        </w:trPr>
        <w:tc>
          <w:tcPr>
            <w:tcW w:w="0" w:type="auto"/>
            <w:tcBorders>
              <w:top w:val="single" w:sz="6" w:space="0" w:color="000000"/>
              <w:left w:val="single" w:sz="6" w:space="0" w:color="000000"/>
              <w:bottom w:val="single" w:sz="6" w:space="0" w:color="000000"/>
              <w:right w:val="single" w:sz="6" w:space="0" w:color="000000"/>
            </w:tcBorders>
            <w:shd w:val="clear" w:color="auto" w:fill="B0B3B2"/>
            <w:tcMar>
              <w:top w:w="30" w:type="dxa"/>
              <w:left w:w="45" w:type="dxa"/>
              <w:bottom w:w="30" w:type="dxa"/>
              <w:right w:w="45" w:type="dxa"/>
            </w:tcMar>
            <w:hideMark/>
          </w:tcPr>
          <w:p w14:paraId="68CD14FB" w14:textId="77777777" w:rsidR="00896B0D" w:rsidRPr="00F64F88" w:rsidRDefault="00896B0D" w:rsidP="008C24EE">
            <w:pPr>
              <w:rPr>
                <w:sz w:val="20"/>
                <w:szCs w:val="20"/>
              </w:rPr>
            </w:pPr>
            <w:r w:rsidRPr="00F64F88">
              <w:rPr>
                <w:color w:val="000000"/>
                <w:sz w:val="20"/>
                <w:szCs w:val="20"/>
              </w:rPr>
              <w:t>Trial (Year)</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1EAAC2BE" w14:textId="77777777" w:rsidR="00896B0D" w:rsidRPr="00F64F88" w:rsidRDefault="00896B0D" w:rsidP="008C24EE">
            <w:pPr>
              <w:rPr>
                <w:sz w:val="20"/>
                <w:szCs w:val="20"/>
              </w:rPr>
            </w:pPr>
            <w:r w:rsidRPr="00F64F88">
              <w:rPr>
                <w:color w:val="000000"/>
                <w:sz w:val="20"/>
                <w:szCs w:val="20"/>
              </w:rPr>
              <w:t>Intervention</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17FDB989" w14:textId="77777777" w:rsidR="00896B0D" w:rsidRPr="00F64F88" w:rsidRDefault="00896B0D" w:rsidP="008C24EE">
            <w:pPr>
              <w:rPr>
                <w:sz w:val="20"/>
                <w:szCs w:val="20"/>
              </w:rPr>
            </w:pPr>
            <w:r w:rsidRPr="00F64F88">
              <w:rPr>
                <w:color w:val="000000"/>
                <w:sz w:val="20"/>
                <w:szCs w:val="20"/>
              </w:rPr>
              <w:t>CRR at 24 weeks (%)</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7BC36D52" w14:textId="77777777" w:rsidR="00896B0D" w:rsidRPr="00F64F88" w:rsidRDefault="00896B0D" w:rsidP="008C24EE">
            <w:pPr>
              <w:rPr>
                <w:sz w:val="20"/>
                <w:szCs w:val="20"/>
              </w:rPr>
            </w:pPr>
            <w:r w:rsidRPr="00F64F88">
              <w:rPr>
                <w:color w:val="000000"/>
                <w:sz w:val="20"/>
                <w:szCs w:val="20"/>
              </w:rPr>
              <w:t>CRR at 48 weeks (%)</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1345D79B" w14:textId="77777777" w:rsidR="00896B0D" w:rsidRPr="00F64F88" w:rsidRDefault="00896B0D" w:rsidP="008C24EE">
            <w:pPr>
              <w:rPr>
                <w:sz w:val="20"/>
                <w:szCs w:val="20"/>
              </w:rPr>
            </w:pPr>
            <w:r w:rsidRPr="00F64F88">
              <w:rPr>
                <w:color w:val="000000"/>
                <w:sz w:val="20"/>
                <w:szCs w:val="20"/>
              </w:rPr>
              <w:t>CRR at 52 weeks (%)</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796D0FAD" w14:textId="77777777" w:rsidR="00896B0D" w:rsidRPr="00F64F88" w:rsidRDefault="00896B0D" w:rsidP="008C24EE">
            <w:pPr>
              <w:rPr>
                <w:sz w:val="20"/>
                <w:szCs w:val="20"/>
              </w:rPr>
            </w:pPr>
            <w:r w:rsidRPr="00F64F88">
              <w:rPr>
                <w:color w:val="000000"/>
                <w:sz w:val="20"/>
                <w:szCs w:val="20"/>
              </w:rPr>
              <w:t>CRR at 76 weeks (%)</w:t>
            </w:r>
          </w:p>
        </w:tc>
        <w:tc>
          <w:tcPr>
            <w:tcW w:w="0" w:type="auto"/>
            <w:tcBorders>
              <w:top w:val="single" w:sz="6" w:space="0" w:color="000000"/>
              <w:left w:val="single" w:sz="6" w:space="0" w:color="CCCCCC"/>
              <w:bottom w:val="single" w:sz="6" w:space="0" w:color="000000"/>
              <w:right w:val="single" w:sz="6" w:space="0" w:color="000000"/>
            </w:tcBorders>
            <w:shd w:val="clear" w:color="auto" w:fill="B0B3B2"/>
            <w:tcMar>
              <w:top w:w="30" w:type="dxa"/>
              <w:left w:w="45" w:type="dxa"/>
              <w:bottom w:w="30" w:type="dxa"/>
              <w:right w:w="45" w:type="dxa"/>
            </w:tcMar>
            <w:hideMark/>
          </w:tcPr>
          <w:p w14:paraId="67FF4CCB" w14:textId="77777777" w:rsidR="00896B0D" w:rsidRPr="00F64F88" w:rsidRDefault="00896B0D" w:rsidP="008C24EE">
            <w:pPr>
              <w:rPr>
                <w:sz w:val="20"/>
                <w:szCs w:val="20"/>
              </w:rPr>
            </w:pPr>
            <w:r w:rsidRPr="00F64F88">
              <w:rPr>
                <w:color w:val="000000"/>
                <w:sz w:val="20"/>
                <w:szCs w:val="20"/>
              </w:rPr>
              <w:t>CRR at 104 weeks (%)</w:t>
            </w:r>
          </w:p>
        </w:tc>
      </w:tr>
      <w:tr w:rsidR="00896B0D" w:rsidRPr="00F64F88" w14:paraId="57387870" w14:textId="77777777" w:rsidTr="008C24EE">
        <w:trPr>
          <w:trHeight w:val="451"/>
        </w:trPr>
        <w:tc>
          <w:tcPr>
            <w:tcW w:w="0" w:type="auto"/>
            <w:tcBorders>
              <w:top w:val="single" w:sz="6" w:space="0" w:color="CCCCCC"/>
              <w:left w:val="single" w:sz="6" w:space="0" w:color="000000"/>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3D4901EC" w14:textId="77777777" w:rsidR="00896B0D" w:rsidRPr="00F64F88" w:rsidRDefault="00896B0D" w:rsidP="008C24EE">
            <w:pPr>
              <w:rPr>
                <w:sz w:val="20"/>
                <w:szCs w:val="20"/>
              </w:rPr>
            </w:pPr>
            <w:r w:rsidRPr="00F64F88">
              <w:rPr>
                <w:color w:val="000000"/>
                <w:sz w:val="20"/>
                <w:szCs w:val="20"/>
              </w:rPr>
              <w:t>AURORA-1 (2021)</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34DB9387" w14:textId="77777777" w:rsidR="00896B0D" w:rsidRPr="00F64F88" w:rsidRDefault="00896B0D" w:rsidP="008C24EE">
            <w:pPr>
              <w:rPr>
                <w:sz w:val="20"/>
                <w:szCs w:val="20"/>
              </w:rPr>
            </w:pPr>
            <w:r w:rsidRPr="00F64F88">
              <w:rPr>
                <w:color w:val="000000"/>
                <w:sz w:val="20"/>
                <w:szCs w:val="20"/>
              </w:rPr>
              <w:t>Voclosporin</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66B75EE2"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23BFF0D3"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158697A3" w14:textId="77777777" w:rsidR="00896B0D" w:rsidRPr="00F64F88" w:rsidRDefault="00896B0D" w:rsidP="008C24EE">
            <w:pPr>
              <w:jc w:val="right"/>
              <w:rPr>
                <w:sz w:val="20"/>
                <w:szCs w:val="20"/>
              </w:rPr>
            </w:pPr>
            <w:r w:rsidRPr="00F64F88">
              <w:rPr>
                <w:color w:val="000000"/>
                <w:sz w:val="20"/>
                <w:szCs w:val="20"/>
              </w:rPr>
              <w:t>41.0</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6773F88B"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6712CC67" w14:textId="77777777" w:rsidR="00896B0D" w:rsidRPr="00F64F88" w:rsidRDefault="00896B0D" w:rsidP="008C24EE">
            <w:pPr>
              <w:rPr>
                <w:sz w:val="20"/>
                <w:szCs w:val="20"/>
              </w:rPr>
            </w:pPr>
          </w:p>
        </w:tc>
      </w:tr>
      <w:tr w:rsidR="00896B0D" w:rsidRPr="00F64F88" w14:paraId="70165661" w14:textId="77777777" w:rsidTr="008C24EE">
        <w:trPr>
          <w:trHeight w:val="451"/>
        </w:trPr>
        <w:tc>
          <w:tcPr>
            <w:tcW w:w="0" w:type="auto"/>
            <w:tcBorders>
              <w:top w:val="single" w:sz="6" w:space="0" w:color="CCCCCC"/>
              <w:left w:val="single" w:sz="6" w:space="0" w:color="000000"/>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2C71458B" w14:textId="77777777" w:rsidR="00896B0D" w:rsidRPr="00F64F88" w:rsidRDefault="00896B0D" w:rsidP="008C24EE">
            <w:pPr>
              <w:rPr>
                <w:sz w:val="20"/>
                <w:szCs w:val="20"/>
              </w:rPr>
            </w:pPr>
            <w:r w:rsidRPr="00F64F88">
              <w:rPr>
                <w:color w:val="000000"/>
                <w:sz w:val="20"/>
                <w:szCs w:val="20"/>
              </w:rPr>
              <w:t>AURA-LV (2016)</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1085ABB5" w14:textId="77777777" w:rsidR="00896B0D" w:rsidRPr="00F64F88" w:rsidRDefault="00896B0D" w:rsidP="008C24EE">
            <w:pPr>
              <w:rPr>
                <w:sz w:val="20"/>
                <w:szCs w:val="20"/>
              </w:rPr>
            </w:pPr>
            <w:r w:rsidRPr="00F64F88">
              <w:rPr>
                <w:color w:val="000000"/>
                <w:sz w:val="20"/>
                <w:szCs w:val="20"/>
              </w:rPr>
              <w:t>Voclosporin (Low Dose)</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7318F9CB" w14:textId="77777777" w:rsidR="00896B0D" w:rsidRPr="00F64F88" w:rsidRDefault="00896B0D" w:rsidP="008C24EE">
            <w:pPr>
              <w:jc w:val="right"/>
              <w:rPr>
                <w:sz w:val="20"/>
                <w:szCs w:val="20"/>
              </w:rPr>
            </w:pPr>
            <w:r w:rsidRPr="00F64F88">
              <w:rPr>
                <w:color w:val="000000"/>
                <w:sz w:val="20"/>
                <w:szCs w:val="20"/>
              </w:rPr>
              <w:t>24.0</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2033E60C" w14:textId="77777777" w:rsidR="00896B0D" w:rsidRPr="00F64F88" w:rsidRDefault="00896B0D" w:rsidP="008C24EE">
            <w:pPr>
              <w:jc w:val="right"/>
              <w:rPr>
                <w:sz w:val="20"/>
                <w:szCs w:val="20"/>
              </w:rPr>
            </w:pPr>
            <w:r w:rsidRPr="00F64F88">
              <w:rPr>
                <w:color w:val="000000"/>
                <w:sz w:val="20"/>
                <w:szCs w:val="20"/>
              </w:rPr>
              <w:t>32.6</w:t>
            </w: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020D133C"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4AA7931A"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B3E5A1" w:themeFill="accent6" w:themeFillTint="66"/>
            <w:tcMar>
              <w:top w:w="30" w:type="dxa"/>
              <w:left w:w="45" w:type="dxa"/>
              <w:bottom w:w="30" w:type="dxa"/>
              <w:right w:w="45" w:type="dxa"/>
            </w:tcMar>
            <w:hideMark/>
          </w:tcPr>
          <w:p w14:paraId="19C33008" w14:textId="77777777" w:rsidR="00896B0D" w:rsidRPr="00F64F88" w:rsidRDefault="00896B0D" w:rsidP="008C24EE">
            <w:pPr>
              <w:rPr>
                <w:sz w:val="20"/>
                <w:szCs w:val="20"/>
              </w:rPr>
            </w:pPr>
          </w:p>
        </w:tc>
      </w:tr>
      <w:tr w:rsidR="00896B0D" w:rsidRPr="00F64F88" w14:paraId="2135485E" w14:textId="77777777" w:rsidTr="008C24EE">
        <w:trPr>
          <w:trHeight w:val="451"/>
        </w:trPr>
        <w:tc>
          <w:tcPr>
            <w:tcW w:w="0" w:type="auto"/>
            <w:tcBorders>
              <w:top w:val="single" w:sz="6" w:space="0" w:color="CCCCCC"/>
              <w:left w:val="single" w:sz="6" w:space="0" w:color="000000"/>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23FCBF47" w14:textId="77777777" w:rsidR="00896B0D" w:rsidRPr="00F64F88" w:rsidRDefault="00896B0D" w:rsidP="008C24EE">
            <w:pPr>
              <w:rPr>
                <w:sz w:val="20"/>
                <w:szCs w:val="20"/>
              </w:rPr>
            </w:pPr>
            <w:r w:rsidRPr="00F64F88">
              <w:rPr>
                <w:color w:val="000000"/>
                <w:sz w:val="20"/>
                <w:szCs w:val="20"/>
              </w:rPr>
              <w:t>BLISS-LN (2020)</w:t>
            </w:r>
          </w:p>
        </w:tc>
        <w:tc>
          <w:tcPr>
            <w:tcW w:w="0" w:type="auto"/>
            <w:tcBorders>
              <w:top w:val="single" w:sz="6" w:space="0" w:color="CCCCCC"/>
              <w:left w:val="single" w:sz="6" w:space="0" w:color="CCCCCC"/>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3242B9F8" w14:textId="77777777" w:rsidR="00896B0D" w:rsidRPr="00F64F88" w:rsidRDefault="00896B0D" w:rsidP="008C24EE">
            <w:pPr>
              <w:rPr>
                <w:sz w:val="20"/>
                <w:szCs w:val="20"/>
              </w:rPr>
            </w:pPr>
            <w:r w:rsidRPr="00F64F88">
              <w:rPr>
                <w:color w:val="000000"/>
                <w:sz w:val="20"/>
                <w:szCs w:val="20"/>
              </w:rPr>
              <w:t>Belimumab</w:t>
            </w:r>
          </w:p>
        </w:tc>
        <w:tc>
          <w:tcPr>
            <w:tcW w:w="0" w:type="auto"/>
            <w:tcBorders>
              <w:top w:val="single" w:sz="6" w:space="0" w:color="CCCCCC"/>
              <w:left w:val="single" w:sz="6" w:space="0" w:color="CCCCCC"/>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44E53B41"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291F167D"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28AE8623" w14:textId="77777777" w:rsidR="00896B0D" w:rsidRPr="00F64F88" w:rsidRDefault="00896B0D" w:rsidP="008C24EE">
            <w:pPr>
              <w:jc w:val="right"/>
              <w:rPr>
                <w:sz w:val="20"/>
                <w:szCs w:val="20"/>
              </w:rPr>
            </w:pPr>
            <w:r w:rsidRPr="00F64F88">
              <w:rPr>
                <w:color w:val="000000"/>
                <w:sz w:val="20"/>
                <w:szCs w:val="20"/>
              </w:rPr>
              <w:t>30.0</w:t>
            </w:r>
          </w:p>
        </w:tc>
        <w:tc>
          <w:tcPr>
            <w:tcW w:w="0" w:type="auto"/>
            <w:tcBorders>
              <w:top w:val="single" w:sz="6" w:space="0" w:color="CCCCCC"/>
              <w:left w:val="single" w:sz="6" w:space="0" w:color="CCCCCC"/>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4A5CC68E"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F6C5AC" w:themeFill="accent2" w:themeFillTint="66"/>
            <w:tcMar>
              <w:top w:w="30" w:type="dxa"/>
              <w:left w:w="45" w:type="dxa"/>
              <w:bottom w:w="30" w:type="dxa"/>
              <w:right w:w="45" w:type="dxa"/>
            </w:tcMar>
            <w:hideMark/>
          </w:tcPr>
          <w:p w14:paraId="643A0742" w14:textId="77777777" w:rsidR="00896B0D" w:rsidRPr="00F64F88" w:rsidRDefault="00896B0D" w:rsidP="008C24EE">
            <w:pPr>
              <w:jc w:val="right"/>
              <w:rPr>
                <w:sz w:val="20"/>
                <w:szCs w:val="20"/>
              </w:rPr>
            </w:pPr>
            <w:r w:rsidRPr="00F64F88">
              <w:rPr>
                <w:color w:val="000000"/>
                <w:sz w:val="20"/>
                <w:szCs w:val="20"/>
              </w:rPr>
              <w:t>43.0</w:t>
            </w:r>
          </w:p>
        </w:tc>
      </w:tr>
      <w:tr w:rsidR="00896B0D" w:rsidRPr="00F64F88" w14:paraId="53798514" w14:textId="77777777" w:rsidTr="008C24EE">
        <w:trPr>
          <w:trHeight w:val="451"/>
        </w:trPr>
        <w:tc>
          <w:tcPr>
            <w:tcW w:w="0" w:type="auto"/>
            <w:tcBorders>
              <w:top w:val="single" w:sz="6" w:space="0" w:color="CCCCCC"/>
              <w:left w:val="single" w:sz="6" w:space="0" w:color="000000"/>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14260C60" w14:textId="77777777" w:rsidR="00896B0D" w:rsidRPr="00F64F88" w:rsidRDefault="00896B0D" w:rsidP="008C24EE">
            <w:pPr>
              <w:rPr>
                <w:sz w:val="20"/>
                <w:szCs w:val="20"/>
              </w:rPr>
            </w:pPr>
            <w:r w:rsidRPr="00F64F88">
              <w:rPr>
                <w:color w:val="000000"/>
                <w:sz w:val="20"/>
                <w:szCs w:val="20"/>
              </w:rPr>
              <w:t>NOBILITY (2022)</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12B58AA1" w14:textId="77777777" w:rsidR="00896B0D" w:rsidRPr="00F64F88" w:rsidRDefault="00896B0D" w:rsidP="008C24EE">
            <w:pPr>
              <w:rPr>
                <w:sz w:val="20"/>
                <w:szCs w:val="20"/>
              </w:rPr>
            </w:pPr>
            <w:r w:rsidRPr="00F64F88">
              <w:rPr>
                <w:color w:val="000000"/>
                <w:sz w:val="20"/>
                <w:szCs w:val="20"/>
              </w:rPr>
              <w:t>Obinutuzumab</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59940E77" w14:textId="77777777" w:rsidR="00896B0D" w:rsidRPr="00F64F88" w:rsidRDefault="00896B0D" w:rsidP="008C24EE">
            <w:pPr>
              <w:jc w:val="right"/>
              <w:rPr>
                <w:sz w:val="20"/>
                <w:szCs w:val="20"/>
              </w:rPr>
            </w:pPr>
            <w:r w:rsidRPr="00F64F88">
              <w:rPr>
                <w:color w:val="000000"/>
                <w:sz w:val="20"/>
                <w:szCs w:val="20"/>
              </w:rPr>
              <w:t>35.0</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1FFBCC1D"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19D2490F" w14:textId="77777777" w:rsidR="00896B0D" w:rsidRPr="00F64F88" w:rsidRDefault="00896B0D" w:rsidP="008C24EE">
            <w:pPr>
              <w:jc w:val="right"/>
              <w:rPr>
                <w:sz w:val="20"/>
                <w:szCs w:val="20"/>
              </w:rPr>
            </w:pPr>
            <w:r w:rsidRPr="00F64F88">
              <w:rPr>
                <w:color w:val="000000"/>
                <w:sz w:val="20"/>
                <w:szCs w:val="20"/>
              </w:rPr>
              <w:t>35.0</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334973BB"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23E99804" w14:textId="77777777" w:rsidR="00896B0D" w:rsidRPr="00F64F88" w:rsidRDefault="00896B0D" w:rsidP="008C24EE">
            <w:pPr>
              <w:jc w:val="right"/>
              <w:rPr>
                <w:sz w:val="20"/>
                <w:szCs w:val="20"/>
              </w:rPr>
            </w:pPr>
            <w:r w:rsidRPr="00F64F88">
              <w:rPr>
                <w:color w:val="000000"/>
                <w:sz w:val="20"/>
                <w:szCs w:val="20"/>
              </w:rPr>
              <w:t>41.0</w:t>
            </w:r>
          </w:p>
        </w:tc>
      </w:tr>
      <w:tr w:rsidR="00896B0D" w:rsidRPr="00F64F88" w14:paraId="777E3C9A" w14:textId="77777777" w:rsidTr="008C24EE">
        <w:trPr>
          <w:trHeight w:val="451"/>
        </w:trPr>
        <w:tc>
          <w:tcPr>
            <w:tcW w:w="0" w:type="auto"/>
            <w:tcBorders>
              <w:top w:val="single" w:sz="6" w:space="0" w:color="CCCCCC"/>
              <w:left w:val="single" w:sz="6" w:space="0" w:color="000000"/>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77F32FDF" w14:textId="77777777" w:rsidR="00896B0D" w:rsidRPr="00F64F88" w:rsidRDefault="00896B0D" w:rsidP="008C24EE">
            <w:pPr>
              <w:rPr>
                <w:sz w:val="20"/>
                <w:szCs w:val="20"/>
              </w:rPr>
            </w:pPr>
            <w:r w:rsidRPr="00F64F88">
              <w:rPr>
                <w:color w:val="000000"/>
                <w:sz w:val="20"/>
                <w:szCs w:val="20"/>
              </w:rPr>
              <w:t>REGENCY (2024)</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47807586" w14:textId="77777777" w:rsidR="00896B0D" w:rsidRPr="00F64F88" w:rsidRDefault="00896B0D" w:rsidP="008C24EE">
            <w:pPr>
              <w:rPr>
                <w:sz w:val="20"/>
                <w:szCs w:val="20"/>
              </w:rPr>
            </w:pPr>
            <w:r w:rsidRPr="00F64F88">
              <w:rPr>
                <w:color w:val="000000"/>
                <w:sz w:val="20"/>
                <w:szCs w:val="20"/>
              </w:rPr>
              <w:t>Obinutuzumab</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262964BB" w14:textId="77777777" w:rsidR="00896B0D" w:rsidRPr="00F64F88" w:rsidRDefault="00896B0D" w:rsidP="008C24EE">
            <w:pPr>
              <w:jc w:val="right"/>
              <w:rPr>
                <w:sz w:val="20"/>
                <w:szCs w:val="20"/>
              </w:rPr>
            </w:pPr>
            <w:r w:rsidRPr="00F64F88">
              <w:rPr>
                <w:color w:val="000000"/>
                <w:sz w:val="20"/>
                <w:szCs w:val="20"/>
              </w:rPr>
              <w:t>46.4</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1D0A259D"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2951BD0C"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3FCE3400" w14:textId="77777777" w:rsidR="00896B0D" w:rsidRPr="00F64F88" w:rsidRDefault="00896B0D" w:rsidP="008C24EE">
            <w:pPr>
              <w:jc w:val="right"/>
              <w:rPr>
                <w:sz w:val="20"/>
                <w:szCs w:val="20"/>
              </w:rPr>
            </w:pPr>
            <w:r w:rsidRPr="00F64F88">
              <w:rPr>
                <w:color w:val="000000"/>
                <w:sz w:val="20"/>
                <w:szCs w:val="20"/>
              </w:rPr>
              <w:t>46.4</w:t>
            </w:r>
          </w:p>
        </w:tc>
        <w:tc>
          <w:tcPr>
            <w:tcW w:w="0" w:type="auto"/>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30" w:type="dxa"/>
              <w:left w:w="45" w:type="dxa"/>
              <w:bottom w:w="30" w:type="dxa"/>
              <w:right w:w="45" w:type="dxa"/>
            </w:tcMar>
            <w:hideMark/>
          </w:tcPr>
          <w:p w14:paraId="64ADB824" w14:textId="77777777" w:rsidR="00896B0D" w:rsidRPr="00F64F88" w:rsidRDefault="00896B0D" w:rsidP="008C24EE">
            <w:pPr>
              <w:jc w:val="right"/>
              <w:rPr>
                <w:sz w:val="20"/>
                <w:szCs w:val="20"/>
              </w:rPr>
            </w:pPr>
          </w:p>
        </w:tc>
      </w:tr>
      <w:tr w:rsidR="00896B0D" w:rsidRPr="00F64F88" w14:paraId="3DFCBAAE" w14:textId="77777777" w:rsidTr="008C24EE">
        <w:trPr>
          <w:trHeight w:val="451"/>
        </w:trPr>
        <w:tc>
          <w:tcPr>
            <w:tcW w:w="0" w:type="auto"/>
            <w:tcBorders>
              <w:top w:val="single" w:sz="6" w:space="0" w:color="CCCCCC"/>
              <w:left w:val="single" w:sz="6" w:space="0" w:color="000000"/>
              <w:bottom w:val="single" w:sz="6" w:space="0" w:color="000000"/>
              <w:right w:val="single" w:sz="6" w:space="0" w:color="000000"/>
            </w:tcBorders>
            <w:shd w:val="clear" w:color="auto" w:fill="FFC9EB"/>
            <w:tcMar>
              <w:top w:w="30" w:type="dxa"/>
              <w:left w:w="45" w:type="dxa"/>
              <w:bottom w:w="30" w:type="dxa"/>
              <w:right w:w="45" w:type="dxa"/>
            </w:tcMar>
            <w:hideMark/>
          </w:tcPr>
          <w:p w14:paraId="40E7E5FE" w14:textId="77777777" w:rsidR="00896B0D" w:rsidRPr="00F64F88" w:rsidRDefault="00896B0D" w:rsidP="008C24EE">
            <w:pPr>
              <w:rPr>
                <w:sz w:val="20"/>
                <w:szCs w:val="20"/>
              </w:rPr>
            </w:pPr>
            <w:r w:rsidRPr="00F64F88">
              <w:rPr>
                <w:color w:val="000000"/>
                <w:sz w:val="20"/>
                <w:szCs w:val="20"/>
              </w:rPr>
              <w:t>LUNAR (2012)</w:t>
            </w:r>
          </w:p>
        </w:tc>
        <w:tc>
          <w:tcPr>
            <w:tcW w:w="0" w:type="auto"/>
            <w:tcBorders>
              <w:top w:val="single" w:sz="6" w:space="0" w:color="CCCCCC"/>
              <w:left w:val="single" w:sz="6" w:space="0" w:color="CCCCCC"/>
              <w:bottom w:val="single" w:sz="6" w:space="0" w:color="000000"/>
              <w:right w:val="single" w:sz="6" w:space="0" w:color="000000"/>
            </w:tcBorders>
            <w:shd w:val="clear" w:color="auto" w:fill="FFC9EB"/>
            <w:tcMar>
              <w:top w:w="30" w:type="dxa"/>
              <w:left w:w="45" w:type="dxa"/>
              <w:bottom w:w="30" w:type="dxa"/>
              <w:right w:w="45" w:type="dxa"/>
            </w:tcMar>
            <w:hideMark/>
          </w:tcPr>
          <w:p w14:paraId="1B6F1977" w14:textId="77777777" w:rsidR="00896B0D" w:rsidRPr="00F64F88" w:rsidRDefault="00896B0D" w:rsidP="008C24EE">
            <w:pPr>
              <w:rPr>
                <w:sz w:val="20"/>
                <w:szCs w:val="20"/>
              </w:rPr>
            </w:pPr>
            <w:r w:rsidRPr="00F64F88">
              <w:rPr>
                <w:color w:val="000000"/>
                <w:sz w:val="20"/>
                <w:szCs w:val="20"/>
              </w:rPr>
              <w:t>Rituximab</w:t>
            </w:r>
          </w:p>
        </w:tc>
        <w:tc>
          <w:tcPr>
            <w:tcW w:w="0" w:type="auto"/>
            <w:tcBorders>
              <w:top w:val="single" w:sz="6" w:space="0" w:color="CCCCCC"/>
              <w:left w:val="single" w:sz="6" w:space="0" w:color="CCCCCC"/>
              <w:bottom w:val="single" w:sz="6" w:space="0" w:color="000000"/>
              <w:right w:val="single" w:sz="6" w:space="0" w:color="000000"/>
            </w:tcBorders>
            <w:shd w:val="clear" w:color="auto" w:fill="FFC9EB"/>
            <w:tcMar>
              <w:top w:w="30" w:type="dxa"/>
              <w:left w:w="45" w:type="dxa"/>
              <w:bottom w:w="30" w:type="dxa"/>
              <w:right w:w="45" w:type="dxa"/>
            </w:tcMar>
            <w:hideMark/>
          </w:tcPr>
          <w:p w14:paraId="1030BC0E"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FFC9EB"/>
            <w:tcMar>
              <w:top w:w="30" w:type="dxa"/>
              <w:left w:w="45" w:type="dxa"/>
              <w:bottom w:w="30" w:type="dxa"/>
              <w:right w:w="45" w:type="dxa"/>
            </w:tcMar>
            <w:hideMark/>
          </w:tcPr>
          <w:p w14:paraId="38AB260D" w14:textId="77777777" w:rsidR="00896B0D" w:rsidRPr="00F64F88" w:rsidRDefault="00896B0D" w:rsidP="008C24EE">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FFC9EB"/>
            <w:tcMar>
              <w:top w:w="30" w:type="dxa"/>
              <w:left w:w="45" w:type="dxa"/>
              <w:bottom w:w="30" w:type="dxa"/>
              <w:right w:w="45" w:type="dxa"/>
            </w:tcMar>
            <w:hideMark/>
          </w:tcPr>
          <w:p w14:paraId="18DF86B5" w14:textId="77777777" w:rsidR="00896B0D" w:rsidRPr="00F64F88" w:rsidRDefault="00896B0D" w:rsidP="008C24EE">
            <w:pPr>
              <w:jc w:val="right"/>
              <w:rPr>
                <w:sz w:val="20"/>
                <w:szCs w:val="20"/>
              </w:rPr>
            </w:pPr>
            <w:r w:rsidRPr="00F64F88">
              <w:rPr>
                <w:color w:val="000000"/>
                <w:sz w:val="20"/>
                <w:szCs w:val="20"/>
              </w:rPr>
              <w:t>26.0</w:t>
            </w:r>
          </w:p>
        </w:tc>
        <w:tc>
          <w:tcPr>
            <w:tcW w:w="0" w:type="auto"/>
            <w:tcBorders>
              <w:top w:val="single" w:sz="6" w:space="0" w:color="CCCCCC"/>
              <w:left w:val="single" w:sz="6" w:space="0" w:color="CCCCCC"/>
              <w:bottom w:val="single" w:sz="6" w:space="0" w:color="000000"/>
              <w:right w:val="single" w:sz="6" w:space="0" w:color="000000"/>
            </w:tcBorders>
            <w:shd w:val="clear" w:color="auto" w:fill="FFC9EB"/>
            <w:tcMar>
              <w:top w:w="30" w:type="dxa"/>
              <w:left w:w="45" w:type="dxa"/>
              <w:bottom w:w="30" w:type="dxa"/>
              <w:right w:w="45" w:type="dxa"/>
            </w:tcMar>
            <w:hideMark/>
          </w:tcPr>
          <w:p w14:paraId="523F9A41" w14:textId="77777777" w:rsidR="00896B0D" w:rsidRPr="00F64F88" w:rsidRDefault="00896B0D" w:rsidP="008C24EE">
            <w:pPr>
              <w:jc w:val="right"/>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FFC9EB"/>
            <w:tcMar>
              <w:top w:w="30" w:type="dxa"/>
              <w:left w:w="45" w:type="dxa"/>
              <w:bottom w:w="30" w:type="dxa"/>
              <w:right w:w="45" w:type="dxa"/>
            </w:tcMar>
            <w:hideMark/>
          </w:tcPr>
          <w:p w14:paraId="6D0D9AE8" w14:textId="77777777" w:rsidR="00896B0D" w:rsidRPr="00F64F88" w:rsidRDefault="00896B0D" w:rsidP="008C24EE">
            <w:pPr>
              <w:rPr>
                <w:sz w:val="20"/>
                <w:szCs w:val="20"/>
              </w:rPr>
            </w:pPr>
          </w:p>
        </w:tc>
      </w:tr>
    </w:tbl>
    <w:p w14:paraId="23927D8E" w14:textId="77777777" w:rsidR="00896B0D" w:rsidRDefault="00896B0D" w:rsidP="00896B0D">
      <w:pPr>
        <w:rPr>
          <w:b/>
          <w:bCs/>
        </w:rPr>
      </w:pPr>
    </w:p>
    <w:p w14:paraId="45E769FB" w14:textId="77777777" w:rsidR="00896B0D" w:rsidRDefault="00896B0D" w:rsidP="00896B0D">
      <w:pPr>
        <w:spacing w:line="480" w:lineRule="auto"/>
        <w:rPr>
          <w:b/>
          <w:bCs/>
        </w:rPr>
      </w:pPr>
    </w:p>
    <w:p w14:paraId="59D9A144" w14:textId="77777777" w:rsidR="00896B0D" w:rsidRPr="00F64F88" w:rsidRDefault="00896B0D" w:rsidP="00896B0D">
      <w:pPr>
        <w:spacing w:line="480" w:lineRule="auto"/>
        <w:rPr>
          <w:b/>
          <w:bCs/>
        </w:rPr>
      </w:pPr>
      <w:r w:rsidRPr="00F024AC">
        <w:rPr>
          <w:b/>
          <w:bCs/>
          <w:color w:val="000000"/>
          <w:shd w:val="clear" w:color="auto" w:fill="FFFFFF"/>
        </w:rPr>
        <w:t xml:space="preserve">Table </w:t>
      </w:r>
      <w:r>
        <w:rPr>
          <w:b/>
          <w:bCs/>
          <w:color w:val="000000"/>
          <w:shd w:val="clear" w:color="auto" w:fill="FFFFFF"/>
        </w:rPr>
        <w:t>2</w:t>
      </w:r>
      <w:r>
        <w:rPr>
          <w:color w:val="000000"/>
          <w:shd w:val="clear" w:color="auto" w:fill="FFFFFF"/>
        </w:rPr>
        <w:t xml:space="preserve"> </w:t>
      </w:r>
      <w:r w:rsidRPr="00F64F88">
        <w:rPr>
          <w:color w:val="000000"/>
          <w:shd w:val="clear" w:color="auto" w:fill="FFFFFF"/>
        </w:rPr>
        <w:t xml:space="preserve">presents CRR percentages reported at standardized timepoints (24, 48, 52, 76, and 104 weeks) from six major </w:t>
      </w:r>
      <w:r>
        <w:rPr>
          <w:color w:val="000000"/>
          <w:shd w:val="clear" w:color="auto" w:fill="FFFFFF"/>
        </w:rPr>
        <w:t>RCTs</w:t>
      </w:r>
      <w:r w:rsidRPr="00F64F88">
        <w:rPr>
          <w:color w:val="000000"/>
          <w:shd w:val="clear" w:color="auto" w:fill="FFFFFF"/>
        </w:rPr>
        <w:t xml:space="preserve"> of biologic or targeted therapies in lupus nephritis. For the AURA-LV trial, only the low-dose voclosporin arm (23.7 mg BID) is included, consistent with its superior efficacy and use in the manuscript’s primary analysis. Dashes indicate that CRR was not reported at that timepoint. The table highlights heterogeneity in follow-up durations and response trajectories among therapies, with some agents (e.g., belimumab, obinutuzumab) demonstrating increased CRR over time.</w:t>
      </w:r>
    </w:p>
    <w:p w14:paraId="0D0C9ACD" w14:textId="77777777" w:rsidR="00896B0D" w:rsidRDefault="00896B0D" w:rsidP="00896B0D">
      <w:pPr>
        <w:spacing w:line="480" w:lineRule="auto"/>
        <w:rPr>
          <w:b/>
          <w:bCs/>
        </w:rPr>
      </w:pPr>
    </w:p>
    <w:p w14:paraId="379B6FEF" w14:textId="77777777" w:rsidR="00896B0D" w:rsidRDefault="00896B0D" w:rsidP="00896B0D">
      <w:pPr>
        <w:rPr>
          <w:b/>
          <w:bCs/>
        </w:rPr>
      </w:pPr>
    </w:p>
    <w:p w14:paraId="6121E5E9" w14:textId="77777777" w:rsidR="00896B0D" w:rsidRDefault="00896B0D" w:rsidP="00896B0D">
      <w:pPr>
        <w:rPr>
          <w:b/>
          <w:bCs/>
        </w:rPr>
      </w:pPr>
    </w:p>
    <w:p w14:paraId="6C7DFD6C" w14:textId="77777777" w:rsidR="00896B0D" w:rsidRDefault="00896B0D" w:rsidP="00896B0D">
      <w:pPr>
        <w:rPr>
          <w:b/>
          <w:bCs/>
        </w:rPr>
      </w:pPr>
    </w:p>
    <w:p w14:paraId="38701A03" w14:textId="77777777" w:rsidR="00896B0D" w:rsidRDefault="00896B0D" w:rsidP="00896B0D">
      <w:pPr>
        <w:rPr>
          <w:b/>
          <w:bCs/>
        </w:rPr>
      </w:pPr>
    </w:p>
    <w:p w14:paraId="3FA2AFA5" w14:textId="77777777" w:rsidR="00896B0D" w:rsidRDefault="00896B0D" w:rsidP="00896B0D">
      <w:pPr>
        <w:rPr>
          <w:b/>
          <w:bCs/>
        </w:rPr>
      </w:pPr>
    </w:p>
    <w:p w14:paraId="5F391C84" w14:textId="77777777" w:rsidR="00896B0D" w:rsidRDefault="00896B0D" w:rsidP="00896B0D">
      <w:pPr>
        <w:rPr>
          <w:b/>
          <w:bCs/>
        </w:rPr>
      </w:pPr>
    </w:p>
    <w:p w14:paraId="2D07CA0C" w14:textId="77777777" w:rsidR="00896B0D" w:rsidRDefault="00896B0D" w:rsidP="00896B0D">
      <w:pPr>
        <w:rPr>
          <w:b/>
          <w:bCs/>
        </w:rPr>
      </w:pPr>
    </w:p>
    <w:p w14:paraId="1EDEFCE3" w14:textId="77777777" w:rsidR="00896B0D" w:rsidRDefault="00896B0D" w:rsidP="00896B0D">
      <w:pPr>
        <w:rPr>
          <w:b/>
          <w:bCs/>
        </w:rPr>
      </w:pPr>
    </w:p>
    <w:p w14:paraId="6B9851BA" w14:textId="77777777" w:rsidR="00896B0D" w:rsidRPr="00422ED5" w:rsidRDefault="00896B0D" w:rsidP="00896B0D">
      <w:pPr>
        <w:spacing w:line="480" w:lineRule="auto"/>
        <w:rPr>
          <w:b/>
          <w:bCs/>
          <w:color w:val="000000"/>
        </w:rPr>
      </w:pPr>
      <w:r w:rsidRPr="00422ED5">
        <w:rPr>
          <w:b/>
          <w:bCs/>
        </w:rPr>
        <w:lastRenderedPageBreak/>
        <w:t xml:space="preserve">Table </w:t>
      </w:r>
      <w:r>
        <w:rPr>
          <w:b/>
          <w:bCs/>
        </w:rPr>
        <w:t>3</w:t>
      </w:r>
      <w:r w:rsidRPr="00422ED5">
        <w:rPr>
          <w:b/>
          <w:bCs/>
        </w:rPr>
        <w:t xml:space="preserve">. </w:t>
      </w:r>
      <w:r w:rsidRPr="00422ED5">
        <w:rPr>
          <w:b/>
          <w:bCs/>
          <w:color w:val="000000"/>
          <w:shd w:val="clear" w:color="auto" w:fill="FFFFFF"/>
        </w:rPr>
        <w:t xml:space="preserve">Comparison of Recent Clinical Guidelines on the Use of Targeted Therapies in Proliferative Lupus Nephritis Class III/IV </w:t>
      </w:r>
      <w:r w:rsidRPr="00422ED5">
        <w:rPr>
          <w:b/>
          <w:bCs/>
          <w:color w:val="000000"/>
        </w:rPr>
        <w:t>(± V)</w:t>
      </w:r>
    </w:p>
    <w:p w14:paraId="4D842E6D" w14:textId="77777777" w:rsidR="00896B0D" w:rsidRPr="00422ED5" w:rsidRDefault="00896B0D" w:rsidP="00896B0D">
      <w:pPr>
        <w:rPr>
          <w:b/>
          <w:bCs/>
          <w:sz w:val="20"/>
          <w:szCs w:val="20"/>
        </w:rPr>
      </w:pPr>
    </w:p>
    <w:tbl>
      <w:tblPr>
        <w:tblStyle w:val="TableGrid"/>
        <w:tblW w:w="0" w:type="auto"/>
        <w:tblLook w:val="04A0" w:firstRow="1" w:lastRow="0" w:firstColumn="1" w:lastColumn="0" w:noHBand="0" w:noVBand="1"/>
      </w:tblPr>
      <w:tblGrid>
        <w:gridCol w:w="1705"/>
        <w:gridCol w:w="2520"/>
        <w:gridCol w:w="2610"/>
        <w:gridCol w:w="2515"/>
      </w:tblGrid>
      <w:tr w:rsidR="00896B0D" w:rsidRPr="00BE0622" w14:paraId="414645F0" w14:textId="77777777" w:rsidTr="008C24EE">
        <w:trPr>
          <w:trHeight w:val="350"/>
        </w:trPr>
        <w:tc>
          <w:tcPr>
            <w:tcW w:w="1705" w:type="dxa"/>
            <w:shd w:val="clear" w:color="auto" w:fill="D9D9D9" w:themeFill="background1" w:themeFillShade="D9"/>
          </w:tcPr>
          <w:p w14:paraId="62F5EE20" w14:textId="77777777" w:rsidR="00896B0D" w:rsidRPr="00BE0622" w:rsidRDefault="00896B0D" w:rsidP="008C24EE">
            <w:pPr>
              <w:rPr>
                <w:sz w:val="20"/>
                <w:szCs w:val="20"/>
              </w:rPr>
            </w:pPr>
            <w:r w:rsidRPr="00BE0622">
              <w:rPr>
                <w:b/>
                <w:bCs/>
                <w:color w:val="000000"/>
                <w:sz w:val="20"/>
                <w:szCs w:val="20"/>
              </w:rPr>
              <w:t>Treatment Domain</w:t>
            </w:r>
          </w:p>
        </w:tc>
        <w:tc>
          <w:tcPr>
            <w:tcW w:w="2520" w:type="dxa"/>
            <w:tcBorders>
              <w:bottom w:val="single" w:sz="4" w:space="0" w:color="auto"/>
            </w:tcBorders>
            <w:shd w:val="clear" w:color="auto" w:fill="BF4E14" w:themeFill="accent2" w:themeFillShade="BF"/>
          </w:tcPr>
          <w:p w14:paraId="0FBD3C5C" w14:textId="77777777" w:rsidR="00896B0D" w:rsidRPr="00BE0622" w:rsidRDefault="00896B0D" w:rsidP="008C24EE">
            <w:pPr>
              <w:rPr>
                <w:sz w:val="20"/>
                <w:szCs w:val="20"/>
              </w:rPr>
            </w:pPr>
            <w:r w:rsidRPr="00BE0622">
              <w:rPr>
                <w:b/>
                <w:bCs/>
                <w:color w:val="FFFFFF" w:themeColor="background1"/>
                <w:sz w:val="20"/>
                <w:szCs w:val="20"/>
              </w:rPr>
              <w:t>ACR 2024</w:t>
            </w:r>
          </w:p>
        </w:tc>
        <w:tc>
          <w:tcPr>
            <w:tcW w:w="2610" w:type="dxa"/>
            <w:tcBorders>
              <w:bottom w:val="single" w:sz="4" w:space="0" w:color="auto"/>
            </w:tcBorders>
            <w:shd w:val="clear" w:color="auto" w:fill="0F4761" w:themeFill="accent1" w:themeFillShade="BF"/>
          </w:tcPr>
          <w:p w14:paraId="69C15D20" w14:textId="77777777" w:rsidR="00896B0D" w:rsidRPr="00BE0622" w:rsidRDefault="00896B0D" w:rsidP="008C24EE">
            <w:pPr>
              <w:rPr>
                <w:sz w:val="20"/>
                <w:szCs w:val="20"/>
              </w:rPr>
            </w:pPr>
            <w:r w:rsidRPr="00BE0622">
              <w:rPr>
                <w:b/>
                <w:bCs/>
                <w:color w:val="FFFFFF" w:themeColor="background1"/>
                <w:sz w:val="20"/>
                <w:szCs w:val="20"/>
              </w:rPr>
              <w:t>KDIGO 2024</w:t>
            </w:r>
          </w:p>
        </w:tc>
        <w:tc>
          <w:tcPr>
            <w:tcW w:w="2515" w:type="dxa"/>
            <w:tcBorders>
              <w:bottom w:val="single" w:sz="4" w:space="0" w:color="auto"/>
            </w:tcBorders>
            <w:shd w:val="clear" w:color="auto" w:fill="3A7C22" w:themeFill="accent6" w:themeFillShade="BF"/>
          </w:tcPr>
          <w:p w14:paraId="3A1E8E4F" w14:textId="77777777" w:rsidR="00896B0D" w:rsidRPr="00BE0622" w:rsidRDefault="00896B0D" w:rsidP="008C24EE">
            <w:pPr>
              <w:rPr>
                <w:sz w:val="20"/>
                <w:szCs w:val="20"/>
              </w:rPr>
            </w:pPr>
            <w:r w:rsidRPr="00BE0622">
              <w:rPr>
                <w:b/>
                <w:bCs/>
                <w:color w:val="FFFFFF" w:themeColor="background1"/>
                <w:sz w:val="20"/>
                <w:szCs w:val="20"/>
              </w:rPr>
              <w:t>EULAR 2023</w:t>
            </w:r>
          </w:p>
        </w:tc>
      </w:tr>
      <w:tr w:rsidR="00896B0D" w:rsidRPr="00BE0622" w14:paraId="31ED32D2" w14:textId="77777777" w:rsidTr="008C24EE">
        <w:trPr>
          <w:trHeight w:val="350"/>
        </w:trPr>
        <w:tc>
          <w:tcPr>
            <w:tcW w:w="1705" w:type="dxa"/>
            <w:shd w:val="clear" w:color="auto" w:fill="D9D9D9" w:themeFill="background1" w:themeFillShade="D9"/>
          </w:tcPr>
          <w:p w14:paraId="3FF5EED7" w14:textId="77777777" w:rsidR="00896B0D" w:rsidRPr="00BE0622" w:rsidRDefault="00896B0D" w:rsidP="008C24EE">
            <w:pPr>
              <w:rPr>
                <w:color w:val="000000"/>
                <w:sz w:val="20"/>
                <w:szCs w:val="20"/>
              </w:rPr>
            </w:pPr>
            <w:r w:rsidRPr="00BE0622">
              <w:rPr>
                <w:color w:val="000000"/>
                <w:sz w:val="20"/>
                <w:szCs w:val="20"/>
              </w:rPr>
              <w:t>Overall Approach</w:t>
            </w:r>
          </w:p>
        </w:tc>
        <w:tc>
          <w:tcPr>
            <w:tcW w:w="2520" w:type="dxa"/>
            <w:shd w:val="clear" w:color="auto" w:fill="F6C5AC" w:themeFill="accent2" w:themeFillTint="66"/>
          </w:tcPr>
          <w:p w14:paraId="58D88219" w14:textId="77777777" w:rsidR="00896B0D" w:rsidRDefault="00896B0D" w:rsidP="008C24EE">
            <w:pPr>
              <w:rPr>
                <w:color w:val="000000" w:themeColor="text1"/>
                <w:sz w:val="20"/>
                <w:szCs w:val="20"/>
              </w:rPr>
            </w:pPr>
            <w:r w:rsidRPr="00BE0622">
              <w:rPr>
                <w:color w:val="000000" w:themeColor="text1"/>
                <w:sz w:val="20"/>
                <w:szCs w:val="20"/>
              </w:rPr>
              <w:t>Continuous, ongoing “triple therapy” upfront.</w:t>
            </w:r>
          </w:p>
          <w:p w14:paraId="0503EAAD" w14:textId="77777777" w:rsidR="00896B0D" w:rsidRPr="00BE0622" w:rsidRDefault="00896B0D" w:rsidP="008C24EE">
            <w:pPr>
              <w:rPr>
                <w:color w:val="000000" w:themeColor="text1"/>
                <w:sz w:val="20"/>
                <w:szCs w:val="20"/>
              </w:rPr>
            </w:pPr>
          </w:p>
          <w:p w14:paraId="024EB06A" w14:textId="77777777" w:rsidR="00896B0D" w:rsidRPr="00BE0622" w:rsidRDefault="00896B0D" w:rsidP="008C24EE">
            <w:pPr>
              <w:rPr>
                <w:color w:val="000000" w:themeColor="text1"/>
                <w:sz w:val="20"/>
                <w:szCs w:val="20"/>
              </w:rPr>
            </w:pPr>
            <w:r w:rsidRPr="00BE0622">
              <w:rPr>
                <w:color w:val="000000" w:themeColor="text1"/>
                <w:sz w:val="20"/>
                <w:szCs w:val="20"/>
              </w:rPr>
              <w:t>Triple therapy (GC + M</w:t>
            </w:r>
            <w:r>
              <w:rPr>
                <w:color w:val="000000" w:themeColor="text1"/>
                <w:sz w:val="20"/>
                <w:szCs w:val="20"/>
              </w:rPr>
              <w:t>MF</w:t>
            </w:r>
            <w:r w:rsidRPr="00BE0622">
              <w:rPr>
                <w:color w:val="000000" w:themeColor="text1"/>
                <w:sz w:val="20"/>
                <w:szCs w:val="20"/>
              </w:rPr>
              <w:t xml:space="preserve"> + belimumab or CNI) for class III/IV (± V). Class V: MMF or CYC, add belimumab/CNI if suboptimal. HCQ for all.</w:t>
            </w:r>
          </w:p>
          <w:p w14:paraId="1FD28383" w14:textId="77777777" w:rsidR="00896B0D" w:rsidRPr="00BE0622" w:rsidRDefault="00896B0D" w:rsidP="008C24EE">
            <w:pPr>
              <w:rPr>
                <w:color w:val="000000" w:themeColor="text1"/>
                <w:sz w:val="20"/>
                <w:szCs w:val="20"/>
              </w:rPr>
            </w:pPr>
          </w:p>
        </w:tc>
        <w:tc>
          <w:tcPr>
            <w:tcW w:w="2610" w:type="dxa"/>
            <w:shd w:val="clear" w:color="auto" w:fill="C1E4F5" w:themeFill="accent1" w:themeFillTint="33"/>
          </w:tcPr>
          <w:p w14:paraId="6A0C0A7D" w14:textId="77777777" w:rsidR="00896B0D" w:rsidRDefault="00896B0D" w:rsidP="008C24EE">
            <w:pPr>
              <w:rPr>
                <w:color w:val="000000" w:themeColor="text1"/>
                <w:sz w:val="20"/>
                <w:szCs w:val="20"/>
              </w:rPr>
            </w:pPr>
            <w:r w:rsidRPr="00BE0622">
              <w:rPr>
                <w:color w:val="000000" w:themeColor="text1"/>
                <w:sz w:val="20"/>
                <w:szCs w:val="20"/>
              </w:rPr>
              <w:t>Combined ongoing therapy.</w:t>
            </w:r>
          </w:p>
          <w:p w14:paraId="6AFB3C58" w14:textId="77777777" w:rsidR="00896B0D" w:rsidRPr="00BE0622" w:rsidRDefault="00896B0D" w:rsidP="008C24EE">
            <w:pPr>
              <w:rPr>
                <w:color w:val="000000" w:themeColor="text1"/>
                <w:sz w:val="20"/>
                <w:szCs w:val="20"/>
              </w:rPr>
            </w:pPr>
          </w:p>
          <w:p w14:paraId="4346DB21" w14:textId="77777777" w:rsidR="00896B0D" w:rsidRPr="00BE0622" w:rsidRDefault="00896B0D" w:rsidP="008C24EE">
            <w:pPr>
              <w:rPr>
                <w:color w:val="000000" w:themeColor="text1"/>
                <w:sz w:val="20"/>
                <w:szCs w:val="20"/>
              </w:rPr>
            </w:pPr>
            <w:r w:rsidRPr="00BE0622">
              <w:rPr>
                <w:color w:val="000000" w:themeColor="text1"/>
                <w:sz w:val="20"/>
                <w:szCs w:val="20"/>
              </w:rPr>
              <w:t>Flexible dual/triple therapy for class III/IV (± V). Class V: MMF or CYC, add belimumab/voclosporin if proteinuria persists. HCQ for all.</w:t>
            </w:r>
          </w:p>
        </w:tc>
        <w:tc>
          <w:tcPr>
            <w:tcW w:w="2515" w:type="dxa"/>
            <w:shd w:val="clear" w:color="auto" w:fill="B3E5A1" w:themeFill="accent6" w:themeFillTint="66"/>
          </w:tcPr>
          <w:p w14:paraId="10514ED8" w14:textId="77777777" w:rsidR="00896B0D" w:rsidRPr="00BE0622" w:rsidRDefault="00896B0D" w:rsidP="008C24EE">
            <w:pPr>
              <w:rPr>
                <w:color w:val="000000" w:themeColor="text1"/>
                <w:sz w:val="20"/>
                <w:szCs w:val="20"/>
              </w:rPr>
            </w:pPr>
            <w:r w:rsidRPr="00BE0622">
              <w:rPr>
                <w:color w:val="000000" w:themeColor="text1"/>
                <w:sz w:val="20"/>
                <w:szCs w:val="20"/>
              </w:rPr>
              <w:t>Shifting to combining biologics upfront.</w:t>
            </w:r>
          </w:p>
          <w:p w14:paraId="1A4A5D62" w14:textId="77777777" w:rsidR="00896B0D" w:rsidRPr="00BE0622" w:rsidRDefault="00896B0D" w:rsidP="008C24EE">
            <w:pPr>
              <w:pStyle w:val="NormalWeb"/>
              <w:rPr>
                <w:sz w:val="20"/>
                <w:szCs w:val="20"/>
              </w:rPr>
            </w:pPr>
            <w:r w:rsidRPr="00BE0622">
              <w:rPr>
                <w:sz w:val="20"/>
                <w:szCs w:val="20"/>
              </w:rPr>
              <w:t>Dual therapy (GC + MMF or CYC) with belimumab/CNI for high-risk class III/IV (± V), including class V. HCQ mandatory.</w:t>
            </w:r>
          </w:p>
        </w:tc>
      </w:tr>
      <w:tr w:rsidR="00896B0D" w:rsidRPr="00BE0622" w14:paraId="5E6FC2F4" w14:textId="77777777" w:rsidTr="008C24EE">
        <w:tc>
          <w:tcPr>
            <w:tcW w:w="1705" w:type="dxa"/>
            <w:shd w:val="clear" w:color="auto" w:fill="D9D9D9" w:themeFill="background1" w:themeFillShade="D9"/>
          </w:tcPr>
          <w:p w14:paraId="73C3814C" w14:textId="77777777" w:rsidR="00896B0D" w:rsidRPr="00BE0622" w:rsidRDefault="00896B0D" w:rsidP="008C24EE">
            <w:pPr>
              <w:rPr>
                <w:sz w:val="20"/>
                <w:szCs w:val="20"/>
              </w:rPr>
            </w:pPr>
            <w:r w:rsidRPr="00BE0622">
              <w:rPr>
                <w:color w:val="000000"/>
                <w:sz w:val="20"/>
                <w:szCs w:val="20"/>
              </w:rPr>
              <w:t>Induction Therapy</w:t>
            </w:r>
          </w:p>
        </w:tc>
        <w:tc>
          <w:tcPr>
            <w:tcW w:w="2520" w:type="dxa"/>
            <w:shd w:val="clear" w:color="auto" w:fill="F6C5AC" w:themeFill="accent2" w:themeFillTint="66"/>
          </w:tcPr>
          <w:p w14:paraId="2E4426BD" w14:textId="77777777" w:rsidR="00896B0D" w:rsidRPr="00BE0622" w:rsidRDefault="00896B0D" w:rsidP="008C24EE">
            <w:pPr>
              <w:rPr>
                <w:color w:val="000000"/>
                <w:sz w:val="20"/>
                <w:szCs w:val="20"/>
              </w:rPr>
            </w:pPr>
            <w:r w:rsidRPr="00BE0622">
              <w:rPr>
                <w:color w:val="000000"/>
                <w:sz w:val="20"/>
                <w:szCs w:val="20"/>
              </w:rPr>
              <w:t>Steroid + M</w:t>
            </w:r>
            <w:r>
              <w:rPr>
                <w:color w:val="000000"/>
                <w:sz w:val="20"/>
                <w:szCs w:val="20"/>
              </w:rPr>
              <w:t>MF</w:t>
            </w:r>
            <w:r w:rsidRPr="00BE0622">
              <w:rPr>
                <w:color w:val="000000"/>
                <w:sz w:val="20"/>
                <w:szCs w:val="20"/>
              </w:rPr>
              <w:t xml:space="preserve"> + one of the following:</w:t>
            </w:r>
          </w:p>
          <w:p w14:paraId="078EEA52" w14:textId="77777777" w:rsidR="00896B0D" w:rsidRPr="00BE0622" w:rsidRDefault="00896B0D" w:rsidP="008C24EE">
            <w:pPr>
              <w:pStyle w:val="ListParagraph"/>
              <w:numPr>
                <w:ilvl w:val="0"/>
                <w:numId w:val="4"/>
              </w:numPr>
              <w:rPr>
                <w:color w:val="000000"/>
                <w:sz w:val="20"/>
                <w:szCs w:val="20"/>
              </w:rPr>
            </w:pPr>
            <w:r w:rsidRPr="00BE0622">
              <w:rPr>
                <w:color w:val="000000"/>
                <w:sz w:val="20"/>
                <w:szCs w:val="20"/>
              </w:rPr>
              <w:t xml:space="preserve">Belimumab </w:t>
            </w:r>
          </w:p>
          <w:p w14:paraId="10BFEE1C" w14:textId="77777777" w:rsidR="00896B0D" w:rsidRPr="00BE0622" w:rsidRDefault="00896B0D" w:rsidP="008C24EE">
            <w:pPr>
              <w:pStyle w:val="ListParagraph"/>
              <w:numPr>
                <w:ilvl w:val="0"/>
                <w:numId w:val="4"/>
              </w:numPr>
              <w:rPr>
                <w:color w:val="000000"/>
                <w:sz w:val="20"/>
                <w:szCs w:val="20"/>
              </w:rPr>
            </w:pPr>
            <w:r w:rsidRPr="00BE0622">
              <w:rPr>
                <w:color w:val="000000"/>
                <w:sz w:val="20"/>
                <w:szCs w:val="20"/>
              </w:rPr>
              <w:t>CNI</w:t>
            </w:r>
          </w:p>
          <w:p w14:paraId="2E1E62FE" w14:textId="77777777" w:rsidR="00896B0D" w:rsidRPr="00BE0622" w:rsidRDefault="00896B0D" w:rsidP="008C24EE">
            <w:pPr>
              <w:pStyle w:val="ListParagraph"/>
              <w:numPr>
                <w:ilvl w:val="0"/>
                <w:numId w:val="4"/>
              </w:numPr>
              <w:rPr>
                <w:sz w:val="20"/>
                <w:szCs w:val="20"/>
              </w:rPr>
            </w:pPr>
            <w:r w:rsidRPr="00BE0622">
              <w:rPr>
                <w:sz w:val="20"/>
                <w:szCs w:val="20"/>
              </w:rPr>
              <w:t>Euro-Lupus Nephritis Trial (ELNT) low-dose CYC + belimumab</w:t>
            </w:r>
            <w:r w:rsidRPr="00BE0622">
              <w:rPr>
                <w:color w:val="000000"/>
                <w:sz w:val="20"/>
                <w:szCs w:val="20"/>
              </w:rPr>
              <w:t xml:space="preserve"> </w:t>
            </w:r>
          </w:p>
          <w:p w14:paraId="5EC8744D" w14:textId="77777777" w:rsidR="00896B0D" w:rsidRPr="00BE0622" w:rsidRDefault="00896B0D" w:rsidP="008C24EE">
            <w:pPr>
              <w:rPr>
                <w:sz w:val="20"/>
                <w:szCs w:val="20"/>
              </w:rPr>
            </w:pPr>
          </w:p>
        </w:tc>
        <w:tc>
          <w:tcPr>
            <w:tcW w:w="2610" w:type="dxa"/>
            <w:shd w:val="clear" w:color="auto" w:fill="C1E4F5" w:themeFill="accent1" w:themeFillTint="33"/>
          </w:tcPr>
          <w:p w14:paraId="4B22997F" w14:textId="77777777" w:rsidR="00896B0D" w:rsidRPr="00BE0622" w:rsidRDefault="00896B0D" w:rsidP="008C24EE">
            <w:pPr>
              <w:rPr>
                <w:color w:val="000000"/>
                <w:sz w:val="20"/>
                <w:szCs w:val="20"/>
              </w:rPr>
            </w:pPr>
            <w:r w:rsidRPr="00BE0622">
              <w:rPr>
                <w:color w:val="000000"/>
                <w:sz w:val="20"/>
                <w:szCs w:val="20"/>
              </w:rPr>
              <w:t>Steroid plus any one of the following:</w:t>
            </w:r>
          </w:p>
          <w:p w14:paraId="096769B8" w14:textId="77777777" w:rsidR="00896B0D" w:rsidRPr="00BE0622" w:rsidRDefault="00896B0D" w:rsidP="008C24EE">
            <w:pPr>
              <w:pStyle w:val="ListParagraph"/>
              <w:numPr>
                <w:ilvl w:val="0"/>
                <w:numId w:val="1"/>
              </w:numPr>
              <w:rPr>
                <w:color w:val="000000"/>
                <w:sz w:val="20"/>
                <w:szCs w:val="20"/>
              </w:rPr>
            </w:pPr>
            <w:r w:rsidRPr="00BE0622">
              <w:rPr>
                <w:color w:val="000000"/>
                <w:sz w:val="20"/>
                <w:szCs w:val="20"/>
              </w:rPr>
              <w:t>CNI + M</w:t>
            </w:r>
            <w:r>
              <w:rPr>
                <w:color w:val="000000"/>
                <w:sz w:val="20"/>
                <w:szCs w:val="20"/>
              </w:rPr>
              <w:t>MF</w:t>
            </w:r>
          </w:p>
          <w:p w14:paraId="5F4F5D62" w14:textId="77777777" w:rsidR="00896B0D" w:rsidRPr="00BE0622" w:rsidRDefault="00896B0D" w:rsidP="008C24EE">
            <w:pPr>
              <w:pStyle w:val="ListParagraph"/>
              <w:numPr>
                <w:ilvl w:val="0"/>
                <w:numId w:val="1"/>
              </w:numPr>
              <w:rPr>
                <w:color w:val="000000"/>
                <w:sz w:val="20"/>
                <w:szCs w:val="20"/>
              </w:rPr>
            </w:pPr>
            <w:r w:rsidRPr="00BE0622">
              <w:rPr>
                <w:color w:val="000000"/>
                <w:sz w:val="20"/>
                <w:szCs w:val="20"/>
              </w:rPr>
              <w:t>MPA</w:t>
            </w:r>
          </w:p>
          <w:p w14:paraId="02BE5285" w14:textId="77777777" w:rsidR="00896B0D" w:rsidRPr="00BE0622" w:rsidRDefault="00896B0D" w:rsidP="008C24EE">
            <w:pPr>
              <w:pStyle w:val="ListParagraph"/>
              <w:numPr>
                <w:ilvl w:val="0"/>
                <w:numId w:val="1"/>
              </w:numPr>
              <w:rPr>
                <w:color w:val="000000"/>
                <w:sz w:val="20"/>
                <w:szCs w:val="20"/>
              </w:rPr>
            </w:pPr>
            <w:r w:rsidRPr="00BE0622">
              <w:rPr>
                <w:color w:val="000000"/>
                <w:sz w:val="20"/>
                <w:szCs w:val="20"/>
              </w:rPr>
              <w:t>CYC</w:t>
            </w:r>
          </w:p>
          <w:p w14:paraId="5A706A98" w14:textId="77777777" w:rsidR="00896B0D" w:rsidRPr="00BE0622" w:rsidRDefault="00896B0D" w:rsidP="008C24EE">
            <w:pPr>
              <w:pStyle w:val="ListParagraph"/>
              <w:numPr>
                <w:ilvl w:val="0"/>
                <w:numId w:val="1"/>
              </w:numPr>
              <w:rPr>
                <w:color w:val="000000"/>
                <w:sz w:val="20"/>
                <w:szCs w:val="20"/>
              </w:rPr>
            </w:pPr>
            <w:r w:rsidRPr="00BE0622">
              <w:rPr>
                <w:color w:val="000000"/>
                <w:sz w:val="20"/>
                <w:szCs w:val="20"/>
              </w:rPr>
              <w:t>Belimumab + M</w:t>
            </w:r>
            <w:r>
              <w:rPr>
                <w:color w:val="000000"/>
                <w:sz w:val="20"/>
                <w:szCs w:val="20"/>
              </w:rPr>
              <w:t>MF</w:t>
            </w:r>
            <w:r w:rsidRPr="00BE0622">
              <w:rPr>
                <w:color w:val="000000"/>
                <w:sz w:val="20"/>
                <w:szCs w:val="20"/>
              </w:rPr>
              <w:t xml:space="preserve"> or reduced dose CYC</w:t>
            </w:r>
          </w:p>
          <w:p w14:paraId="25B61E7E" w14:textId="77777777" w:rsidR="00896B0D" w:rsidRPr="00BE0622" w:rsidRDefault="00896B0D" w:rsidP="008C24EE">
            <w:pPr>
              <w:rPr>
                <w:sz w:val="20"/>
                <w:szCs w:val="20"/>
              </w:rPr>
            </w:pPr>
          </w:p>
        </w:tc>
        <w:tc>
          <w:tcPr>
            <w:tcW w:w="2515" w:type="dxa"/>
            <w:shd w:val="clear" w:color="auto" w:fill="B3E5A1" w:themeFill="accent6" w:themeFillTint="66"/>
          </w:tcPr>
          <w:p w14:paraId="56BC8703" w14:textId="77777777" w:rsidR="00896B0D" w:rsidRPr="00BE0622" w:rsidRDefault="00896B0D" w:rsidP="008C24EE">
            <w:pPr>
              <w:rPr>
                <w:color w:val="000000"/>
                <w:sz w:val="20"/>
                <w:szCs w:val="20"/>
              </w:rPr>
            </w:pPr>
            <w:r w:rsidRPr="00BE0622">
              <w:rPr>
                <w:color w:val="000000"/>
                <w:sz w:val="20"/>
                <w:szCs w:val="20"/>
              </w:rPr>
              <w:t>Steroid plus:</w:t>
            </w:r>
          </w:p>
          <w:p w14:paraId="1994639F" w14:textId="77777777" w:rsidR="00896B0D" w:rsidRPr="00BE0622" w:rsidRDefault="00896B0D" w:rsidP="008C24EE">
            <w:pPr>
              <w:pStyle w:val="ListParagraph"/>
              <w:numPr>
                <w:ilvl w:val="0"/>
                <w:numId w:val="2"/>
              </w:numPr>
              <w:rPr>
                <w:sz w:val="20"/>
                <w:szCs w:val="20"/>
              </w:rPr>
            </w:pPr>
            <w:r w:rsidRPr="00BE0622">
              <w:rPr>
                <w:sz w:val="20"/>
                <w:szCs w:val="20"/>
              </w:rPr>
              <w:t>M</w:t>
            </w:r>
            <w:r>
              <w:rPr>
                <w:sz w:val="20"/>
                <w:szCs w:val="20"/>
              </w:rPr>
              <w:t>MF</w:t>
            </w:r>
            <w:r w:rsidRPr="00BE0622">
              <w:rPr>
                <w:sz w:val="20"/>
                <w:szCs w:val="20"/>
              </w:rPr>
              <w:t xml:space="preserve"> or low-dose CYC</w:t>
            </w:r>
          </w:p>
          <w:p w14:paraId="6CBE82F5" w14:textId="77777777" w:rsidR="00896B0D" w:rsidRPr="00BE0622" w:rsidRDefault="00896B0D" w:rsidP="008C24EE">
            <w:pPr>
              <w:pStyle w:val="ListParagraph"/>
              <w:numPr>
                <w:ilvl w:val="0"/>
                <w:numId w:val="2"/>
              </w:numPr>
              <w:rPr>
                <w:sz w:val="20"/>
                <w:szCs w:val="20"/>
              </w:rPr>
            </w:pPr>
            <w:r w:rsidRPr="00BE0622">
              <w:rPr>
                <w:sz w:val="20"/>
                <w:szCs w:val="20"/>
              </w:rPr>
              <w:t>M</w:t>
            </w:r>
            <w:r>
              <w:rPr>
                <w:sz w:val="20"/>
                <w:szCs w:val="20"/>
              </w:rPr>
              <w:t>MF</w:t>
            </w:r>
            <w:r w:rsidRPr="00BE0622">
              <w:rPr>
                <w:sz w:val="20"/>
                <w:szCs w:val="20"/>
              </w:rPr>
              <w:t>/CNI combo for high risk/nephrotic</w:t>
            </w:r>
          </w:p>
          <w:p w14:paraId="63B2D3AF" w14:textId="77777777" w:rsidR="00896B0D" w:rsidRPr="00BE0622" w:rsidRDefault="00896B0D" w:rsidP="008C24EE">
            <w:pPr>
              <w:pStyle w:val="ListParagraph"/>
              <w:numPr>
                <w:ilvl w:val="0"/>
                <w:numId w:val="2"/>
              </w:numPr>
              <w:rPr>
                <w:sz w:val="20"/>
                <w:szCs w:val="20"/>
              </w:rPr>
            </w:pPr>
            <w:r w:rsidRPr="00BE0622">
              <w:rPr>
                <w:sz w:val="20"/>
                <w:szCs w:val="20"/>
              </w:rPr>
              <w:t>Rituximab for nonresponder</w:t>
            </w:r>
          </w:p>
        </w:tc>
      </w:tr>
      <w:tr w:rsidR="00896B0D" w:rsidRPr="00BE0622" w14:paraId="34FEF8B0" w14:textId="77777777" w:rsidTr="008C24EE">
        <w:tc>
          <w:tcPr>
            <w:tcW w:w="1705" w:type="dxa"/>
            <w:shd w:val="clear" w:color="auto" w:fill="D9D9D9" w:themeFill="background1" w:themeFillShade="D9"/>
          </w:tcPr>
          <w:p w14:paraId="0096F771" w14:textId="77777777" w:rsidR="00896B0D" w:rsidRPr="00BE0622" w:rsidRDefault="00896B0D" w:rsidP="008C24EE">
            <w:pPr>
              <w:rPr>
                <w:color w:val="000000"/>
                <w:sz w:val="20"/>
                <w:szCs w:val="20"/>
              </w:rPr>
            </w:pPr>
            <w:r w:rsidRPr="00BE0622">
              <w:rPr>
                <w:color w:val="000000"/>
                <w:sz w:val="20"/>
                <w:szCs w:val="20"/>
              </w:rPr>
              <w:t>Maintenance Therapy</w:t>
            </w:r>
          </w:p>
        </w:tc>
        <w:tc>
          <w:tcPr>
            <w:tcW w:w="2520" w:type="dxa"/>
            <w:shd w:val="clear" w:color="auto" w:fill="F6C5AC" w:themeFill="accent2" w:themeFillTint="66"/>
          </w:tcPr>
          <w:p w14:paraId="3A9F53A3" w14:textId="77777777" w:rsidR="00896B0D" w:rsidRPr="00BE0622" w:rsidRDefault="00896B0D" w:rsidP="008C24EE">
            <w:pPr>
              <w:rPr>
                <w:color w:val="000000"/>
                <w:sz w:val="20"/>
                <w:szCs w:val="20"/>
              </w:rPr>
            </w:pPr>
            <w:r w:rsidRPr="00BE0622">
              <w:rPr>
                <w:sz w:val="20"/>
                <w:szCs w:val="20"/>
              </w:rPr>
              <w:t>≥3–5 yr; M</w:t>
            </w:r>
            <w:r>
              <w:rPr>
                <w:sz w:val="20"/>
                <w:szCs w:val="20"/>
              </w:rPr>
              <w:t>MF</w:t>
            </w:r>
            <w:r w:rsidRPr="00BE0622">
              <w:rPr>
                <w:sz w:val="20"/>
                <w:szCs w:val="20"/>
              </w:rPr>
              <w:t xml:space="preserve"> &gt; AZA;</w:t>
            </w:r>
            <w:r w:rsidRPr="00BE0622">
              <w:rPr>
                <w:color w:val="000000"/>
                <w:sz w:val="20"/>
                <w:szCs w:val="20"/>
              </w:rPr>
              <w:t>; continue belimumab if started</w:t>
            </w:r>
          </w:p>
        </w:tc>
        <w:tc>
          <w:tcPr>
            <w:tcW w:w="2610" w:type="dxa"/>
            <w:shd w:val="clear" w:color="auto" w:fill="C1E4F5" w:themeFill="accent1" w:themeFillTint="33"/>
          </w:tcPr>
          <w:p w14:paraId="0D5866CA" w14:textId="77777777" w:rsidR="00896B0D" w:rsidRPr="00BE0622" w:rsidRDefault="00896B0D" w:rsidP="008C24EE">
            <w:pPr>
              <w:rPr>
                <w:color w:val="000000"/>
                <w:sz w:val="20"/>
                <w:szCs w:val="20"/>
              </w:rPr>
            </w:pPr>
            <w:r w:rsidRPr="00BE0622">
              <w:rPr>
                <w:sz w:val="20"/>
                <w:szCs w:val="20"/>
              </w:rPr>
              <w:t>≥36 mo; M</w:t>
            </w:r>
            <w:r>
              <w:rPr>
                <w:sz w:val="20"/>
                <w:szCs w:val="20"/>
              </w:rPr>
              <w:t>MF</w:t>
            </w:r>
            <w:r w:rsidRPr="00BE0622">
              <w:rPr>
                <w:sz w:val="20"/>
                <w:szCs w:val="20"/>
              </w:rPr>
              <w:t xml:space="preserve"> &gt; AZA; belimumab optional.</w:t>
            </w:r>
          </w:p>
        </w:tc>
        <w:tc>
          <w:tcPr>
            <w:tcW w:w="2515" w:type="dxa"/>
            <w:shd w:val="clear" w:color="auto" w:fill="B3E5A1" w:themeFill="accent6" w:themeFillTint="66"/>
          </w:tcPr>
          <w:p w14:paraId="136C18C5" w14:textId="77777777" w:rsidR="00896B0D" w:rsidRPr="00BE0622" w:rsidRDefault="00896B0D" w:rsidP="008C24EE">
            <w:pPr>
              <w:rPr>
                <w:color w:val="000000"/>
                <w:sz w:val="20"/>
                <w:szCs w:val="20"/>
              </w:rPr>
            </w:pPr>
            <w:r w:rsidRPr="00BE0622">
              <w:rPr>
                <w:sz w:val="20"/>
                <w:szCs w:val="20"/>
              </w:rPr>
              <w:t>≥3–5 yr; MMF or AZA; continue belimumab/CNI.</w:t>
            </w:r>
          </w:p>
        </w:tc>
      </w:tr>
      <w:tr w:rsidR="00896B0D" w:rsidRPr="00BE0622" w14:paraId="1F9DD8A6" w14:textId="77777777" w:rsidTr="008C24EE">
        <w:tc>
          <w:tcPr>
            <w:tcW w:w="1705" w:type="dxa"/>
            <w:shd w:val="clear" w:color="auto" w:fill="D9D9D9" w:themeFill="background1" w:themeFillShade="D9"/>
          </w:tcPr>
          <w:p w14:paraId="3497377A" w14:textId="77777777" w:rsidR="00896B0D" w:rsidRPr="00BE0622" w:rsidRDefault="00896B0D" w:rsidP="008C24EE">
            <w:pPr>
              <w:rPr>
                <w:color w:val="000000"/>
                <w:sz w:val="20"/>
                <w:szCs w:val="20"/>
              </w:rPr>
            </w:pPr>
            <w:r w:rsidRPr="00BE0622">
              <w:rPr>
                <w:sz w:val="20"/>
                <w:szCs w:val="20"/>
              </w:rPr>
              <w:t>Class V LN Recommendations</w:t>
            </w:r>
          </w:p>
        </w:tc>
        <w:tc>
          <w:tcPr>
            <w:tcW w:w="2520" w:type="dxa"/>
            <w:shd w:val="clear" w:color="auto" w:fill="F6C5AC" w:themeFill="accent2" w:themeFillTint="66"/>
          </w:tcPr>
          <w:p w14:paraId="28381E5C" w14:textId="77777777" w:rsidR="00896B0D" w:rsidRPr="00BE0622" w:rsidRDefault="00896B0D" w:rsidP="008C24EE">
            <w:pPr>
              <w:rPr>
                <w:color w:val="000000"/>
                <w:sz w:val="20"/>
                <w:szCs w:val="20"/>
              </w:rPr>
            </w:pPr>
            <w:r w:rsidRPr="00BE0622">
              <w:rPr>
                <w:sz w:val="20"/>
                <w:szCs w:val="20"/>
              </w:rPr>
              <w:t>M</w:t>
            </w:r>
            <w:r>
              <w:rPr>
                <w:sz w:val="20"/>
                <w:szCs w:val="20"/>
              </w:rPr>
              <w:t>MF</w:t>
            </w:r>
            <w:r w:rsidRPr="00BE0622">
              <w:rPr>
                <w:sz w:val="20"/>
                <w:szCs w:val="20"/>
              </w:rPr>
              <w:t xml:space="preserve"> + CNI if proteinuria ≥1 g/day. Consider steroid taper ≤5 mg/day by 6 months. Duration 3–5 years.</w:t>
            </w:r>
          </w:p>
        </w:tc>
        <w:tc>
          <w:tcPr>
            <w:tcW w:w="2610" w:type="dxa"/>
            <w:shd w:val="clear" w:color="auto" w:fill="C1E4F5" w:themeFill="accent1" w:themeFillTint="33"/>
          </w:tcPr>
          <w:p w14:paraId="0BF17D80" w14:textId="77777777" w:rsidR="00896B0D" w:rsidRPr="00BE0622" w:rsidRDefault="00896B0D" w:rsidP="008C24EE">
            <w:pPr>
              <w:rPr>
                <w:color w:val="000000"/>
                <w:sz w:val="20"/>
                <w:szCs w:val="20"/>
              </w:rPr>
            </w:pPr>
            <w:r w:rsidRPr="00BE0622">
              <w:rPr>
                <w:sz w:val="20"/>
                <w:szCs w:val="20"/>
              </w:rPr>
              <w:t>M</w:t>
            </w:r>
            <w:r>
              <w:rPr>
                <w:sz w:val="20"/>
                <w:szCs w:val="20"/>
              </w:rPr>
              <w:t>MF</w:t>
            </w:r>
            <w:r w:rsidRPr="00BE0622">
              <w:rPr>
                <w:sz w:val="20"/>
                <w:szCs w:val="20"/>
              </w:rPr>
              <w:t xml:space="preserve"> or CYC; belimumab or voclosporin add-on if persistent nephrotic proteinuria.</w:t>
            </w:r>
          </w:p>
        </w:tc>
        <w:tc>
          <w:tcPr>
            <w:tcW w:w="2515" w:type="dxa"/>
            <w:shd w:val="clear" w:color="auto" w:fill="B3E5A1" w:themeFill="accent6" w:themeFillTint="66"/>
          </w:tcPr>
          <w:p w14:paraId="4A685551" w14:textId="77777777" w:rsidR="00896B0D" w:rsidRPr="00BE0622" w:rsidRDefault="00896B0D" w:rsidP="008C24EE">
            <w:pPr>
              <w:rPr>
                <w:color w:val="000000"/>
                <w:sz w:val="20"/>
                <w:szCs w:val="20"/>
              </w:rPr>
            </w:pPr>
            <w:r w:rsidRPr="00BE0622">
              <w:rPr>
                <w:sz w:val="20"/>
                <w:szCs w:val="20"/>
              </w:rPr>
              <w:t>MMF or CYC; CNI or belimumab for nephrotic-range proteinuria.</w:t>
            </w:r>
          </w:p>
        </w:tc>
      </w:tr>
      <w:tr w:rsidR="00896B0D" w:rsidRPr="00BE0622" w14:paraId="4DC48DE8" w14:textId="77777777" w:rsidTr="008C24EE">
        <w:tc>
          <w:tcPr>
            <w:tcW w:w="1705" w:type="dxa"/>
            <w:shd w:val="clear" w:color="auto" w:fill="D9D9D9" w:themeFill="background1" w:themeFillShade="D9"/>
          </w:tcPr>
          <w:p w14:paraId="058D1214" w14:textId="77777777" w:rsidR="00896B0D" w:rsidRPr="00BE0622" w:rsidRDefault="00896B0D" w:rsidP="008C24EE">
            <w:pPr>
              <w:rPr>
                <w:sz w:val="20"/>
                <w:szCs w:val="20"/>
              </w:rPr>
            </w:pPr>
            <w:r w:rsidRPr="00BE0622">
              <w:rPr>
                <w:color w:val="000000"/>
                <w:sz w:val="20"/>
                <w:szCs w:val="20"/>
              </w:rPr>
              <w:t>Use of New Agents</w:t>
            </w:r>
          </w:p>
        </w:tc>
        <w:tc>
          <w:tcPr>
            <w:tcW w:w="2520" w:type="dxa"/>
            <w:shd w:val="clear" w:color="auto" w:fill="F6C5AC" w:themeFill="accent2" w:themeFillTint="66"/>
          </w:tcPr>
          <w:p w14:paraId="0FFB3E78" w14:textId="77777777" w:rsidR="00896B0D" w:rsidRPr="00BE0622" w:rsidRDefault="00896B0D" w:rsidP="008C24EE">
            <w:pPr>
              <w:pStyle w:val="ListParagraph"/>
              <w:numPr>
                <w:ilvl w:val="0"/>
                <w:numId w:val="3"/>
              </w:numPr>
              <w:rPr>
                <w:sz w:val="20"/>
                <w:szCs w:val="20"/>
              </w:rPr>
            </w:pPr>
            <w:r w:rsidRPr="00BE0622">
              <w:rPr>
                <w:sz w:val="20"/>
                <w:szCs w:val="20"/>
              </w:rPr>
              <w:t>Belimumab/voclosporin upfront</w:t>
            </w:r>
          </w:p>
          <w:p w14:paraId="349833B9" w14:textId="77777777" w:rsidR="00896B0D" w:rsidRPr="00BE0622" w:rsidRDefault="00896B0D" w:rsidP="008C24EE">
            <w:pPr>
              <w:pStyle w:val="ListParagraph"/>
              <w:numPr>
                <w:ilvl w:val="0"/>
                <w:numId w:val="3"/>
              </w:numPr>
              <w:rPr>
                <w:sz w:val="20"/>
                <w:szCs w:val="20"/>
              </w:rPr>
            </w:pPr>
            <w:r w:rsidRPr="00BE0622">
              <w:rPr>
                <w:sz w:val="20"/>
                <w:szCs w:val="20"/>
              </w:rPr>
              <w:t xml:space="preserve">Rituximab for refractory. </w:t>
            </w:r>
          </w:p>
          <w:p w14:paraId="4E05078A" w14:textId="77777777" w:rsidR="00896B0D" w:rsidRPr="00BE0622" w:rsidRDefault="00896B0D" w:rsidP="008C24EE">
            <w:pPr>
              <w:pStyle w:val="ListParagraph"/>
              <w:numPr>
                <w:ilvl w:val="0"/>
                <w:numId w:val="3"/>
              </w:numPr>
              <w:rPr>
                <w:sz w:val="20"/>
                <w:szCs w:val="20"/>
              </w:rPr>
            </w:pPr>
            <w:r w:rsidRPr="00BE0622">
              <w:rPr>
                <w:sz w:val="20"/>
                <w:szCs w:val="20"/>
              </w:rPr>
              <w:t>Class V: Belimumab/CNI add-on.</w:t>
            </w:r>
          </w:p>
        </w:tc>
        <w:tc>
          <w:tcPr>
            <w:tcW w:w="2610" w:type="dxa"/>
            <w:shd w:val="clear" w:color="auto" w:fill="C1E4F5" w:themeFill="accent1" w:themeFillTint="33"/>
          </w:tcPr>
          <w:p w14:paraId="31FF0FFA" w14:textId="77777777" w:rsidR="00896B0D" w:rsidRPr="00BE0622" w:rsidRDefault="00896B0D" w:rsidP="008C24EE">
            <w:pPr>
              <w:pStyle w:val="ListParagraph"/>
              <w:numPr>
                <w:ilvl w:val="0"/>
                <w:numId w:val="3"/>
              </w:numPr>
              <w:rPr>
                <w:sz w:val="20"/>
                <w:szCs w:val="20"/>
              </w:rPr>
            </w:pPr>
            <w:r w:rsidRPr="00BE0622">
              <w:rPr>
                <w:sz w:val="20"/>
                <w:szCs w:val="20"/>
              </w:rPr>
              <w:t>Belimumab/voclosporin optional</w:t>
            </w:r>
          </w:p>
          <w:p w14:paraId="2114B14E" w14:textId="77777777" w:rsidR="00896B0D" w:rsidRPr="00BE0622" w:rsidRDefault="00896B0D" w:rsidP="008C24EE">
            <w:pPr>
              <w:pStyle w:val="ListParagraph"/>
              <w:numPr>
                <w:ilvl w:val="0"/>
                <w:numId w:val="3"/>
              </w:numPr>
              <w:rPr>
                <w:sz w:val="20"/>
                <w:szCs w:val="20"/>
              </w:rPr>
            </w:pPr>
            <w:r w:rsidRPr="00BE0622">
              <w:rPr>
                <w:sz w:val="20"/>
                <w:szCs w:val="20"/>
              </w:rPr>
              <w:t>Rituximab for relapse</w:t>
            </w:r>
          </w:p>
          <w:p w14:paraId="31E2BBC1" w14:textId="77777777" w:rsidR="00896B0D" w:rsidRPr="00BE0622" w:rsidRDefault="00896B0D" w:rsidP="008C24EE">
            <w:pPr>
              <w:pStyle w:val="ListParagraph"/>
              <w:numPr>
                <w:ilvl w:val="0"/>
                <w:numId w:val="3"/>
              </w:numPr>
              <w:rPr>
                <w:sz w:val="20"/>
                <w:szCs w:val="20"/>
              </w:rPr>
            </w:pPr>
            <w:r w:rsidRPr="00BE0622">
              <w:rPr>
                <w:sz w:val="20"/>
                <w:szCs w:val="20"/>
              </w:rPr>
              <w:t>Obinutuzumab expected</w:t>
            </w:r>
          </w:p>
          <w:p w14:paraId="62499A5A" w14:textId="77777777" w:rsidR="00896B0D" w:rsidRPr="00BE0622" w:rsidRDefault="00896B0D" w:rsidP="008C24EE">
            <w:pPr>
              <w:pStyle w:val="ListParagraph"/>
              <w:numPr>
                <w:ilvl w:val="0"/>
                <w:numId w:val="3"/>
              </w:numPr>
              <w:rPr>
                <w:sz w:val="20"/>
                <w:szCs w:val="20"/>
              </w:rPr>
            </w:pPr>
            <w:r w:rsidRPr="00BE0622">
              <w:rPr>
                <w:sz w:val="20"/>
                <w:szCs w:val="20"/>
              </w:rPr>
              <w:t>Class V: Belimumab/voclosporin add-on.</w:t>
            </w:r>
          </w:p>
        </w:tc>
        <w:tc>
          <w:tcPr>
            <w:tcW w:w="2515" w:type="dxa"/>
            <w:shd w:val="clear" w:color="auto" w:fill="B3E5A1" w:themeFill="accent6" w:themeFillTint="66"/>
          </w:tcPr>
          <w:p w14:paraId="3CB35439" w14:textId="77777777" w:rsidR="00896B0D" w:rsidRPr="00BE0622" w:rsidRDefault="00896B0D" w:rsidP="008C24EE">
            <w:pPr>
              <w:pStyle w:val="ListParagraph"/>
              <w:numPr>
                <w:ilvl w:val="0"/>
                <w:numId w:val="3"/>
              </w:numPr>
              <w:rPr>
                <w:sz w:val="20"/>
                <w:szCs w:val="20"/>
              </w:rPr>
            </w:pPr>
            <w:r w:rsidRPr="00BE0622">
              <w:rPr>
                <w:sz w:val="20"/>
                <w:szCs w:val="20"/>
              </w:rPr>
              <w:t>Belimumab/CNI for high-risk/nephrotic</w:t>
            </w:r>
          </w:p>
          <w:p w14:paraId="46B2ED44" w14:textId="77777777" w:rsidR="00896B0D" w:rsidRPr="00BE0622" w:rsidRDefault="00896B0D" w:rsidP="008C24EE">
            <w:pPr>
              <w:pStyle w:val="ListParagraph"/>
              <w:numPr>
                <w:ilvl w:val="0"/>
                <w:numId w:val="3"/>
              </w:numPr>
              <w:rPr>
                <w:sz w:val="20"/>
                <w:szCs w:val="20"/>
              </w:rPr>
            </w:pPr>
            <w:r w:rsidRPr="00BE0622">
              <w:rPr>
                <w:sz w:val="20"/>
                <w:szCs w:val="20"/>
              </w:rPr>
              <w:t>Rituximab for refractory</w:t>
            </w:r>
          </w:p>
          <w:p w14:paraId="59452C62" w14:textId="77777777" w:rsidR="00896B0D" w:rsidRPr="00BE0622" w:rsidRDefault="00896B0D" w:rsidP="008C24EE">
            <w:pPr>
              <w:pStyle w:val="ListParagraph"/>
              <w:numPr>
                <w:ilvl w:val="0"/>
                <w:numId w:val="3"/>
              </w:numPr>
              <w:rPr>
                <w:sz w:val="20"/>
                <w:szCs w:val="20"/>
              </w:rPr>
            </w:pPr>
            <w:r w:rsidRPr="00BE0622">
              <w:rPr>
                <w:sz w:val="20"/>
                <w:szCs w:val="20"/>
              </w:rPr>
              <w:t>Class V: CNI/belimumab prioritized.</w:t>
            </w:r>
          </w:p>
        </w:tc>
      </w:tr>
      <w:tr w:rsidR="00896B0D" w:rsidRPr="00BE0622" w14:paraId="073EE2EC" w14:textId="77777777" w:rsidTr="008C24EE">
        <w:tc>
          <w:tcPr>
            <w:tcW w:w="1705" w:type="dxa"/>
            <w:shd w:val="clear" w:color="auto" w:fill="D9D9D9" w:themeFill="background1" w:themeFillShade="D9"/>
          </w:tcPr>
          <w:p w14:paraId="0884E31D" w14:textId="77777777" w:rsidR="00896B0D" w:rsidRPr="00BE0622" w:rsidRDefault="00896B0D" w:rsidP="008C24EE">
            <w:pPr>
              <w:rPr>
                <w:sz w:val="20"/>
                <w:szCs w:val="20"/>
              </w:rPr>
            </w:pPr>
            <w:r w:rsidRPr="00BE0622">
              <w:rPr>
                <w:color w:val="000000"/>
                <w:sz w:val="20"/>
                <w:szCs w:val="20"/>
              </w:rPr>
              <w:t>Obinutuzumab Inclusion</w:t>
            </w:r>
          </w:p>
        </w:tc>
        <w:tc>
          <w:tcPr>
            <w:tcW w:w="2520" w:type="dxa"/>
            <w:shd w:val="clear" w:color="auto" w:fill="F6C5AC" w:themeFill="accent2" w:themeFillTint="66"/>
          </w:tcPr>
          <w:p w14:paraId="6D097D3D" w14:textId="77777777" w:rsidR="00896B0D" w:rsidRPr="00BE0622" w:rsidRDefault="00896B0D" w:rsidP="008C24EE">
            <w:pPr>
              <w:rPr>
                <w:sz w:val="20"/>
                <w:szCs w:val="20"/>
              </w:rPr>
            </w:pPr>
            <w:r w:rsidRPr="00BE0622">
              <w:rPr>
                <w:color w:val="000000"/>
                <w:sz w:val="20"/>
                <w:szCs w:val="20"/>
              </w:rPr>
              <w:t>Not included yet</w:t>
            </w:r>
          </w:p>
        </w:tc>
        <w:tc>
          <w:tcPr>
            <w:tcW w:w="2610" w:type="dxa"/>
            <w:shd w:val="clear" w:color="auto" w:fill="C1E4F5" w:themeFill="accent1" w:themeFillTint="33"/>
          </w:tcPr>
          <w:p w14:paraId="201685B9" w14:textId="77777777" w:rsidR="00896B0D" w:rsidRPr="00BE0622" w:rsidRDefault="00896B0D" w:rsidP="008C24EE">
            <w:pPr>
              <w:rPr>
                <w:sz w:val="20"/>
                <w:szCs w:val="20"/>
              </w:rPr>
            </w:pPr>
            <w:r w:rsidRPr="00BE0622">
              <w:rPr>
                <w:color w:val="000000"/>
                <w:sz w:val="20"/>
                <w:szCs w:val="20"/>
              </w:rPr>
              <w:t>Not included</w:t>
            </w:r>
          </w:p>
        </w:tc>
        <w:tc>
          <w:tcPr>
            <w:tcW w:w="2515" w:type="dxa"/>
            <w:shd w:val="clear" w:color="auto" w:fill="B3E5A1" w:themeFill="accent6" w:themeFillTint="66"/>
          </w:tcPr>
          <w:p w14:paraId="1B14C7BA" w14:textId="77777777" w:rsidR="00896B0D" w:rsidRPr="00BE0622" w:rsidRDefault="00896B0D" w:rsidP="008C24EE">
            <w:pPr>
              <w:rPr>
                <w:sz w:val="20"/>
                <w:szCs w:val="20"/>
              </w:rPr>
            </w:pPr>
            <w:r w:rsidRPr="00BE0622">
              <w:rPr>
                <w:color w:val="000000"/>
                <w:sz w:val="20"/>
                <w:szCs w:val="20"/>
              </w:rPr>
              <w:t>Not included</w:t>
            </w:r>
          </w:p>
        </w:tc>
      </w:tr>
      <w:tr w:rsidR="00896B0D" w:rsidRPr="00BE0622" w14:paraId="17BF530A" w14:textId="77777777" w:rsidTr="008C24EE">
        <w:tc>
          <w:tcPr>
            <w:tcW w:w="1705" w:type="dxa"/>
            <w:shd w:val="clear" w:color="auto" w:fill="D9D9D9" w:themeFill="background1" w:themeFillShade="D9"/>
          </w:tcPr>
          <w:p w14:paraId="12941BA1" w14:textId="77777777" w:rsidR="00896B0D" w:rsidRPr="00BE0622" w:rsidRDefault="00896B0D" w:rsidP="008C24EE">
            <w:pPr>
              <w:rPr>
                <w:sz w:val="20"/>
                <w:szCs w:val="20"/>
              </w:rPr>
            </w:pPr>
            <w:r w:rsidRPr="00BE0622">
              <w:rPr>
                <w:color w:val="000000"/>
                <w:sz w:val="20"/>
                <w:szCs w:val="20"/>
              </w:rPr>
              <w:t>Steroid Minimization Strategy</w:t>
            </w:r>
          </w:p>
        </w:tc>
        <w:tc>
          <w:tcPr>
            <w:tcW w:w="2520" w:type="dxa"/>
            <w:shd w:val="clear" w:color="auto" w:fill="F6C5AC" w:themeFill="accent2" w:themeFillTint="66"/>
          </w:tcPr>
          <w:p w14:paraId="56F4A330" w14:textId="77777777" w:rsidR="00896B0D" w:rsidRPr="00BE0622" w:rsidRDefault="00896B0D" w:rsidP="008C24EE">
            <w:pPr>
              <w:rPr>
                <w:sz w:val="20"/>
                <w:szCs w:val="20"/>
              </w:rPr>
            </w:pPr>
            <w:r w:rsidRPr="00BE0622">
              <w:rPr>
                <w:sz w:val="20"/>
                <w:szCs w:val="20"/>
              </w:rPr>
              <w:t>Taper to ≤5–7.5 mg/day.</w:t>
            </w:r>
          </w:p>
        </w:tc>
        <w:tc>
          <w:tcPr>
            <w:tcW w:w="2610" w:type="dxa"/>
            <w:shd w:val="clear" w:color="auto" w:fill="C1E4F5" w:themeFill="accent1" w:themeFillTint="33"/>
          </w:tcPr>
          <w:p w14:paraId="02254F05" w14:textId="77777777" w:rsidR="00896B0D" w:rsidRPr="00BE0622" w:rsidRDefault="00896B0D" w:rsidP="008C24EE">
            <w:pPr>
              <w:rPr>
                <w:sz w:val="20"/>
                <w:szCs w:val="20"/>
              </w:rPr>
            </w:pPr>
            <w:r w:rsidRPr="00BE0622">
              <w:rPr>
                <w:sz w:val="20"/>
                <w:szCs w:val="20"/>
              </w:rPr>
              <w:t>Taper to ≤5 mg/day by 6 mo.</w:t>
            </w:r>
          </w:p>
        </w:tc>
        <w:tc>
          <w:tcPr>
            <w:tcW w:w="2515" w:type="dxa"/>
            <w:shd w:val="clear" w:color="auto" w:fill="B3E5A1" w:themeFill="accent6" w:themeFillTint="66"/>
          </w:tcPr>
          <w:p w14:paraId="6C55197A" w14:textId="77777777" w:rsidR="00896B0D" w:rsidRPr="00BE0622" w:rsidRDefault="00896B0D" w:rsidP="008C24EE">
            <w:pPr>
              <w:rPr>
                <w:sz w:val="20"/>
                <w:szCs w:val="20"/>
              </w:rPr>
            </w:pPr>
            <w:r w:rsidRPr="00BE0622">
              <w:rPr>
                <w:sz w:val="20"/>
                <w:szCs w:val="20"/>
              </w:rPr>
              <w:t>Taper to ≤5 mg/day by 3–6 mo.</w:t>
            </w:r>
          </w:p>
        </w:tc>
      </w:tr>
      <w:tr w:rsidR="00896B0D" w:rsidRPr="00BE0622" w14:paraId="543DA170" w14:textId="77777777" w:rsidTr="008C24EE">
        <w:tc>
          <w:tcPr>
            <w:tcW w:w="1705" w:type="dxa"/>
            <w:shd w:val="clear" w:color="auto" w:fill="D9D9D9" w:themeFill="background1" w:themeFillShade="D9"/>
          </w:tcPr>
          <w:p w14:paraId="21E15876" w14:textId="77777777" w:rsidR="00896B0D" w:rsidRPr="00BE0622" w:rsidRDefault="00896B0D" w:rsidP="008C24EE">
            <w:pPr>
              <w:rPr>
                <w:sz w:val="20"/>
                <w:szCs w:val="20"/>
              </w:rPr>
            </w:pPr>
            <w:r w:rsidRPr="00BE0622">
              <w:rPr>
                <w:sz w:val="20"/>
                <w:szCs w:val="20"/>
              </w:rPr>
              <w:t>Nephroprotection</w:t>
            </w:r>
          </w:p>
        </w:tc>
        <w:tc>
          <w:tcPr>
            <w:tcW w:w="2520" w:type="dxa"/>
            <w:shd w:val="clear" w:color="auto" w:fill="F6C5AC" w:themeFill="accent2" w:themeFillTint="66"/>
          </w:tcPr>
          <w:p w14:paraId="5D0B78B0" w14:textId="77777777" w:rsidR="00896B0D" w:rsidRPr="00BE0622" w:rsidRDefault="00896B0D" w:rsidP="008C24EE">
            <w:pPr>
              <w:rPr>
                <w:sz w:val="20"/>
                <w:szCs w:val="20"/>
              </w:rPr>
            </w:pPr>
            <w:r w:rsidRPr="00BE0622">
              <w:rPr>
                <w:sz w:val="20"/>
                <w:szCs w:val="20"/>
              </w:rPr>
              <w:t>SGLT2i, RAAS blockade for CKD.</w:t>
            </w:r>
          </w:p>
        </w:tc>
        <w:tc>
          <w:tcPr>
            <w:tcW w:w="2610" w:type="dxa"/>
            <w:shd w:val="clear" w:color="auto" w:fill="C1E4F5" w:themeFill="accent1" w:themeFillTint="33"/>
          </w:tcPr>
          <w:p w14:paraId="1C21DF44" w14:textId="77777777" w:rsidR="00896B0D" w:rsidRPr="00BE0622" w:rsidRDefault="00896B0D" w:rsidP="008C24EE">
            <w:pPr>
              <w:rPr>
                <w:sz w:val="20"/>
                <w:szCs w:val="20"/>
              </w:rPr>
            </w:pPr>
            <w:r w:rsidRPr="00BE0622">
              <w:rPr>
                <w:sz w:val="20"/>
                <w:szCs w:val="20"/>
              </w:rPr>
              <w:t>SGLT2i for proteinuria, CKD.</w:t>
            </w:r>
          </w:p>
        </w:tc>
        <w:tc>
          <w:tcPr>
            <w:tcW w:w="2515" w:type="dxa"/>
            <w:shd w:val="clear" w:color="auto" w:fill="B3E5A1" w:themeFill="accent6" w:themeFillTint="66"/>
          </w:tcPr>
          <w:p w14:paraId="5A7EF9AF" w14:textId="77777777" w:rsidR="00896B0D" w:rsidRPr="00BE0622" w:rsidRDefault="00896B0D" w:rsidP="008C24EE">
            <w:pPr>
              <w:rPr>
                <w:sz w:val="20"/>
                <w:szCs w:val="20"/>
              </w:rPr>
            </w:pPr>
            <w:r w:rsidRPr="00BE0622">
              <w:rPr>
                <w:sz w:val="20"/>
                <w:szCs w:val="20"/>
              </w:rPr>
              <w:t>SGLT2i, RAAS for proteinuria (&gt;0.5–0.7 g/24h), CKD.</w:t>
            </w:r>
          </w:p>
        </w:tc>
      </w:tr>
    </w:tbl>
    <w:p w14:paraId="5B6730FC" w14:textId="77777777" w:rsidR="00896B0D" w:rsidRDefault="00896B0D" w:rsidP="00896B0D">
      <w:pPr>
        <w:rPr>
          <w:sz w:val="20"/>
          <w:szCs w:val="20"/>
        </w:rPr>
      </w:pPr>
    </w:p>
    <w:p w14:paraId="20CF1196" w14:textId="77777777" w:rsidR="00896B0D" w:rsidRPr="00422ED5" w:rsidRDefault="00896B0D" w:rsidP="00896B0D">
      <w:pPr>
        <w:rPr>
          <w:sz w:val="20"/>
          <w:szCs w:val="20"/>
        </w:rPr>
      </w:pPr>
      <w:r w:rsidRPr="00422ED5">
        <w:rPr>
          <w:noProof/>
          <w:sz w:val="20"/>
          <w:szCs w:val="20"/>
        </w:rPr>
        <mc:AlternateContent>
          <mc:Choice Requires="wps">
            <w:drawing>
              <wp:anchor distT="0" distB="0" distL="114300" distR="114300" simplePos="0" relativeHeight="251659264" behindDoc="0" locked="0" layoutInCell="1" allowOverlap="1" wp14:anchorId="06A503E4" wp14:editId="0392F9CE">
                <wp:simplePos x="0" y="0"/>
                <wp:positionH relativeFrom="column">
                  <wp:posOffset>-9053</wp:posOffset>
                </wp:positionH>
                <wp:positionV relativeFrom="paragraph">
                  <wp:posOffset>31398</wp:posOffset>
                </wp:positionV>
                <wp:extent cx="1901190" cy="1294293"/>
                <wp:effectExtent l="0" t="0" r="16510" b="13970"/>
                <wp:wrapNone/>
                <wp:docPr id="175924593" name="Rounded Rectangle 3"/>
                <wp:cNvGraphicFramePr/>
                <a:graphic xmlns:a="http://schemas.openxmlformats.org/drawingml/2006/main">
                  <a:graphicData uri="http://schemas.microsoft.com/office/word/2010/wordprocessingShape">
                    <wps:wsp>
                      <wps:cNvSpPr/>
                      <wps:spPr>
                        <a:xfrm>
                          <a:off x="0" y="0"/>
                          <a:ext cx="1901190" cy="1294293"/>
                        </a:xfrm>
                        <a:prstGeom prst="roundRect">
                          <a:avLst/>
                        </a:prstGeom>
                        <a:noFill/>
                        <a:ln>
                          <a:solidFill>
                            <a:schemeClr val="bg1">
                              <a:lumMod val="8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B5DE631" w14:textId="77777777" w:rsidR="00896B0D" w:rsidRPr="00BE0622" w:rsidRDefault="00896B0D" w:rsidP="00896B0D">
                            <w:pPr>
                              <w:pStyle w:val="NoSpacing"/>
                              <w:rPr>
                                <w:rFonts w:ascii="Times New Roman" w:hAnsi="Times New Roman" w:cs="Times New Roman"/>
                                <w:b/>
                                <w:bCs/>
                                <w:color w:val="BF4E14" w:themeColor="accent2" w:themeShade="BF"/>
                                <w:sz w:val="20"/>
                                <w:szCs w:val="20"/>
                                <w:shd w:val="clear" w:color="auto" w:fill="FFFFFF"/>
                              </w:rPr>
                            </w:pPr>
                            <w:r w:rsidRPr="00BE0622">
                              <w:rPr>
                                <w:rFonts w:ascii="Times New Roman" w:hAnsi="Times New Roman" w:cs="Times New Roman"/>
                                <w:b/>
                                <w:bCs/>
                                <w:color w:val="BF4E14" w:themeColor="accent2" w:themeShade="BF"/>
                                <w:sz w:val="20"/>
                                <w:szCs w:val="20"/>
                                <w:shd w:val="clear" w:color="auto" w:fill="FFFFFF"/>
                              </w:rPr>
                              <w:t>ACR 2024 Paradigm</w:t>
                            </w:r>
                          </w:p>
                          <w:p w14:paraId="1C54B65A" w14:textId="77777777" w:rsidR="00896B0D" w:rsidRDefault="00896B0D" w:rsidP="00896B0D">
                            <w:pPr>
                              <w:pStyle w:val="NoSpacing"/>
                              <w:rPr>
                                <w:rFonts w:ascii="Times New Roman" w:hAnsi="Times New Roman" w:cs="Times New Roman"/>
                                <w:color w:val="000000" w:themeColor="text1"/>
                                <w:sz w:val="20"/>
                                <w:szCs w:val="20"/>
                              </w:rPr>
                            </w:pPr>
                            <w:r w:rsidRPr="00BE0622">
                              <w:rPr>
                                <w:rFonts w:ascii="Times New Roman" w:hAnsi="Times New Roman" w:cs="Times New Roman"/>
                                <w:color w:val="000000" w:themeColor="text1"/>
                                <w:sz w:val="20"/>
                                <w:szCs w:val="20"/>
                              </w:rPr>
                              <w:t>Triple therapy for class III/IV (± V); MMF or CYC for class V with add-ons. HCQ and SGLT2i recommended</w:t>
                            </w:r>
                          </w:p>
                          <w:p w14:paraId="78E45849" w14:textId="77777777" w:rsidR="00896B0D" w:rsidRDefault="00896B0D" w:rsidP="00896B0D">
                            <w:pPr>
                              <w:pStyle w:val="NoSpacing"/>
                              <w:rPr>
                                <w:rFonts w:ascii="Times New Roman" w:hAnsi="Times New Roman" w:cs="Times New Roman"/>
                                <w:color w:val="000000" w:themeColor="text1"/>
                                <w:sz w:val="20"/>
                                <w:szCs w:val="20"/>
                              </w:rPr>
                            </w:pPr>
                          </w:p>
                          <w:p w14:paraId="6B1BCE32" w14:textId="77777777" w:rsidR="00896B0D" w:rsidRPr="00BE0622" w:rsidRDefault="00896B0D" w:rsidP="00896B0D">
                            <w:pPr>
                              <w:pStyle w:val="NoSpacing"/>
                              <w:rPr>
                                <w:rFonts w:ascii="Times New Roman" w:hAnsi="Times New Roman" w:cs="Times New Roman"/>
                                <w:color w:val="000000" w:themeColor="text1"/>
                                <w:sz w:val="20"/>
                                <w:szCs w:val="20"/>
                              </w:rPr>
                            </w:pPr>
                            <w:r w:rsidRPr="00BE0622">
                              <w:rPr>
                                <w:rFonts w:ascii="Times New Roman" w:hAnsi="Times New Roman" w:cs="Times New Roman"/>
                                <w:color w:val="000000" w:themeColor="text1"/>
                                <w:sz w:val="20"/>
                                <w:szCs w:val="20"/>
                              </w:rPr>
                              <w:t xml:space="preserve"> </w:t>
                            </w:r>
                          </w:p>
                          <w:p w14:paraId="24C240BD" w14:textId="77777777" w:rsidR="00896B0D" w:rsidRPr="00BE0622" w:rsidRDefault="00896B0D" w:rsidP="00896B0D">
                            <w:pPr>
                              <w:jc w:val="center"/>
                              <w:rPr>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503E4" id="Rounded Rectangle 3" o:spid="_x0000_s1026" style="position:absolute;margin-left:-.7pt;margin-top:2.45pt;width:149.7pt;height:10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xrhkwIAAJMFAAAOAAAAZHJzL2Uyb0RvYy54bWysVMFu2zAMvQ/YPwi6r7azdGuCOkXQosOA&#10;ri3aDj0rshQbkEVNUmJnXz9Kcpy063YYdohDieQj+UTy/KJvFdkK6xrQJS1OckqE5lA1el3S70/X&#10;H84ocZ7piinQoqQ74ejF4v27887MxQRqUJWwBEG0m3empLX3Zp5ljteiZe4EjNColGBb5vFo11ll&#10;WYforcomef4p68BWxgIXzuHtVVLSRcSXUnB/J6UTnqiSYm4+fm38rsI3W5yz+doyUzd8SIP9QxYt&#10;azQGHaGumGdkY5vfoNqGW3Ag/QmHNgMpGy5iDVhNkb+q5rFmRsRakBxnRprc/4Plt9tHc2+Rhs64&#10;uUMxVNFL24Z/zI/0kazdSJboPeF4WczyAn+UcNQVk9l0MvsY6MwO7sY6/0VAS4JQUgsbXT3gk0Sm&#10;2PbG+WS/twshNVw3SsVnUTpcOFBNFe7iIfSFuFSWbBm+6GpdRCy1ab9Ble7OTvM8vismEtsomMe0&#10;jpBQF9CzQ9FR8jslQhilH4QkTYVlTmKAESjFYJwL7VNsV7NKpOvij6EjYECWWMiIPQC8rGmPnagZ&#10;7IOriO08Oud/Syw5jx4xMmg/OreNBvsWgMKqhsjJfk9Soiaw5PtVjyZBXEG1u7fEQporZ/h1g099&#10;w5y/ZxYHCdsDl4O/w49U0JUUBomSGuzPt+6DPfY3ainpcDBL6n5smBWUqK8aO39WTKdhkuNhevp5&#10;ggd7rFkda/SmvQTslALXkOFRDPZe7UVpoX3GHbIMUVHFNMfYJeXe7g+XPi0M3EJcLJfRDKfXMH+j&#10;Hw0P4IHg0MVP/TOzZuh3j6NyC/shZvNXHZ9sg6eG5caDbOI4HHgdqMfJj+07bKmwWo7P0eqwSxe/&#10;AAAA//8DAFBLAwQUAAYACAAAACEAW8lY290AAAAIAQAADwAAAGRycy9kb3ducmV2LnhtbEyPwW7C&#10;MBBE75X6D9ZW6g0cKIKQxkGookeECj30aOKtE9VeR7EJ6d93e4Lbjmb0dqbcjN6JAfvYBlIwm2Yg&#10;kOpgWrIKPk/vkxxETJqMdoFQwS9G2FSPD6UuTLjSBw7HZAVDKBZaQZNSV0gZ6wa9jtPQIbH3HXqv&#10;E8veStPrK8O9k/MsW0qvW+IPje7wrcH653jxChbOmnF7WO0PMgydefna2f1yp9Tz07h9BZFwTLcw&#10;/Nfn6lBxp3O4kInCKZjMFpxk1hoE2/N1ztPOfGT5CmRVyvsB1R8AAAD//wMAUEsBAi0AFAAGAAgA&#10;AAAhALaDOJL+AAAA4QEAABMAAAAAAAAAAAAAAAAAAAAAAFtDb250ZW50X1R5cGVzXS54bWxQSwEC&#10;LQAUAAYACAAAACEAOP0h/9YAAACUAQAACwAAAAAAAAAAAAAAAAAvAQAAX3JlbHMvLnJlbHNQSwEC&#10;LQAUAAYACAAAACEAnFca4ZMCAACTBQAADgAAAAAAAAAAAAAAAAAuAgAAZHJzL2Uyb0RvYy54bWxQ&#10;SwECLQAUAAYACAAAACEAW8lY290AAAAIAQAADwAAAAAAAAAAAAAAAADtBAAAZHJzL2Rvd25yZXYu&#10;eG1sUEsFBgAAAAAEAAQA8wAAAPcFAAAAAA==&#10;" filled="f" strokecolor="#d8d8d8 [2732]" strokeweight="1pt">
                <v:stroke joinstyle="miter"/>
                <v:textbox>
                  <w:txbxContent>
                    <w:p w14:paraId="3B5DE631" w14:textId="77777777" w:rsidR="00896B0D" w:rsidRPr="00BE0622" w:rsidRDefault="00896B0D" w:rsidP="00896B0D">
                      <w:pPr>
                        <w:pStyle w:val="NoSpacing"/>
                        <w:rPr>
                          <w:rFonts w:ascii="Times New Roman" w:hAnsi="Times New Roman" w:cs="Times New Roman"/>
                          <w:b/>
                          <w:bCs/>
                          <w:color w:val="BF4E14" w:themeColor="accent2" w:themeShade="BF"/>
                          <w:sz w:val="20"/>
                          <w:szCs w:val="20"/>
                          <w:shd w:val="clear" w:color="auto" w:fill="FFFFFF"/>
                        </w:rPr>
                      </w:pPr>
                      <w:r w:rsidRPr="00BE0622">
                        <w:rPr>
                          <w:rFonts w:ascii="Times New Roman" w:hAnsi="Times New Roman" w:cs="Times New Roman"/>
                          <w:b/>
                          <w:bCs/>
                          <w:color w:val="BF4E14" w:themeColor="accent2" w:themeShade="BF"/>
                          <w:sz w:val="20"/>
                          <w:szCs w:val="20"/>
                          <w:shd w:val="clear" w:color="auto" w:fill="FFFFFF"/>
                        </w:rPr>
                        <w:t>ACR 2024 Paradigm</w:t>
                      </w:r>
                    </w:p>
                    <w:p w14:paraId="1C54B65A" w14:textId="77777777" w:rsidR="00896B0D" w:rsidRDefault="00896B0D" w:rsidP="00896B0D">
                      <w:pPr>
                        <w:pStyle w:val="NoSpacing"/>
                        <w:rPr>
                          <w:rFonts w:ascii="Times New Roman" w:hAnsi="Times New Roman" w:cs="Times New Roman"/>
                          <w:color w:val="000000" w:themeColor="text1"/>
                          <w:sz w:val="20"/>
                          <w:szCs w:val="20"/>
                        </w:rPr>
                      </w:pPr>
                      <w:r w:rsidRPr="00BE0622">
                        <w:rPr>
                          <w:rFonts w:ascii="Times New Roman" w:hAnsi="Times New Roman" w:cs="Times New Roman"/>
                          <w:color w:val="000000" w:themeColor="text1"/>
                          <w:sz w:val="20"/>
                          <w:szCs w:val="20"/>
                        </w:rPr>
                        <w:t>Triple therapy for class III/IV (± V); MMF or CYC for class V with add-ons. HCQ and SGLT2i recommended</w:t>
                      </w:r>
                    </w:p>
                    <w:p w14:paraId="78E45849" w14:textId="77777777" w:rsidR="00896B0D" w:rsidRDefault="00896B0D" w:rsidP="00896B0D">
                      <w:pPr>
                        <w:pStyle w:val="NoSpacing"/>
                        <w:rPr>
                          <w:rFonts w:ascii="Times New Roman" w:hAnsi="Times New Roman" w:cs="Times New Roman"/>
                          <w:color w:val="000000" w:themeColor="text1"/>
                          <w:sz w:val="20"/>
                          <w:szCs w:val="20"/>
                        </w:rPr>
                      </w:pPr>
                    </w:p>
                    <w:p w14:paraId="6B1BCE32" w14:textId="77777777" w:rsidR="00896B0D" w:rsidRPr="00BE0622" w:rsidRDefault="00896B0D" w:rsidP="00896B0D">
                      <w:pPr>
                        <w:pStyle w:val="NoSpacing"/>
                        <w:rPr>
                          <w:rFonts w:ascii="Times New Roman" w:hAnsi="Times New Roman" w:cs="Times New Roman"/>
                          <w:color w:val="000000" w:themeColor="text1"/>
                          <w:sz w:val="20"/>
                          <w:szCs w:val="20"/>
                        </w:rPr>
                      </w:pPr>
                      <w:r w:rsidRPr="00BE0622">
                        <w:rPr>
                          <w:rFonts w:ascii="Times New Roman" w:hAnsi="Times New Roman" w:cs="Times New Roman"/>
                          <w:color w:val="000000" w:themeColor="text1"/>
                          <w:sz w:val="20"/>
                          <w:szCs w:val="20"/>
                        </w:rPr>
                        <w:t xml:space="preserve"> </w:t>
                      </w:r>
                    </w:p>
                    <w:p w14:paraId="24C240BD" w14:textId="77777777" w:rsidR="00896B0D" w:rsidRPr="00BE0622" w:rsidRDefault="00896B0D" w:rsidP="00896B0D">
                      <w:pPr>
                        <w:jc w:val="center"/>
                        <w:rPr>
                          <w:color w:val="000000" w:themeColor="text1"/>
                          <w:sz w:val="20"/>
                          <w:szCs w:val="20"/>
                        </w:rPr>
                      </w:pPr>
                    </w:p>
                  </w:txbxContent>
                </v:textbox>
              </v:roundrect>
            </w:pict>
          </mc:Fallback>
        </mc:AlternateContent>
      </w:r>
      <w:r w:rsidRPr="00422ED5">
        <w:rPr>
          <w:noProof/>
          <w:sz w:val="20"/>
          <w:szCs w:val="20"/>
        </w:rPr>
        <mc:AlternateContent>
          <mc:Choice Requires="wps">
            <w:drawing>
              <wp:anchor distT="0" distB="0" distL="114300" distR="114300" simplePos="0" relativeHeight="251660288" behindDoc="0" locked="0" layoutInCell="1" allowOverlap="1" wp14:anchorId="3885FB40" wp14:editId="07048E8F">
                <wp:simplePos x="0" y="0"/>
                <wp:positionH relativeFrom="column">
                  <wp:posOffset>4063837</wp:posOffset>
                </wp:positionH>
                <wp:positionV relativeFrom="paragraph">
                  <wp:posOffset>33020</wp:posOffset>
                </wp:positionV>
                <wp:extent cx="1939925" cy="1294130"/>
                <wp:effectExtent l="0" t="0" r="15875" b="13970"/>
                <wp:wrapNone/>
                <wp:docPr id="2026140849" name="Rounded Rectangle 3"/>
                <wp:cNvGraphicFramePr/>
                <a:graphic xmlns:a="http://schemas.openxmlformats.org/drawingml/2006/main">
                  <a:graphicData uri="http://schemas.microsoft.com/office/word/2010/wordprocessingShape">
                    <wps:wsp>
                      <wps:cNvSpPr/>
                      <wps:spPr>
                        <a:xfrm>
                          <a:off x="0" y="0"/>
                          <a:ext cx="1939925" cy="1294130"/>
                        </a:xfrm>
                        <a:prstGeom prst="roundRect">
                          <a:avLst/>
                        </a:prstGeom>
                        <a:noFill/>
                        <a:ln>
                          <a:solidFill>
                            <a:schemeClr val="bg1">
                              <a:lumMod val="8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6C6B133" w14:textId="77777777" w:rsidR="00896B0D" w:rsidRPr="00A95F34" w:rsidRDefault="00896B0D" w:rsidP="00896B0D">
                            <w:pPr>
                              <w:pStyle w:val="NoSpacing"/>
                              <w:rPr>
                                <w:rFonts w:ascii="Times New Roman" w:hAnsi="Times New Roman" w:cs="Times New Roman"/>
                                <w:b/>
                                <w:bCs/>
                                <w:color w:val="8DD873" w:themeColor="accent6" w:themeTint="99"/>
                                <w:sz w:val="20"/>
                                <w:szCs w:val="20"/>
                                <w:shd w:val="clear" w:color="auto" w:fill="FFFFFF"/>
                              </w:rPr>
                            </w:pPr>
                            <w:r w:rsidRPr="00A95F34">
                              <w:rPr>
                                <w:rFonts w:ascii="Times New Roman" w:hAnsi="Times New Roman" w:cs="Times New Roman"/>
                                <w:b/>
                                <w:bCs/>
                                <w:color w:val="8DD873" w:themeColor="accent6" w:themeTint="99"/>
                                <w:sz w:val="20"/>
                                <w:szCs w:val="20"/>
                                <w:shd w:val="clear" w:color="auto" w:fill="FFFFFF"/>
                              </w:rPr>
                              <w:t xml:space="preserve">EULAR 2023 Update </w:t>
                            </w:r>
                          </w:p>
                          <w:p w14:paraId="5F88A633" w14:textId="77777777" w:rsidR="00896B0D" w:rsidRDefault="00896B0D" w:rsidP="00896B0D">
                            <w:pPr>
                              <w:pStyle w:val="NoSpacing"/>
                              <w:rPr>
                                <w:rFonts w:ascii="Times New Roman" w:hAnsi="Times New Roman" w:cs="Times New Roman"/>
                                <w:color w:val="000000" w:themeColor="text1"/>
                                <w:sz w:val="20"/>
                                <w:szCs w:val="20"/>
                              </w:rPr>
                            </w:pPr>
                            <w:r w:rsidRPr="00BE0622">
                              <w:rPr>
                                <w:rFonts w:ascii="Times New Roman" w:hAnsi="Times New Roman" w:cs="Times New Roman"/>
                                <w:color w:val="000000" w:themeColor="text1"/>
                                <w:sz w:val="20"/>
                                <w:szCs w:val="20"/>
                              </w:rPr>
                              <w:t xml:space="preserve">Dual therapy with HCQ; belimumab/CNI for high-risk class III/IV (± V); SGLT2i for CKD. EULAR 2025 Congress proposed quadruple therapy, </w:t>
                            </w:r>
                            <w:r>
                              <w:rPr>
                                <w:rFonts w:ascii="Times New Roman" w:hAnsi="Times New Roman" w:cs="Times New Roman"/>
                                <w:color w:val="000000" w:themeColor="text1"/>
                                <w:sz w:val="20"/>
                                <w:szCs w:val="20"/>
                              </w:rPr>
                              <w:t>Obinutuzumab</w:t>
                            </w:r>
                          </w:p>
                          <w:p w14:paraId="185CE6F8" w14:textId="77777777" w:rsidR="00896B0D" w:rsidRPr="00BE0622" w:rsidRDefault="00896B0D" w:rsidP="00896B0D">
                            <w:pPr>
                              <w:pStyle w:val="NoSpacing"/>
                              <w:rPr>
                                <w:rFonts w:ascii="Times New Roman" w:hAnsi="Times New Roman" w:cs="Times New Roman"/>
                                <w:b/>
                                <w:bCs/>
                                <w:color w:val="3A7C22" w:themeColor="accent6" w:themeShade="BF"/>
                                <w:sz w:val="20"/>
                                <w:szCs w:val="20"/>
                                <w:shd w:val="clear" w:color="auto" w:fill="FFFFFF"/>
                              </w:rPr>
                            </w:pPr>
                          </w:p>
                          <w:p w14:paraId="3F1575E9" w14:textId="77777777" w:rsidR="00896B0D" w:rsidRPr="00BE0622" w:rsidRDefault="00896B0D" w:rsidP="00896B0D">
                            <w:pPr>
                              <w:pStyle w:val="NoSpacing"/>
                              <w:rPr>
                                <w:rFonts w:ascii="Times New Roman" w:hAnsi="Times New Roman" w:cs="Times New Roman"/>
                                <w:b/>
                                <w:bCs/>
                                <w:color w:val="000000" w:themeColor="text1"/>
                                <w:sz w:val="20"/>
                                <w:szCs w:val="20"/>
                                <w:shd w:val="clear" w:color="auto" w:fill="FFFFFF"/>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85FB40" id="_x0000_s1027" style="position:absolute;margin-left:320pt;margin-top:2.6pt;width:152.75pt;height:10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pqLlwIAAJoFAAAOAAAAZHJzL2Uyb0RvYy54bWysVE1v2zAMvQ/YfxB0X22n6dYEcYogRYcB&#10;XVu0HXpWZCk2IIuapMTOfv0o+SNZ1+0w7GJLFPme+ERycdXWiuyFdRXonGZnKSVCcygqvc3pt+eb&#10;D5eUOM90wRRokdODcPRq+f7dojFzMYESVCEsQRDt5o3Jaem9mSeJ46WomTsDIzQeSrA187i126Sw&#10;rEH0WiWTNP2YNGALY4EL59B63R3SZcSXUnB/L6UTnqic4t18/Nr43YRvslyw+dYyU1a8vwb7h1vU&#10;rNJIOkJdM8/Izla/QdUVt+BA+jMOdQJSVlzEHDCbLH2VzVPJjIi5oDjOjDK5/wfL7/ZP5sGiDI1x&#10;c4fLkEUrbR3+eD/SRrEOo1ii9YSjMZudz2aTC0o4nmWT2TQ7j3Imx3Bjnf8soCZhkVMLO1084pNE&#10;pdj+1nnkRf/BL1BquKmUis+idDA4UFURbHET6kKslSV7hi+62WYRS+3qr1B0tsuLNB0uEssouEea&#10;EyQkDejJMem48gclAo3Sj0KSqsA0J5FgBOo4GOdC+47blawQnTn7I3UEDMgSExmxe4BfcxqwO2l6&#10;/xAqYjmPwenfLtYFjxGRGbQfg+tKg30LQGFWPXPnP4jUSRNU8u2mRW3w0YNnsGygODxYYqFrL2f4&#10;TYUvfsucf2AW+wk7D2eEv8ePVNDkFPoVJSXYH2/Zgz+WOZ5S0mB/5tR93zErKFFfNDbALJtOQ0PH&#10;zfTi0wQ39vRkc3qid/UasGAynEaGx2Xw92pYSgv1C46SVWDFI6Y5cueUezts1r6bGziMuFitohs2&#10;sWH+Vj8ZHsCDzqGYn9sXZk1f9h475g6GXmbzV4Xf+YZIDaudB1nFrjjq2r8ADoBYxf2wChPmdB+9&#10;jiN1+RMAAP//AwBQSwMEFAAGAAgAAAAhAC0jKpjeAAAACQEAAA8AAABkcnMvZG93bnJldi54bWxM&#10;j81OwzAQhO9IvIO1SNyoTUhCG7KpKlSOVUXh0KMbL06Ef6LYTcPbY070OJrRzDf1eraGTTSG3juE&#10;x4UARq71qnca4fPj7WEJLETplDTeEcIPBVg3tze1rJS/uHeaDlGzVOJCJRG6GIeK89B2ZGVY+IFc&#10;8r78aGVMctRcjfKSyq3hmRAlt7J3aaGTA7121H4fzhYhN1rNm/3zbs/9NKin41bvyi3i/d28eQEW&#10;aY7/YfjDT+jQJKaTPzsVmEEoc5G+RIQiA5b8VV4UwE4ImVgJ4E3Nrx80vwAAAP//AwBQSwECLQAU&#10;AAYACAAAACEAtoM4kv4AAADhAQAAEwAAAAAAAAAAAAAAAAAAAAAAW0NvbnRlbnRfVHlwZXNdLnht&#10;bFBLAQItABQABgAIAAAAIQA4/SH/1gAAAJQBAAALAAAAAAAAAAAAAAAAAC8BAABfcmVscy8ucmVs&#10;c1BLAQItABQABgAIAAAAIQCibpqLlwIAAJoFAAAOAAAAAAAAAAAAAAAAAC4CAABkcnMvZTJvRG9j&#10;LnhtbFBLAQItABQABgAIAAAAIQAtIyqY3gAAAAkBAAAPAAAAAAAAAAAAAAAAAPEEAABkcnMvZG93&#10;bnJldi54bWxQSwUGAAAAAAQABADzAAAA/AUAAAAA&#10;" filled="f" strokecolor="#d8d8d8 [2732]" strokeweight="1pt">
                <v:stroke joinstyle="miter"/>
                <v:textbox>
                  <w:txbxContent>
                    <w:p w14:paraId="16C6B133" w14:textId="77777777" w:rsidR="00896B0D" w:rsidRPr="00A95F34" w:rsidRDefault="00896B0D" w:rsidP="00896B0D">
                      <w:pPr>
                        <w:pStyle w:val="NoSpacing"/>
                        <w:rPr>
                          <w:rFonts w:ascii="Times New Roman" w:hAnsi="Times New Roman" w:cs="Times New Roman"/>
                          <w:b/>
                          <w:bCs/>
                          <w:color w:val="8DD873" w:themeColor="accent6" w:themeTint="99"/>
                          <w:sz w:val="20"/>
                          <w:szCs w:val="20"/>
                          <w:shd w:val="clear" w:color="auto" w:fill="FFFFFF"/>
                        </w:rPr>
                      </w:pPr>
                      <w:r w:rsidRPr="00A95F34">
                        <w:rPr>
                          <w:rFonts w:ascii="Times New Roman" w:hAnsi="Times New Roman" w:cs="Times New Roman"/>
                          <w:b/>
                          <w:bCs/>
                          <w:color w:val="8DD873" w:themeColor="accent6" w:themeTint="99"/>
                          <w:sz w:val="20"/>
                          <w:szCs w:val="20"/>
                          <w:shd w:val="clear" w:color="auto" w:fill="FFFFFF"/>
                        </w:rPr>
                        <w:t xml:space="preserve">EULAR 2023 Update </w:t>
                      </w:r>
                    </w:p>
                    <w:p w14:paraId="5F88A633" w14:textId="77777777" w:rsidR="00896B0D" w:rsidRDefault="00896B0D" w:rsidP="00896B0D">
                      <w:pPr>
                        <w:pStyle w:val="NoSpacing"/>
                        <w:rPr>
                          <w:rFonts w:ascii="Times New Roman" w:hAnsi="Times New Roman" w:cs="Times New Roman"/>
                          <w:color w:val="000000" w:themeColor="text1"/>
                          <w:sz w:val="20"/>
                          <w:szCs w:val="20"/>
                        </w:rPr>
                      </w:pPr>
                      <w:r w:rsidRPr="00BE0622">
                        <w:rPr>
                          <w:rFonts w:ascii="Times New Roman" w:hAnsi="Times New Roman" w:cs="Times New Roman"/>
                          <w:color w:val="000000" w:themeColor="text1"/>
                          <w:sz w:val="20"/>
                          <w:szCs w:val="20"/>
                        </w:rPr>
                        <w:t xml:space="preserve">Dual therapy with HCQ; belimumab/CNI for high-risk class III/IV (± V); SGLT2i for CKD. EULAR 2025 Congress proposed quadruple therapy, </w:t>
                      </w:r>
                      <w:r>
                        <w:rPr>
                          <w:rFonts w:ascii="Times New Roman" w:hAnsi="Times New Roman" w:cs="Times New Roman"/>
                          <w:color w:val="000000" w:themeColor="text1"/>
                          <w:sz w:val="20"/>
                          <w:szCs w:val="20"/>
                        </w:rPr>
                        <w:t>Obinutuzumab</w:t>
                      </w:r>
                    </w:p>
                    <w:p w14:paraId="185CE6F8" w14:textId="77777777" w:rsidR="00896B0D" w:rsidRPr="00BE0622" w:rsidRDefault="00896B0D" w:rsidP="00896B0D">
                      <w:pPr>
                        <w:pStyle w:val="NoSpacing"/>
                        <w:rPr>
                          <w:rFonts w:ascii="Times New Roman" w:hAnsi="Times New Roman" w:cs="Times New Roman"/>
                          <w:b/>
                          <w:bCs/>
                          <w:color w:val="3A7C22" w:themeColor="accent6" w:themeShade="BF"/>
                          <w:sz w:val="20"/>
                          <w:szCs w:val="20"/>
                          <w:shd w:val="clear" w:color="auto" w:fill="FFFFFF"/>
                        </w:rPr>
                      </w:pPr>
                    </w:p>
                    <w:p w14:paraId="3F1575E9" w14:textId="77777777" w:rsidR="00896B0D" w:rsidRPr="00BE0622" w:rsidRDefault="00896B0D" w:rsidP="00896B0D">
                      <w:pPr>
                        <w:pStyle w:val="NoSpacing"/>
                        <w:rPr>
                          <w:rFonts w:ascii="Times New Roman" w:hAnsi="Times New Roman" w:cs="Times New Roman"/>
                          <w:b/>
                          <w:bCs/>
                          <w:color w:val="000000" w:themeColor="text1"/>
                          <w:sz w:val="20"/>
                          <w:szCs w:val="20"/>
                          <w:shd w:val="clear" w:color="auto" w:fill="FFFFFF"/>
                        </w:rPr>
                      </w:pPr>
                    </w:p>
                  </w:txbxContent>
                </v:textbox>
              </v:roundrect>
            </w:pict>
          </mc:Fallback>
        </mc:AlternateContent>
      </w:r>
      <w:r w:rsidRPr="00422ED5">
        <w:rPr>
          <w:noProof/>
          <w:sz w:val="20"/>
          <w:szCs w:val="20"/>
        </w:rPr>
        <mc:AlternateContent>
          <mc:Choice Requires="wps">
            <w:drawing>
              <wp:anchor distT="0" distB="0" distL="114300" distR="114300" simplePos="0" relativeHeight="251661312" behindDoc="0" locked="0" layoutInCell="1" allowOverlap="1" wp14:anchorId="54DDC24A" wp14:editId="5A736F84">
                <wp:simplePos x="0" y="0"/>
                <wp:positionH relativeFrom="column">
                  <wp:posOffset>2035647</wp:posOffset>
                </wp:positionH>
                <wp:positionV relativeFrom="paragraph">
                  <wp:posOffset>41910</wp:posOffset>
                </wp:positionV>
                <wp:extent cx="1901190" cy="1285240"/>
                <wp:effectExtent l="0" t="0" r="16510" b="10160"/>
                <wp:wrapNone/>
                <wp:docPr id="1967597710" name="Rounded Rectangle 3"/>
                <wp:cNvGraphicFramePr/>
                <a:graphic xmlns:a="http://schemas.openxmlformats.org/drawingml/2006/main">
                  <a:graphicData uri="http://schemas.microsoft.com/office/word/2010/wordprocessingShape">
                    <wps:wsp>
                      <wps:cNvSpPr/>
                      <wps:spPr>
                        <a:xfrm>
                          <a:off x="0" y="0"/>
                          <a:ext cx="1901190" cy="1285240"/>
                        </a:xfrm>
                        <a:prstGeom prst="roundRect">
                          <a:avLst/>
                        </a:prstGeom>
                        <a:noFill/>
                        <a:ln>
                          <a:solidFill>
                            <a:schemeClr val="bg1">
                              <a:lumMod val="8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BF3E16B" w14:textId="77777777" w:rsidR="00896B0D" w:rsidRDefault="00896B0D" w:rsidP="00896B0D">
                            <w:pPr>
                              <w:pStyle w:val="NormalWeb"/>
                              <w:rPr>
                                <w:color w:val="000000" w:themeColor="text1"/>
                                <w:sz w:val="20"/>
                                <w:szCs w:val="20"/>
                              </w:rPr>
                            </w:pPr>
                            <w:r w:rsidRPr="00BE0622">
                              <w:rPr>
                                <w:b/>
                                <w:bCs/>
                                <w:color w:val="0070C0"/>
                                <w:sz w:val="20"/>
                                <w:szCs w:val="20"/>
                                <w:shd w:val="clear" w:color="auto" w:fill="FFFFFF"/>
                              </w:rPr>
                              <w:t>KDIGO 2024 Integration</w:t>
                            </w:r>
                            <w:r w:rsidRPr="00BE0622">
                              <w:rPr>
                                <w:b/>
                                <w:bCs/>
                                <w:color w:val="000000"/>
                                <w:sz w:val="20"/>
                                <w:szCs w:val="20"/>
                              </w:rPr>
                              <w:br/>
                            </w:r>
                            <w:r w:rsidRPr="00BE0622">
                              <w:rPr>
                                <w:color w:val="000000" w:themeColor="text1"/>
                                <w:sz w:val="20"/>
                                <w:szCs w:val="20"/>
                              </w:rPr>
                              <w:t>Flexible dual/triple regimens for class III/IV (± V); MMF or CYC for class V with add-ons. HCQ and SGLT2i supported</w:t>
                            </w:r>
                          </w:p>
                          <w:p w14:paraId="161BA170" w14:textId="77777777" w:rsidR="00896B0D" w:rsidRPr="00BE0622" w:rsidRDefault="00896B0D" w:rsidP="00896B0D">
                            <w:pPr>
                              <w:pStyle w:val="NormalWeb"/>
                              <w:rPr>
                                <w:color w:val="000000" w:themeColor="text1"/>
                                <w:sz w:val="20"/>
                                <w:szCs w:val="20"/>
                              </w:rPr>
                            </w:pPr>
                          </w:p>
                          <w:p w14:paraId="3D0CF7D1" w14:textId="77777777" w:rsidR="00896B0D" w:rsidRPr="00BE0622" w:rsidRDefault="00896B0D" w:rsidP="00896B0D">
                            <w:pPr>
                              <w:rPr>
                                <w:b/>
                                <w:bCs/>
                                <w:color w:val="000000" w:themeColor="text1"/>
                                <w:sz w:val="20"/>
                                <w:szCs w:val="20"/>
                                <w:shd w:val="clear" w:color="auto" w:fill="FFFFFF"/>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DDC24A" id="_x0000_s1028" style="position:absolute;margin-left:160.3pt;margin-top:3.3pt;width:149.7pt;height:10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FxrlgIAAJoFAAAOAAAAZHJzL2Uyb0RvYy54bWysVE1v2zAMvQ/YfxB0X20H7dYGdYqgRYcB&#10;XRu0HXpWZCkWIIuapMTOfv0o+SNZ1+0w7BBHosj3xCeSl1ddo8lOOK/AlLQ4ySkRhkOlzKak355v&#10;P5xT4gMzFdNgREn3wtOrxft3l62dixnUoCvhCIIYP29tSesQ7DzLPK9Fw/wJWGHwUIJrWMCt22SV&#10;Yy2iNzqb5fnHrAVXWQdceI/Wm/6QLhK+lIKHBym9CESXFO8W0tel7zp+s8Ulm28cs7XiwzXYP9yi&#10;Ycog6QR1wwIjW6d+g2oUd+BBhhMOTQZSKi5SDphNkb/K5qlmVqRcUBxvJ5n8/4Pl97snu3IoQ2v9&#10;3OMyZtFJ18R/vB/pklj7SSzRBcLRWFzkBf4o4XhWzM7PZqdJzuwQbp0PnwU0JC5K6mBrqkd8kqQU&#10;2935gLzoP/pFSgO3Suv0LNpEgwetqmhLm1gX4lo7smP4outNkbD0tvkKVW87P8vz8SKpjKJ7ojlC&#10;QtKInh2STquw1yLSaPMoJFEVpjlLBBNQz8E4Fyb03L5mlejNxR+pE2BElpjIhD0A/JrTiN1LM/jH&#10;UJHKeQrO/3axPniKSMxgwhTcKAPuLQCNWQ3Mvf8oUi9NVCl06w61idKgZ7SsodqvHHHQt5e3/Fbh&#10;i98xH1bMYT9hleCMCA/4kRraksKwoqQG9+Mte/THMsdTSlrsz5L671vmBCX6i8EGuChOsd5ISJvT&#10;s08z3Ljjk/Xxidk214AFU+A0sjwto3/Q41I6aF5wlCwjKx4xw5G7pDy4cXMd+rmBw4iL5TK5YRNb&#10;Fu7Mk+URPOoci/m5e2HODmUfsGPuYexlNn9V+L1vjDSw3AaQKnXFQdfhBXAApCoehlWcMMf75HUY&#10;qYufAAAA//8DAFBLAwQUAAYACAAAACEAMb+IbtwAAAAJAQAADwAAAGRycy9kb3ducmV2LnhtbEyP&#10;wU7DMBBE70j8g7VI3KhNikIbsqkqVI5VReHA0Y2NE2Gvo9hNw9+znOC0Ws1o5k29mYMXkx1THwnh&#10;fqFAWGqj6ckhvL+93K1ApKzJaB/JInzbBJvm+qrWlYkXerXTMTvBIZQqjdDlPFRSprazQadFHCyx&#10;9hnHoDO/o5Nm1BcOD14WSpUy6J64odODfe5s+3U8B4QH78y8PTzuDzJOg1l+7Ny+3CHe3szbJxDZ&#10;zvnPDL/4jA4NM53imUwSHmFZqJKtCCUf1kuuA3FCKNRagWxq+X9B8wMAAP//AwBQSwECLQAUAAYA&#10;CAAAACEAtoM4kv4AAADhAQAAEwAAAAAAAAAAAAAAAAAAAAAAW0NvbnRlbnRfVHlwZXNdLnhtbFBL&#10;AQItABQABgAIAAAAIQA4/SH/1gAAAJQBAAALAAAAAAAAAAAAAAAAAC8BAABfcmVscy8ucmVsc1BL&#10;AQItABQABgAIAAAAIQBn4FxrlgIAAJoFAAAOAAAAAAAAAAAAAAAAAC4CAABkcnMvZTJvRG9jLnht&#10;bFBLAQItABQABgAIAAAAIQAxv4hu3AAAAAkBAAAPAAAAAAAAAAAAAAAAAPAEAABkcnMvZG93bnJl&#10;di54bWxQSwUGAAAAAAQABADzAAAA+QUAAAAA&#10;" filled="f" strokecolor="#d8d8d8 [2732]" strokeweight="1pt">
                <v:stroke joinstyle="miter"/>
                <v:textbox>
                  <w:txbxContent>
                    <w:p w14:paraId="3BF3E16B" w14:textId="77777777" w:rsidR="00896B0D" w:rsidRDefault="00896B0D" w:rsidP="00896B0D">
                      <w:pPr>
                        <w:pStyle w:val="NormalWeb"/>
                        <w:rPr>
                          <w:color w:val="000000" w:themeColor="text1"/>
                          <w:sz w:val="20"/>
                          <w:szCs w:val="20"/>
                        </w:rPr>
                      </w:pPr>
                      <w:r w:rsidRPr="00BE0622">
                        <w:rPr>
                          <w:b/>
                          <w:bCs/>
                          <w:color w:val="0070C0"/>
                          <w:sz w:val="20"/>
                          <w:szCs w:val="20"/>
                          <w:shd w:val="clear" w:color="auto" w:fill="FFFFFF"/>
                        </w:rPr>
                        <w:t>KDIGO 2024 Integration</w:t>
                      </w:r>
                      <w:r w:rsidRPr="00BE0622">
                        <w:rPr>
                          <w:b/>
                          <w:bCs/>
                          <w:color w:val="000000"/>
                          <w:sz w:val="20"/>
                          <w:szCs w:val="20"/>
                        </w:rPr>
                        <w:br/>
                      </w:r>
                      <w:r w:rsidRPr="00BE0622">
                        <w:rPr>
                          <w:color w:val="000000" w:themeColor="text1"/>
                          <w:sz w:val="20"/>
                          <w:szCs w:val="20"/>
                        </w:rPr>
                        <w:t>Flexible dual/triple regimens for class III/IV (± V); MMF or CYC for class V with add-ons. HCQ and SGLT2i supported</w:t>
                      </w:r>
                    </w:p>
                    <w:p w14:paraId="161BA170" w14:textId="77777777" w:rsidR="00896B0D" w:rsidRPr="00BE0622" w:rsidRDefault="00896B0D" w:rsidP="00896B0D">
                      <w:pPr>
                        <w:pStyle w:val="NormalWeb"/>
                        <w:rPr>
                          <w:color w:val="000000" w:themeColor="text1"/>
                          <w:sz w:val="20"/>
                          <w:szCs w:val="20"/>
                        </w:rPr>
                      </w:pPr>
                    </w:p>
                    <w:p w14:paraId="3D0CF7D1" w14:textId="77777777" w:rsidR="00896B0D" w:rsidRPr="00BE0622" w:rsidRDefault="00896B0D" w:rsidP="00896B0D">
                      <w:pPr>
                        <w:rPr>
                          <w:b/>
                          <w:bCs/>
                          <w:color w:val="000000" w:themeColor="text1"/>
                          <w:sz w:val="20"/>
                          <w:szCs w:val="20"/>
                          <w:shd w:val="clear" w:color="auto" w:fill="FFFFFF"/>
                        </w:rPr>
                      </w:pPr>
                    </w:p>
                  </w:txbxContent>
                </v:textbox>
              </v:roundrect>
            </w:pict>
          </mc:Fallback>
        </mc:AlternateContent>
      </w:r>
    </w:p>
    <w:p w14:paraId="42E25965" w14:textId="77777777" w:rsidR="00896B0D" w:rsidRPr="00422ED5" w:rsidRDefault="00896B0D" w:rsidP="00896B0D">
      <w:pPr>
        <w:spacing w:before="100" w:beforeAutospacing="1" w:after="100" w:afterAutospacing="1"/>
        <w:rPr>
          <w:b/>
          <w:bCs/>
          <w:sz w:val="20"/>
          <w:szCs w:val="20"/>
        </w:rPr>
      </w:pPr>
    </w:p>
    <w:p w14:paraId="008C507C" w14:textId="77777777" w:rsidR="00896B0D" w:rsidRPr="00422ED5" w:rsidRDefault="00896B0D" w:rsidP="00896B0D">
      <w:pPr>
        <w:spacing w:before="100" w:beforeAutospacing="1" w:after="100" w:afterAutospacing="1"/>
        <w:rPr>
          <w:b/>
          <w:bCs/>
        </w:rPr>
      </w:pPr>
    </w:p>
    <w:p w14:paraId="21F861E4" w14:textId="77777777" w:rsidR="00896B0D" w:rsidRPr="00422ED5" w:rsidRDefault="00896B0D" w:rsidP="00896B0D">
      <w:pPr>
        <w:spacing w:before="100" w:beforeAutospacing="1" w:after="100" w:afterAutospacing="1"/>
        <w:rPr>
          <w:b/>
          <w:bCs/>
        </w:rPr>
      </w:pPr>
    </w:p>
    <w:p w14:paraId="50D02E30" w14:textId="77777777" w:rsidR="00896B0D" w:rsidRDefault="00896B0D" w:rsidP="00896B0D">
      <w:pPr>
        <w:spacing w:before="100" w:beforeAutospacing="1" w:after="100" w:afterAutospacing="1" w:line="480" w:lineRule="auto"/>
        <w:rPr>
          <w:color w:val="222222"/>
          <w:shd w:val="clear" w:color="auto" w:fill="FFFFFF"/>
        </w:rPr>
      </w:pPr>
      <w:r w:rsidRPr="00422ED5">
        <w:rPr>
          <w:b/>
          <w:bCs/>
          <w:color w:val="222222"/>
          <w:shd w:val="clear" w:color="auto" w:fill="FFFFFF"/>
        </w:rPr>
        <w:t xml:space="preserve">Table </w:t>
      </w:r>
      <w:r>
        <w:rPr>
          <w:b/>
          <w:bCs/>
          <w:color w:val="222222"/>
          <w:shd w:val="clear" w:color="auto" w:fill="FFFFFF"/>
        </w:rPr>
        <w:t>3</w:t>
      </w:r>
      <w:r w:rsidRPr="00BE0622">
        <w:rPr>
          <w:color w:val="222222"/>
          <w:shd w:val="clear" w:color="auto" w:fill="FFFFFF"/>
        </w:rPr>
        <w:t xml:space="preserve"> compares ACR 2024, KDIGO 2024, and EULAR 2023 guidelines for LN class III/IV (± V), covering induction, new agents, steroid minimization, maintenance, and nephroprotection. ACR emphasizes triple therapy, KDIGO offers flexible regimens, and EULAR prioritizes dual therapy with HCQ. All recommend HCQ, steroid tapering (≤5–7.5 mg/day), and SGLT2 inhibitors. Class V LN uses MMF or CYC with belimumab/CNI add-ons. EULAR 2025 Congress proposed quadruple therapy and obinutuzumab pending publication, guiding evidence-based LN management.</w:t>
      </w:r>
    </w:p>
    <w:p w14:paraId="5D88BBEB" w14:textId="77777777" w:rsidR="00896B0D" w:rsidRPr="00285520" w:rsidRDefault="00896B0D" w:rsidP="00896B0D">
      <w:pPr>
        <w:spacing w:before="100" w:beforeAutospacing="1" w:after="100" w:afterAutospacing="1" w:line="480" w:lineRule="auto"/>
        <w:rPr>
          <w:rStyle w:val="Strong"/>
          <w:b w:val="0"/>
          <w:bCs w:val="0"/>
        </w:rPr>
      </w:pPr>
      <w:r w:rsidRPr="00285520">
        <w:rPr>
          <w:rStyle w:val="Strong"/>
        </w:rPr>
        <w:t>Abbreviations: GC = glucocorticoids; MMF = mycophenolate mofetil; CYC = cyclophosphamide; CNI = calcineurin inhibitor; AZA = azathioprine; ELNT = Euro-Lupus Nephritis Trial; HCQ = hydroxychloroquine; SGLT2i = sodium-glucose cotransporter-2 inhibitor; RAAS = renin-angiotensin-aldosterone system; CKD = chronic kidney disease.</w:t>
      </w:r>
    </w:p>
    <w:p w14:paraId="619E0BAC" w14:textId="77777777" w:rsidR="00896B0D" w:rsidRDefault="00896B0D" w:rsidP="00896B0D">
      <w:pPr>
        <w:spacing w:before="100" w:beforeAutospacing="1" w:after="100" w:afterAutospacing="1"/>
        <w:rPr>
          <w:rStyle w:val="Strong"/>
        </w:rPr>
      </w:pPr>
      <w:r>
        <w:rPr>
          <w:rStyle w:val="Strong"/>
        </w:rPr>
        <w:br w:type="page"/>
      </w:r>
    </w:p>
    <w:p w14:paraId="0732B582" w14:textId="77777777" w:rsidR="00896B0D" w:rsidRPr="00C201BE" w:rsidRDefault="00896B0D" w:rsidP="00896B0D">
      <w:pPr>
        <w:spacing w:before="100" w:beforeAutospacing="1" w:after="100" w:afterAutospacing="1" w:line="480" w:lineRule="auto"/>
        <w:rPr>
          <w:rStyle w:val="Strong"/>
          <w:b w:val="0"/>
          <w:bCs w:val="0"/>
        </w:rPr>
      </w:pPr>
      <w:r w:rsidRPr="00422ED5">
        <w:rPr>
          <w:rStyle w:val="Strong"/>
        </w:rPr>
        <w:lastRenderedPageBreak/>
        <w:t xml:space="preserve">Table </w:t>
      </w:r>
      <w:r>
        <w:rPr>
          <w:rStyle w:val="Strong"/>
        </w:rPr>
        <w:t>4</w:t>
      </w:r>
      <w:r w:rsidRPr="00422ED5">
        <w:rPr>
          <w:rStyle w:val="Strong"/>
        </w:rPr>
        <w:t>. Estimated Annual Cost and Cost per Responder (CPR) for Therapies in Lupus Nephritis.</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896B0D" w:rsidRPr="00C201BE" w14:paraId="4EE1CD74" w14:textId="77777777" w:rsidTr="008C24EE">
        <w:tc>
          <w:tcPr>
            <w:tcW w:w="1558" w:type="dxa"/>
            <w:shd w:val="clear" w:color="auto" w:fill="D9D9D9" w:themeFill="background1" w:themeFillShade="D9"/>
            <w:vAlign w:val="bottom"/>
          </w:tcPr>
          <w:p w14:paraId="3F69DE8B" w14:textId="77777777" w:rsidR="00896B0D" w:rsidRPr="00C201BE" w:rsidRDefault="00896B0D" w:rsidP="008C24EE">
            <w:pPr>
              <w:jc w:val="both"/>
              <w:rPr>
                <w:rStyle w:val="Strong"/>
                <w:b w:val="0"/>
                <w:bCs w:val="0"/>
              </w:rPr>
            </w:pPr>
            <w:r w:rsidRPr="00C201BE">
              <w:rPr>
                <w:b/>
                <w:bCs/>
              </w:rPr>
              <w:t>Drug</w:t>
            </w:r>
          </w:p>
        </w:tc>
        <w:tc>
          <w:tcPr>
            <w:tcW w:w="1558" w:type="dxa"/>
            <w:shd w:val="clear" w:color="auto" w:fill="D9D9D9" w:themeFill="background1" w:themeFillShade="D9"/>
            <w:vAlign w:val="bottom"/>
          </w:tcPr>
          <w:p w14:paraId="5B8B5BAD" w14:textId="77777777" w:rsidR="00896B0D" w:rsidRPr="00C201BE" w:rsidRDefault="00896B0D" w:rsidP="008C24EE">
            <w:pPr>
              <w:jc w:val="both"/>
              <w:rPr>
                <w:rStyle w:val="Strong"/>
                <w:b w:val="0"/>
                <w:bCs w:val="0"/>
              </w:rPr>
            </w:pPr>
            <w:r w:rsidRPr="00C201BE">
              <w:rPr>
                <w:b/>
                <w:bCs/>
              </w:rPr>
              <w:t>Trial</w:t>
            </w:r>
          </w:p>
        </w:tc>
        <w:tc>
          <w:tcPr>
            <w:tcW w:w="1558" w:type="dxa"/>
            <w:shd w:val="clear" w:color="auto" w:fill="D9D9D9" w:themeFill="background1" w:themeFillShade="D9"/>
            <w:vAlign w:val="bottom"/>
          </w:tcPr>
          <w:p w14:paraId="0C48EC3E" w14:textId="77777777" w:rsidR="00896B0D" w:rsidRPr="00C201BE" w:rsidRDefault="00896B0D" w:rsidP="008C24EE">
            <w:pPr>
              <w:jc w:val="both"/>
              <w:rPr>
                <w:rStyle w:val="Strong"/>
                <w:b w:val="0"/>
                <w:bCs w:val="0"/>
              </w:rPr>
            </w:pPr>
            <w:r w:rsidRPr="00C201BE">
              <w:rPr>
                <w:b/>
                <w:bCs/>
              </w:rPr>
              <w:t>CRR (%)</w:t>
            </w:r>
          </w:p>
        </w:tc>
        <w:tc>
          <w:tcPr>
            <w:tcW w:w="1558" w:type="dxa"/>
            <w:shd w:val="clear" w:color="auto" w:fill="D9D9D9" w:themeFill="background1" w:themeFillShade="D9"/>
            <w:vAlign w:val="bottom"/>
          </w:tcPr>
          <w:p w14:paraId="649BCBAE" w14:textId="77777777" w:rsidR="00896B0D" w:rsidRPr="00C201BE" w:rsidRDefault="00896B0D" w:rsidP="008C24EE">
            <w:pPr>
              <w:jc w:val="both"/>
              <w:rPr>
                <w:rStyle w:val="Strong"/>
                <w:b w:val="0"/>
                <w:bCs w:val="0"/>
              </w:rPr>
            </w:pPr>
            <w:r w:rsidRPr="00C201BE">
              <w:rPr>
                <w:b/>
                <w:bCs/>
              </w:rPr>
              <w:t>CRR Timepoint used for cost calculation</w:t>
            </w:r>
          </w:p>
        </w:tc>
        <w:tc>
          <w:tcPr>
            <w:tcW w:w="1559" w:type="dxa"/>
            <w:shd w:val="clear" w:color="auto" w:fill="D9D9D9" w:themeFill="background1" w:themeFillShade="D9"/>
            <w:vAlign w:val="bottom"/>
          </w:tcPr>
          <w:p w14:paraId="47E1C527" w14:textId="77777777" w:rsidR="00896B0D" w:rsidRPr="00C201BE" w:rsidRDefault="00896B0D" w:rsidP="008C24EE">
            <w:pPr>
              <w:jc w:val="both"/>
              <w:rPr>
                <w:rStyle w:val="Strong"/>
                <w:b w:val="0"/>
                <w:bCs w:val="0"/>
              </w:rPr>
            </w:pPr>
            <w:r w:rsidRPr="00C201BE">
              <w:rPr>
                <w:b/>
                <w:bCs/>
              </w:rPr>
              <w:t>Annual Drug Acquisition Cost (USD)</w:t>
            </w:r>
          </w:p>
        </w:tc>
        <w:tc>
          <w:tcPr>
            <w:tcW w:w="1559" w:type="dxa"/>
            <w:shd w:val="clear" w:color="auto" w:fill="D9D9D9" w:themeFill="background1" w:themeFillShade="D9"/>
            <w:vAlign w:val="bottom"/>
          </w:tcPr>
          <w:p w14:paraId="3B553512" w14:textId="77777777" w:rsidR="00896B0D" w:rsidRPr="00C201BE" w:rsidRDefault="00896B0D" w:rsidP="008C24EE">
            <w:pPr>
              <w:jc w:val="both"/>
              <w:rPr>
                <w:rStyle w:val="Strong"/>
                <w:b w:val="0"/>
                <w:bCs w:val="0"/>
              </w:rPr>
            </w:pPr>
            <w:r w:rsidRPr="00C201BE">
              <w:rPr>
                <w:b/>
                <w:bCs/>
              </w:rPr>
              <w:t>CPR (USD)</w:t>
            </w:r>
          </w:p>
        </w:tc>
      </w:tr>
      <w:tr w:rsidR="00896B0D" w:rsidRPr="00C201BE" w14:paraId="0566A24A" w14:textId="77777777" w:rsidTr="008C24EE">
        <w:tc>
          <w:tcPr>
            <w:tcW w:w="1558" w:type="dxa"/>
            <w:shd w:val="clear" w:color="auto" w:fill="FFE5A1"/>
            <w:vAlign w:val="bottom"/>
          </w:tcPr>
          <w:p w14:paraId="4793B3C8" w14:textId="77777777" w:rsidR="00896B0D" w:rsidRPr="00C201BE" w:rsidRDefault="00896B0D" w:rsidP="008C24EE">
            <w:pPr>
              <w:rPr>
                <w:rStyle w:val="Strong"/>
                <w:b w:val="0"/>
                <w:bCs w:val="0"/>
              </w:rPr>
            </w:pPr>
            <w:r w:rsidRPr="00C201BE">
              <w:t>Standard of Care (MMF + HCQ)</w:t>
            </w:r>
          </w:p>
        </w:tc>
        <w:tc>
          <w:tcPr>
            <w:tcW w:w="1558" w:type="dxa"/>
            <w:shd w:val="clear" w:color="auto" w:fill="FFE5A1"/>
            <w:vAlign w:val="bottom"/>
          </w:tcPr>
          <w:p w14:paraId="0864D4EE" w14:textId="77777777" w:rsidR="00896B0D" w:rsidRPr="00C201BE" w:rsidRDefault="00896B0D" w:rsidP="008C24EE">
            <w:pPr>
              <w:jc w:val="both"/>
              <w:rPr>
                <w:rStyle w:val="Strong"/>
                <w:b w:val="0"/>
                <w:bCs w:val="0"/>
              </w:rPr>
            </w:pPr>
            <w:r w:rsidRPr="00C201BE">
              <w:t>N/A</w:t>
            </w:r>
          </w:p>
        </w:tc>
        <w:tc>
          <w:tcPr>
            <w:tcW w:w="1558" w:type="dxa"/>
            <w:shd w:val="clear" w:color="auto" w:fill="FFE5A1"/>
            <w:vAlign w:val="bottom"/>
          </w:tcPr>
          <w:p w14:paraId="1F4956B3" w14:textId="77777777" w:rsidR="00896B0D" w:rsidRPr="00C201BE" w:rsidRDefault="00896B0D" w:rsidP="008C24EE">
            <w:pPr>
              <w:jc w:val="both"/>
              <w:rPr>
                <w:rStyle w:val="Strong"/>
                <w:b w:val="0"/>
                <w:bCs w:val="0"/>
              </w:rPr>
            </w:pPr>
            <w:r w:rsidRPr="00C201BE">
              <w:t>N/A</w:t>
            </w:r>
          </w:p>
        </w:tc>
        <w:tc>
          <w:tcPr>
            <w:tcW w:w="1558" w:type="dxa"/>
            <w:shd w:val="clear" w:color="auto" w:fill="FFE5A1"/>
            <w:vAlign w:val="bottom"/>
          </w:tcPr>
          <w:p w14:paraId="5B8FD942" w14:textId="77777777" w:rsidR="00896B0D" w:rsidRPr="00C201BE" w:rsidRDefault="00896B0D" w:rsidP="008C24EE">
            <w:pPr>
              <w:jc w:val="both"/>
              <w:rPr>
                <w:rStyle w:val="Strong"/>
                <w:b w:val="0"/>
                <w:bCs w:val="0"/>
              </w:rPr>
            </w:pPr>
            <w:r w:rsidRPr="00C201BE">
              <w:t>N/A</w:t>
            </w:r>
          </w:p>
        </w:tc>
        <w:tc>
          <w:tcPr>
            <w:tcW w:w="1559" w:type="dxa"/>
            <w:shd w:val="clear" w:color="auto" w:fill="FFE5A1"/>
            <w:vAlign w:val="bottom"/>
          </w:tcPr>
          <w:p w14:paraId="388E96B6" w14:textId="77777777" w:rsidR="00896B0D" w:rsidRPr="00C201BE" w:rsidRDefault="00896B0D" w:rsidP="008C24EE">
            <w:pPr>
              <w:jc w:val="both"/>
              <w:rPr>
                <w:rStyle w:val="Strong"/>
                <w:b w:val="0"/>
                <w:bCs w:val="0"/>
              </w:rPr>
            </w:pPr>
            <w:r w:rsidRPr="00C201BE">
              <w:t>$1,100–$2,400</w:t>
            </w:r>
          </w:p>
        </w:tc>
        <w:tc>
          <w:tcPr>
            <w:tcW w:w="1559" w:type="dxa"/>
            <w:shd w:val="clear" w:color="auto" w:fill="FFE5A1"/>
            <w:vAlign w:val="bottom"/>
          </w:tcPr>
          <w:p w14:paraId="5138A6DF" w14:textId="77777777" w:rsidR="00896B0D" w:rsidRPr="00C201BE" w:rsidRDefault="00896B0D" w:rsidP="008C24EE">
            <w:pPr>
              <w:jc w:val="both"/>
              <w:rPr>
                <w:rStyle w:val="Strong"/>
                <w:b w:val="0"/>
                <w:bCs w:val="0"/>
              </w:rPr>
            </w:pPr>
            <w:r w:rsidRPr="00C201BE">
              <w:t>N/A</w:t>
            </w:r>
          </w:p>
        </w:tc>
      </w:tr>
      <w:tr w:rsidR="00896B0D" w:rsidRPr="00C201BE" w14:paraId="1E8F0F57" w14:textId="77777777" w:rsidTr="008C24EE">
        <w:trPr>
          <w:trHeight w:val="341"/>
        </w:trPr>
        <w:tc>
          <w:tcPr>
            <w:tcW w:w="1558" w:type="dxa"/>
            <w:shd w:val="clear" w:color="auto" w:fill="FFC9EB"/>
            <w:vAlign w:val="bottom"/>
          </w:tcPr>
          <w:p w14:paraId="4D6CAC3A" w14:textId="77777777" w:rsidR="00896B0D" w:rsidRPr="00C201BE" w:rsidRDefault="00896B0D" w:rsidP="008C24EE">
            <w:pPr>
              <w:jc w:val="both"/>
              <w:rPr>
                <w:rStyle w:val="Strong"/>
                <w:b w:val="0"/>
                <w:bCs w:val="0"/>
              </w:rPr>
            </w:pPr>
            <w:r w:rsidRPr="00C201BE">
              <w:t>Rituximab</w:t>
            </w:r>
          </w:p>
        </w:tc>
        <w:tc>
          <w:tcPr>
            <w:tcW w:w="1558" w:type="dxa"/>
            <w:shd w:val="clear" w:color="auto" w:fill="FFC9EB"/>
            <w:vAlign w:val="bottom"/>
          </w:tcPr>
          <w:p w14:paraId="5D180183" w14:textId="77777777" w:rsidR="00896B0D" w:rsidRPr="00C201BE" w:rsidRDefault="00896B0D" w:rsidP="008C24EE">
            <w:pPr>
              <w:jc w:val="both"/>
              <w:rPr>
                <w:rStyle w:val="Strong"/>
                <w:b w:val="0"/>
                <w:bCs w:val="0"/>
              </w:rPr>
            </w:pPr>
            <w:r w:rsidRPr="00C201BE">
              <w:t>LUNAR</w:t>
            </w:r>
          </w:p>
        </w:tc>
        <w:tc>
          <w:tcPr>
            <w:tcW w:w="1558" w:type="dxa"/>
            <w:shd w:val="clear" w:color="auto" w:fill="FFC9EB"/>
            <w:vAlign w:val="bottom"/>
          </w:tcPr>
          <w:p w14:paraId="7CFEF3A0" w14:textId="77777777" w:rsidR="00896B0D" w:rsidRPr="00C201BE" w:rsidRDefault="00896B0D" w:rsidP="008C24EE">
            <w:pPr>
              <w:jc w:val="both"/>
              <w:rPr>
                <w:rStyle w:val="Strong"/>
                <w:b w:val="0"/>
                <w:bCs w:val="0"/>
              </w:rPr>
            </w:pPr>
            <w:r w:rsidRPr="00C201BE">
              <w:t>27%</w:t>
            </w:r>
          </w:p>
        </w:tc>
        <w:tc>
          <w:tcPr>
            <w:tcW w:w="1558" w:type="dxa"/>
            <w:shd w:val="clear" w:color="auto" w:fill="FFC9EB"/>
            <w:vAlign w:val="bottom"/>
          </w:tcPr>
          <w:p w14:paraId="5BD536B0" w14:textId="77777777" w:rsidR="00896B0D" w:rsidRPr="00C201BE" w:rsidRDefault="00896B0D" w:rsidP="008C24EE">
            <w:pPr>
              <w:jc w:val="both"/>
              <w:rPr>
                <w:rStyle w:val="Strong"/>
                <w:b w:val="0"/>
                <w:bCs w:val="0"/>
              </w:rPr>
            </w:pPr>
            <w:r w:rsidRPr="00C201BE">
              <w:t>52 weeks</w:t>
            </w:r>
          </w:p>
        </w:tc>
        <w:tc>
          <w:tcPr>
            <w:tcW w:w="1559" w:type="dxa"/>
            <w:shd w:val="clear" w:color="auto" w:fill="FFC9EB"/>
            <w:vAlign w:val="bottom"/>
          </w:tcPr>
          <w:p w14:paraId="1D9FD7A1" w14:textId="77777777" w:rsidR="00896B0D" w:rsidRPr="00C201BE" w:rsidRDefault="00896B0D" w:rsidP="008C24EE">
            <w:pPr>
              <w:jc w:val="both"/>
              <w:rPr>
                <w:rStyle w:val="Strong"/>
                <w:b w:val="0"/>
                <w:bCs w:val="0"/>
              </w:rPr>
            </w:pPr>
            <w:r w:rsidRPr="00C201BE">
              <w:t>$32,000</w:t>
            </w:r>
          </w:p>
        </w:tc>
        <w:tc>
          <w:tcPr>
            <w:tcW w:w="1559" w:type="dxa"/>
            <w:shd w:val="clear" w:color="auto" w:fill="FFC9EB"/>
            <w:vAlign w:val="bottom"/>
          </w:tcPr>
          <w:p w14:paraId="181FFF3A" w14:textId="77777777" w:rsidR="00896B0D" w:rsidRPr="00C201BE" w:rsidRDefault="00896B0D" w:rsidP="008C24EE">
            <w:pPr>
              <w:jc w:val="both"/>
              <w:rPr>
                <w:rStyle w:val="Strong"/>
                <w:b w:val="0"/>
                <w:bCs w:val="0"/>
              </w:rPr>
            </w:pPr>
            <w:r w:rsidRPr="00C201BE">
              <w:t>$118,519</w:t>
            </w:r>
          </w:p>
        </w:tc>
      </w:tr>
      <w:tr w:rsidR="00896B0D" w:rsidRPr="00C201BE" w14:paraId="35FF1743" w14:textId="77777777" w:rsidTr="008C24EE">
        <w:trPr>
          <w:trHeight w:val="350"/>
        </w:trPr>
        <w:tc>
          <w:tcPr>
            <w:tcW w:w="1558" w:type="dxa"/>
            <w:shd w:val="clear" w:color="auto" w:fill="F1A983" w:themeFill="accent2" w:themeFillTint="99"/>
            <w:vAlign w:val="bottom"/>
          </w:tcPr>
          <w:p w14:paraId="714C4A14" w14:textId="77777777" w:rsidR="00896B0D" w:rsidRPr="00C201BE" w:rsidRDefault="00896B0D" w:rsidP="008C24EE">
            <w:pPr>
              <w:jc w:val="both"/>
              <w:rPr>
                <w:rStyle w:val="Strong"/>
                <w:b w:val="0"/>
                <w:bCs w:val="0"/>
              </w:rPr>
            </w:pPr>
            <w:r w:rsidRPr="00C201BE">
              <w:t>Belimumab</w:t>
            </w:r>
          </w:p>
        </w:tc>
        <w:tc>
          <w:tcPr>
            <w:tcW w:w="1558" w:type="dxa"/>
            <w:shd w:val="clear" w:color="auto" w:fill="F1A983" w:themeFill="accent2" w:themeFillTint="99"/>
            <w:vAlign w:val="bottom"/>
          </w:tcPr>
          <w:p w14:paraId="16C2DA6D" w14:textId="77777777" w:rsidR="00896B0D" w:rsidRPr="00C201BE" w:rsidRDefault="00896B0D" w:rsidP="008C24EE">
            <w:pPr>
              <w:jc w:val="both"/>
              <w:rPr>
                <w:rStyle w:val="Strong"/>
                <w:b w:val="0"/>
                <w:bCs w:val="0"/>
              </w:rPr>
            </w:pPr>
            <w:r w:rsidRPr="00C201BE">
              <w:t>BLISS-LN</w:t>
            </w:r>
          </w:p>
        </w:tc>
        <w:tc>
          <w:tcPr>
            <w:tcW w:w="1558" w:type="dxa"/>
            <w:shd w:val="clear" w:color="auto" w:fill="F1A983" w:themeFill="accent2" w:themeFillTint="99"/>
            <w:vAlign w:val="bottom"/>
          </w:tcPr>
          <w:p w14:paraId="4C42567F" w14:textId="77777777" w:rsidR="00896B0D" w:rsidRPr="00C201BE" w:rsidRDefault="00896B0D" w:rsidP="008C24EE">
            <w:pPr>
              <w:jc w:val="both"/>
              <w:rPr>
                <w:rStyle w:val="Strong"/>
                <w:b w:val="0"/>
                <w:bCs w:val="0"/>
              </w:rPr>
            </w:pPr>
            <w:r w:rsidRPr="00C201BE">
              <w:t>30%</w:t>
            </w:r>
          </w:p>
        </w:tc>
        <w:tc>
          <w:tcPr>
            <w:tcW w:w="1558" w:type="dxa"/>
            <w:shd w:val="clear" w:color="auto" w:fill="F1A983" w:themeFill="accent2" w:themeFillTint="99"/>
            <w:vAlign w:val="bottom"/>
          </w:tcPr>
          <w:p w14:paraId="27FD2A3E" w14:textId="77777777" w:rsidR="00896B0D" w:rsidRPr="00C201BE" w:rsidRDefault="00896B0D" w:rsidP="008C24EE">
            <w:pPr>
              <w:jc w:val="both"/>
              <w:rPr>
                <w:rStyle w:val="Strong"/>
                <w:b w:val="0"/>
                <w:bCs w:val="0"/>
              </w:rPr>
            </w:pPr>
            <w:r w:rsidRPr="00C201BE">
              <w:t>52 weeks</w:t>
            </w:r>
          </w:p>
        </w:tc>
        <w:tc>
          <w:tcPr>
            <w:tcW w:w="1559" w:type="dxa"/>
            <w:shd w:val="clear" w:color="auto" w:fill="F1A983" w:themeFill="accent2" w:themeFillTint="99"/>
            <w:vAlign w:val="bottom"/>
          </w:tcPr>
          <w:p w14:paraId="364A59C7" w14:textId="77777777" w:rsidR="00896B0D" w:rsidRPr="00C201BE" w:rsidRDefault="00896B0D" w:rsidP="008C24EE">
            <w:pPr>
              <w:jc w:val="both"/>
              <w:rPr>
                <w:rStyle w:val="Strong"/>
                <w:b w:val="0"/>
                <w:bCs w:val="0"/>
              </w:rPr>
            </w:pPr>
            <w:r w:rsidRPr="00C201BE">
              <w:t>$43,000</w:t>
            </w:r>
          </w:p>
        </w:tc>
        <w:tc>
          <w:tcPr>
            <w:tcW w:w="1559" w:type="dxa"/>
            <w:shd w:val="clear" w:color="auto" w:fill="F1A983" w:themeFill="accent2" w:themeFillTint="99"/>
            <w:vAlign w:val="bottom"/>
          </w:tcPr>
          <w:p w14:paraId="5D62E52F" w14:textId="77777777" w:rsidR="00896B0D" w:rsidRPr="00C201BE" w:rsidRDefault="00896B0D" w:rsidP="008C24EE">
            <w:pPr>
              <w:jc w:val="both"/>
              <w:rPr>
                <w:rStyle w:val="Strong"/>
                <w:b w:val="0"/>
                <w:bCs w:val="0"/>
              </w:rPr>
            </w:pPr>
            <w:r w:rsidRPr="00C201BE">
              <w:t>$143,333</w:t>
            </w:r>
          </w:p>
        </w:tc>
      </w:tr>
      <w:tr w:rsidR="00896B0D" w:rsidRPr="00C201BE" w14:paraId="2403A1FB" w14:textId="77777777" w:rsidTr="008C24EE">
        <w:trPr>
          <w:trHeight w:val="359"/>
        </w:trPr>
        <w:tc>
          <w:tcPr>
            <w:tcW w:w="1558" w:type="dxa"/>
            <w:shd w:val="clear" w:color="auto" w:fill="A5C9EB" w:themeFill="text2" w:themeFillTint="40"/>
            <w:vAlign w:val="bottom"/>
          </w:tcPr>
          <w:p w14:paraId="162C415B" w14:textId="77777777" w:rsidR="00896B0D" w:rsidRPr="00C201BE" w:rsidRDefault="00896B0D" w:rsidP="008C24EE">
            <w:pPr>
              <w:jc w:val="both"/>
              <w:rPr>
                <w:rStyle w:val="Strong"/>
                <w:b w:val="0"/>
                <w:bCs w:val="0"/>
              </w:rPr>
            </w:pPr>
            <w:r w:rsidRPr="00C201BE">
              <w:t>Obinutuzumab</w:t>
            </w:r>
          </w:p>
        </w:tc>
        <w:tc>
          <w:tcPr>
            <w:tcW w:w="1558" w:type="dxa"/>
            <w:shd w:val="clear" w:color="auto" w:fill="A5C9EB" w:themeFill="text2" w:themeFillTint="40"/>
            <w:vAlign w:val="bottom"/>
          </w:tcPr>
          <w:p w14:paraId="3AD3F5A2" w14:textId="77777777" w:rsidR="00896B0D" w:rsidRPr="00C201BE" w:rsidRDefault="00896B0D" w:rsidP="008C24EE">
            <w:pPr>
              <w:jc w:val="both"/>
              <w:rPr>
                <w:rStyle w:val="Strong"/>
                <w:b w:val="0"/>
                <w:bCs w:val="0"/>
              </w:rPr>
            </w:pPr>
            <w:r w:rsidRPr="00C201BE">
              <w:t>NOBILITY</w:t>
            </w:r>
          </w:p>
        </w:tc>
        <w:tc>
          <w:tcPr>
            <w:tcW w:w="1558" w:type="dxa"/>
            <w:shd w:val="clear" w:color="auto" w:fill="A5C9EB" w:themeFill="text2" w:themeFillTint="40"/>
            <w:vAlign w:val="bottom"/>
          </w:tcPr>
          <w:p w14:paraId="70831CD1" w14:textId="77777777" w:rsidR="00896B0D" w:rsidRPr="00C201BE" w:rsidRDefault="00896B0D" w:rsidP="008C24EE">
            <w:pPr>
              <w:jc w:val="both"/>
              <w:rPr>
                <w:rStyle w:val="Strong"/>
                <w:b w:val="0"/>
                <w:bCs w:val="0"/>
              </w:rPr>
            </w:pPr>
            <w:r w:rsidRPr="00C201BE">
              <w:t>35%</w:t>
            </w:r>
          </w:p>
        </w:tc>
        <w:tc>
          <w:tcPr>
            <w:tcW w:w="1558" w:type="dxa"/>
            <w:shd w:val="clear" w:color="auto" w:fill="A5C9EB" w:themeFill="text2" w:themeFillTint="40"/>
            <w:vAlign w:val="bottom"/>
          </w:tcPr>
          <w:p w14:paraId="70F57D60" w14:textId="77777777" w:rsidR="00896B0D" w:rsidRPr="00C201BE" w:rsidRDefault="00896B0D" w:rsidP="008C24EE">
            <w:pPr>
              <w:jc w:val="both"/>
              <w:rPr>
                <w:rStyle w:val="Strong"/>
                <w:b w:val="0"/>
                <w:bCs w:val="0"/>
              </w:rPr>
            </w:pPr>
            <w:r w:rsidRPr="00C201BE">
              <w:t>52 weeks</w:t>
            </w:r>
          </w:p>
        </w:tc>
        <w:tc>
          <w:tcPr>
            <w:tcW w:w="1559" w:type="dxa"/>
            <w:shd w:val="clear" w:color="auto" w:fill="A5C9EB" w:themeFill="text2" w:themeFillTint="40"/>
            <w:vAlign w:val="bottom"/>
          </w:tcPr>
          <w:p w14:paraId="14D7CB08" w14:textId="77777777" w:rsidR="00896B0D" w:rsidRPr="00C201BE" w:rsidRDefault="00896B0D" w:rsidP="008C24EE">
            <w:pPr>
              <w:jc w:val="both"/>
              <w:rPr>
                <w:rStyle w:val="Strong"/>
                <w:b w:val="0"/>
                <w:bCs w:val="0"/>
              </w:rPr>
            </w:pPr>
            <w:r w:rsidRPr="00C201BE">
              <w:t>$75,000</w:t>
            </w:r>
          </w:p>
        </w:tc>
        <w:tc>
          <w:tcPr>
            <w:tcW w:w="1559" w:type="dxa"/>
            <w:shd w:val="clear" w:color="auto" w:fill="A5C9EB" w:themeFill="text2" w:themeFillTint="40"/>
            <w:vAlign w:val="bottom"/>
          </w:tcPr>
          <w:p w14:paraId="3594AED3" w14:textId="77777777" w:rsidR="00896B0D" w:rsidRPr="00C201BE" w:rsidRDefault="00896B0D" w:rsidP="008C24EE">
            <w:pPr>
              <w:jc w:val="both"/>
              <w:rPr>
                <w:rStyle w:val="Strong"/>
                <w:b w:val="0"/>
                <w:bCs w:val="0"/>
              </w:rPr>
            </w:pPr>
            <w:r w:rsidRPr="00C201BE">
              <w:t>$214,286</w:t>
            </w:r>
          </w:p>
        </w:tc>
      </w:tr>
      <w:tr w:rsidR="00896B0D" w:rsidRPr="00C201BE" w14:paraId="66DC9195" w14:textId="77777777" w:rsidTr="008C24EE">
        <w:trPr>
          <w:trHeight w:val="359"/>
        </w:trPr>
        <w:tc>
          <w:tcPr>
            <w:tcW w:w="1558" w:type="dxa"/>
            <w:shd w:val="clear" w:color="auto" w:fill="B3E5A1" w:themeFill="accent6" w:themeFillTint="66"/>
            <w:vAlign w:val="bottom"/>
          </w:tcPr>
          <w:p w14:paraId="3A69DF0B" w14:textId="77777777" w:rsidR="00896B0D" w:rsidRPr="00C201BE" w:rsidRDefault="00896B0D" w:rsidP="008C24EE">
            <w:pPr>
              <w:jc w:val="both"/>
              <w:rPr>
                <w:rStyle w:val="Strong"/>
                <w:b w:val="0"/>
                <w:bCs w:val="0"/>
              </w:rPr>
            </w:pPr>
            <w:r w:rsidRPr="00C201BE">
              <w:t>Voclosporin</w:t>
            </w:r>
          </w:p>
        </w:tc>
        <w:tc>
          <w:tcPr>
            <w:tcW w:w="1558" w:type="dxa"/>
            <w:shd w:val="clear" w:color="auto" w:fill="B3E5A1" w:themeFill="accent6" w:themeFillTint="66"/>
            <w:vAlign w:val="bottom"/>
          </w:tcPr>
          <w:p w14:paraId="0A9E8011" w14:textId="77777777" w:rsidR="00896B0D" w:rsidRPr="00C201BE" w:rsidRDefault="00896B0D" w:rsidP="008C24EE">
            <w:pPr>
              <w:jc w:val="both"/>
              <w:rPr>
                <w:rStyle w:val="Strong"/>
                <w:b w:val="0"/>
                <w:bCs w:val="0"/>
              </w:rPr>
            </w:pPr>
            <w:r w:rsidRPr="00C201BE">
              <w:t>AURORA-1</w:t>
            </w:r>
          </w:p>
        </w:tc>
        <w:tc>
          <w:tcPr>
            <w:tcW w:w="1558" w:type="dxa"/>
            <w:shd w:val="clear" w:color="auto" w:fill="B3E5A1" w:themeFill="accent6" w:themeFillTint="66"/>
            <w:vAlign w:val="bottom"/>
          </w:tcPr>
          <w:p w14:paraId="7DA3C232" w14:textId="77777777" w:rsidR="00896B0D" w:rsidRPr="00C201BE" w:rsidRDefault="00896B0D" w:rsidP="008C24EE">
            <w:pPr>
              <w:jc w:val="both"/>
              <w:rPr>
                <w:rStyle w:val="Strong"/>
                <w:b w:val="0"/>
                <w:bCs w:val="0"/>
              </w:rPr>
            </w:pPr>
            <w:r w:rsidRPr="00C201BE">
              <w:t>41%</w:t>
            </w:r>
          </w:p>
        </w:tc>
        <w:tc>
          <w:tcPr>
            <w:tcW w:w="1558" w:type="dxa"/>
            <w:shd w:val="clear" w:color="auto" w:fill="B3E5A1" w:themeFill="accent6" w:themeFillTint="66"/>
            <w:vAlign w:val="bottom"/>
          </w:tcPr>
          <w:p w14:paraId="0E5DF6F2" w14:textId="77777777" w:rsidR="00896B0D" w:rsidRPr="00C201BE" w:rsidRDefault="00896B0D" w:rsidP="008C24EE">
            <w:pPr>
              <w:jc w:val="both"/>
              <w:rPr>
                <w:rStyle w:val="Strong"/>
                <w:b w:val="0"/>
                <w:bCs w:val="0"/>
              </w:rPr>
            </w:pPr>
            <w:r w:rsidRPr="00C201BE">
              <w:t>52 weeks</w:t>
            </w:r>
          </w:p>
        </w:tc>
        <w:tc>
          <w:tcPr>
            <w:tcW w:w="1559" w:type="dxa"/>
            <w:shd w:val="clear" w:color="auto" w:fill="B3E5A1" w:themeFill="accent6" w:themeFillTint="66"/>
            <w:vAlign w:val="bottom"/>
          </w:tcPr>
          <w:p w14:paraId="45D76247" w14:textId="77777777" w:rsidR="00896B0D" w:rsidRPr="00C201BE" w:rsidRDefault="00896B0D" w:rsidP="008C24EE">
            <w:pPr>
              <w:jc w:val="both"/>
              <w:rPr>
                <w:rStyle w:val="Strong"/>
                <w:b w:val="0"/>
                <w:bCs w:val="0"/>
              </w:rPr>
            </w:pPr>
            <w:r w:rsidRPr="00C201BE">
              <w:t>$92,000</w:t>
            </w:r>
          </w:p>
        </w:tc>
        <w:tc>
          <w:tcPr>
            <w:tcW w:w="1559" w:type="dxa"/>
            <w:shd w:val="clear" w:color="auto" w:fill="B3E5A1" w:themeFill="accent6" w:themeFillTint="66"/>
            <w:vAlign w:val="bottom"/>
          </w:tcPr>
          <w:p w14:paraId="72E218C1" w14:textId="77777777" w:rsidR="00896B0D" w:rsidRPr="00C201BE" w:rsidRDefault="00896B0D" w:rsidP="008C24EE">
            <w:pPr>
              <w:jc w:val="both"/>
              <w:rPr>
                <w:rStyle w:val="Strong"/>
                <w:b w:val="0"/>
                <w:bCs w:val="0"/>
              </w:rPr>
            </w:pPr>
            <w:r w:rsidRPr="00C201BE">
              <w:t>$224,390</w:t>
            </w:r>
          </w:p>
        </w:tc>
      </w:tr>
    </w:tbl>
    <w:p w14:paraId="36C9E981" w14:textId="77777777" w:rsidR="00896B0D" w:rsidRDefault="00896B0D" w:rsidP="00896B0D">
      <w:pPr>
        <w:jc w:val="both"/>
        <w:rPr>
          <w:rStyle w:val="Strong"/>
        </w:rPr>
      </w:pPr>
    </w:p>
    <w:p w14:paraId="7B0FD4AC" w14:textId="77777777" w:rsidR="00896B0D" w:rsidRDefault="00896B0D" w:rsidP="00896B0D">
      <w:pPr>
        <w:jc w:val="both"/>
        <w:rPr>
          <w:rStyle w:val="Strong"/>
        </w:rPr>
      </w:pPr>
    </w:p>
    <w:p w14:paraId="295ED062" w14:textId="77777777" w:rsidR="00896B0D" w:rsidRDefault="00896B0D" w:rsidP="00896B0D">
      <w:pPr>
        <w:spacing w:line="480" w:lineRule="auto"/>
        <w:jc w:val="both"/>
        <w:rPr>
          <w:color w:val="000000"/>
          <w:shd w:val="clear" w:color="auto" w:fill="FFFFFF"/>
        </w:rPr>
      </w:pPr>
      <w:r w:rsidRPr="00422ED5">
        <w:rPr>
          <w:rStyle w:val="Strong"/>
        </w:rPr>
        <w:t xml:space="preserve">Table </w:t>
      </w:r>
      <w:r>
        <w:rPr>
          <w:rStyle w:val="Strong"/>
        </w:rPr>
        <w:t>4</w:t>
      </w:r>
      <w:r w:rsidRPr="00C201BE">
        <w:rPr>
          <w:color w:val="000000"/>
          <w:shd w:val="clear" w:color="auto" w:fill="FFFFFF"/>
        </w:rPr>
        <w:t xml:space="preserve"> presents estimated annual drug acquisition costs and corresponding Cost per Responder (CPR) for various therapies in </w:t>
      </w:r>
      <w:r>
        <w:rPr>
          <w:color w:val="000000"/>
          <w:shd w:val="clear" w:color="auto" w:fill="FFFFFF"/>
        </w:rPr>
        <w:t>LN</w:t>
      </w:r>
      <w:r w:rsidRPr="00C201BE">
        <w:rPr>
          <w:color w:val="000000"/>
          <w:shd w:val="clear" w:color="auto" w:fill="FFFFFF"/>
        </w:rPr>
        <w:t xml:space="preserve">, calculated at 52 weeks. All drug acquisition costs reflect standard U.S. pricing, derived from typical dosing regimens used in pivotal clinical trials and estimated using publicly available sources. Annual costs for MMF are based on a typical maintenance regimen, and for HCQ are based on a standard dose. Annual costs for Belimumab and Voclosporin are consistent with estimated annual prices reported by the Institute for Clinical and Economic Review (ICER). Annual costs for Rituximab and Obinutuzumab are based on publicly available U.S. pricing sources. </w:t>
      </w:r>
      <w:r>
        <w:rPr>
          <w:color w:val="000000"/>
          <w:shd w:val="clear" w:color="auto" w:fill="FFFFFF"/>
        </w:rPr>
        <w:t>CRR</w:t>
      </w:r>
      <w:r w:rsidRPr="00C201BE">
        <w:rPr>
          <w:color w:val="000000"/>
          <w:shd w:val="clear" w:color="auto" w:fill="FFFFFF"/>
        </w:rPr>
        <w:t xml:space="preserve"> percentages are reported at 52 weeks from the respective pivotal trials. CPR was calculated by dividing the Annual Drug Acquisition Cost by the proportion of patients achieving CRR at 52 weeks. The REGENCY and AURA-LV trials were excluded due to longer duration and exploratory Phase 2 design, respectively. This analysis focuses solely on drug acquisition costs; administration, monitoring, and other indirect healthcare costs are not included. </w:t>
      </w:r>
    </w:p>
    <w:p w14:paraId="356D09DB" w14:textId="77777777" w:rsidR="00896B0D" w:rsidRPr="00C9625C" w:rsidRDefault="00896B0D" w:rsidP="00896B0D">
      <w:pPr>
        <w:spacing w:line="480" w:lineRule="auto"/>
        <w:jc w:val="both"/>
      </w:pPr>
      <w:r w:rsidRPr="00C9625C">
        <w:rPr>
          <w:color w:val="000000"/>
          <w:shd w:val="clear" w:color="auto" w:fill="FFFFFF"/>
        </w:rPr>
        <w:lastRenderedPageBreak/>
        <w:t>Source</w:t>
      </w:r>
      <w:r>
        <w:rPr>
          <w:color w:val="000000"/>
          <w:shd w:val="clear" w:color="auto" w:fill="FFFFFF"/>
        </w:rPr>
        <w:t>s</w:t>
      </w:r>
      <w:r w:rsidRPr="00C9625C">
        <w:rPr>
          <w:color w:val="000000"/>
          <w:shd w:val="clear" w:color="auto" w:fill="FFFFFF"/>
        </w:rPr>
        <w:t xml:space="preserve"> of drug costs: Institute for Clinical and Economic Review (ICER) Lupus Nephritis Final Evidence Report (2021), the Centers for Medicare &amp; Medicaid Services (CMS) Medicare Part B Average Sales Price (ASP) files (2024), and U.S. retail pharmacy data accessed via GoodRx (2025).</w:t>
      </w:r>
    </w:p>
    <w:p w14:paraId="331FF0A0" w14:textId="77777777" w:rsidR="00896B0D" w:rsidRPr="00422ED5" w:rsidRDefault="00896B0D" w:rsidP="00896B0D">
      <w:pPr>
        <w:jc w:val="both"/>
      </w:pPr>
    </w:p>
    <w:p w14:paraId="6B5EEA56" w14:textId="77777777" w:rsidR="00896B0D" w:rsidRPr="00422ED5" w:rsidRDefault="00896B0D" w:rsidP="00896B0D">
      <w:pPr>
        <w:spacing w:before="100" w:beforeAutospacing="1" w:after="100" w:afterAutospacing="1"/>
        <w:rPr>
          <w:b/>
          <w:bCs/>
        </w:rPr>
      </w:pPr>
    </w:p>
    <w:p w14:paraId="3350D8A2" w14:textId="77777777" w:rsidR="00896B0D" w:rsidRPr="00422ED5" w:rsidRDefault="00896B0D" w:rsidP="00896B0D"/>
    <w:p w14:paraId="3F938E33"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1760DD"/>
    <w:multiLevelType w:val="hybridMultilevel"/>
    <w:tmpl w:val="B7ACD6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60E4826"/>
    <w:multiLevelType w:val="hybridMultilevel"/>
    <w:tmpl w:val="16F4D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F474597"/>
    <w:multiLevelType w:val="hybridMultilevel"/>
    <w:tmpl w:val="D96CB6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62B13DC"/>
    <w:multiLevelType w:val="hybridMultilevel"/>
    <w:tmpl w:val="2124A7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57951708">
    <w:abstractNumId w:val="1"/>
  </w:num>
  <w:num w:numId="2" w16cid:durableId="939340440">
    <w:abstractNumId w:val="0"/>
  </w:num>
  <w:num w:numId="3" w16cid:durableId="310258216">
    <w:abstractNumId w:val="2"/>
  </w:num>
  <w:num w:numId="4" w16cid:durableId="13285528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B0D"/>
    <w:rsid w:val="00011C58"/>
    <w:rsid w:val="0006021D"/>
    <w:rsid w:val="00331A6B"/>
    <w:rsid w:val="00755780"/>
    <w:rsid w:val="00857596"/>
    <w:rsid w:val="00896B0D"/>
    <w:rsid w:val="00C025DD"/>
    <w:rsid w:val="00C27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D58E6"/>
  <w15:chartTrackingRefBased/>
  <w15:docId w15:val="{5C3B16A2-0AD7-4138-9CE8-C5270F2EF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B0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96B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6B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6B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6B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6B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6B0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6B0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6B0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6B0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B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6B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6B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6B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6B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6B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6B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6B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6B0D"/>
    <w:rPr>
      <w:rFonts w:eastAsiaTheme="majorEastAsia" w:cstheme="majorBidi"/>
      <w:color w:val="272727" w:themeColor="text1" w:themeTint="D8"/>
    </w:rPr>
  </w:style>
  <w:style w:type="paragraph" w:styleId="Title">
    <w:name w:val="Title"/>
    <w:basedOn w:val="Normal"/>
    <w:next w:val="Normal"/>
    <w:link w:val="TitleChar"/>
    <w:uiPriority w:val="10"/>
    <w:qFormat/>
    <w:rsid w:val="00896B0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6B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6B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6B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6B0D"/>
    <w:pPr>
      <w:spacing w:before="160"/>
      <w:jc w:val="center"/>
    </w:pPr>
    <w:rPr>
      <w:i/>
      <w:iCs/>
      <w:color w:val="404040" w:themeColor="text1" w:themeTint="BF"/>
    </w:rPr>
  </w:style>
  <w:style w:type="character" w:customStyle="1" w:styleId="QuoteChar">
    <w:name w:val="Quote Char"/>
    <w:basedOn w:val="DefaultParagraphFont"/>
    <w:link w:val="Quote"/>
    <w:uiPriority w:val="29"/>
    <w:rsid w:val="00896B0D"/>
    <w:rPr>
      <w:i/>
      <w:iCs/>
      <w:color w:val="404040" w:themeColor="text1" w:themeTint="BF"/>
    </w:rPr>
  </w:style>
  <w:style w:type="paragraph" w:styleId="ListParagraph">
    <w:name w:val="List Paragraph"/>
    <w:basedOn w:val="Normal"/>
    <w:uiPriority w:val="34"/>
    <w:qFormat/>
    <w:rsid w:val="00896B0D"/>
    <w:pPr>
      <w:ind w:left="720"/>
      <w:contextualSpacing/>
    </w:pPr>
  </w:style>
  <w:style w:type="character" w:styleId="IntenseEmphasis">
    <w:name w:val="Intense Emphasis"/>
    <w:basedOn w:val="DefaultParagraphFont"/>
    <w:uiPriority w:val="21"/>
    <w:qFormat/>
    <w:rsid w:val="00896B0D"/>
    <w:rPr>
      <w:i/>
      <w:iCs/>
      <w:color w:val="0F4761" w:themeColor="accent1" w:themeShade="BF"/>
    </w:rPr>
  </w:style>
  <w:style w:type="paragraph" w:styleId="IntenseQuote">
    <w:name w:val="Intense Quote"/>
    <w:basedOn w:val="Normal"/>
    <w:next w:val="Normal"/>
    <w:link w:val="IntenseQuoteChar"/>
    <w:uiPriority w:val="30"/>
    <w:qFormat/>
    <w:rsid w:val="00896B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6B0D"/>
    <w:rPr>
      <w:i/>
      <w:iCs/>
      <w:color w:val="0F4761" w:themeColor="accent1" w:themeShade="BF"/>
    </w:rPr>
  </w:style>
  <w:style w:type="character" w:styleId="IntenseReference">
    <w:name w:val="Intense Reference"/>
    <w:basedOn w:val="DefaultParagraphFont"/>
    <w:uiPriority w:val="32"/>
    <w:qFormat/>
    <w:rsid w:val="00896B0D"/>
    <w:rPr>
      <w:b/>
      <w:bCs/>
      <w:smallCaps/>
      <w:color w:val="0F4761" w:themeColor="accent1" w:themeShade="BF"/>
      <w:spacing w:val="5"/>
    </w:rPr>
  </w:style>
  <w:style w:type="character" w:styleId="Strong">
    <w:name w:val="Strong"/>
    <w:basedOn w:val="DefaultParagraphFont"/>
    <w:uiPriority w:val="22"/>
    <w:qFormat/>
    <w:rsid w:val="00896B0D"/>
    <w:rPr>
      <w:b/>
      <w:bCs/>
    </w:rPr>
  </w:style>
  <w:style w:type="table" w:styleId="TableGrid">
    <w:name w:val="Table Grid"/>
    <w:basedOn w:val="TableNormal"/>
    <w:uiPriority w:val="39"/>
    <w:rsid w:val="00896B0D"/>
    <w:pPr>
      <w:spacing w:after="0" w:line="240" w:lineRule="auto"/>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96B0D"/>
    <w:pPr>
      <w:spacing w:after="0" w:line="240" w:lineRule="auto"/>
    </w:pPr>
    <w:rPr>
      <w:rFonts w:ascii="Calibri" w:hAnsi="Calibri" w:cs="Calibri"/>
      <w:sz w:val="22"/>
      <w:szCs w:val="22"/>
    </w:rPr>
  </w:style>
  <w:style w:type="paragraph" w:styleId="NormalWeb">
    <w:name w:val="Normal (Web)"/>
    <w:basedOn w:val="Normal"/>
    <w:uiPriority w:val="99"/>
    <w:unhideWhenUsed/>
    <w:rsid w:val="00896B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1425</Words>
  <Characters>8124</Characters>
  <Application>Microsoft Office Word</Application>
  <DocSecurity>0</DocSecurity>
  <Lines>67</Lines>
  <Paragraphs>19</Paragraphs>
  <ScaleCrop>false</ScaleCrop>
  <Company>Springer Nature</Company>
  <LinksUpToDate>false</LinksUpToDate>
  <CharactersWithSpaces>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2025-09-29T13:07:00Z</dcterms:created>
  <dcterms:modified xsi:type="dcterms:W3CDTF">2025-09-29T13:07:00Z</dcterms:modified>
</cp:coreProperties>
</file>