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B13D0" w14:textId="77777777" w:rsidR="00F664EB" w:rsidRDefault="00F664EB" w:rsidP="00F664EB">
      <w:pPr>
        <w:pStyle w:val="Caption"/>
      </w:pPr>
      <w:r>
        <w:rPr>
          <w:rFonts w:ascii="Times New Roman" w:eastAsia="Microsoft YaHei" w:hAnsi="Times New Roman" w:cs="Times New Roman"/>
          <w:b/>
          <w:bCs/>
          <w:sz w:val="24"/>
        </w:rPr>
        <w:t xml:space="preserve">Table </w:t>
      </w:r>
      <w:r>
        <w:rPr>
          <w:rFonts w:ascii="Times New Roman" w:eastAsia="Microsoft YaHei" w:hAnsi="Times New Roman" w:cs="Times New Roman" w:hint="eastAsia"/>
          <w:b/>
          <w:bCs/>
          <w:sz w:val="24"/>
        </w:rPr>
        <w:t>S1</w:t>
      </w:r>
      <w:r>
        <w:rPr>
          <w:rFonts w:ascii="Times New Roman" w:eastAsia="Microsoft YaHei" w:hAnsi="Times New Roman" w:cs="Times New Roman"/>
          <w:b/>
          <w:bCs/>
          <w:sz w:val="24"/>
        </w:rPr>
        <w:t>.</w:t>
      </w:r>
      <w:r>
        <w:rPr>
          <w:rFonts w:ascii="Times New Roman" w:eastAsia="Microsoft YaHei" w:hAnsi="Times New Roman" w:cs="Times New Roman" w:hint="eastAsia"/>
          <w:b/>
          <w:bCs/>
          <w:sz w:val="24"/>
        </w:rPr>
        <w:t xml:space="preserve"> </w:t>
      </w:r>
      <w:bookmarkStart w:id="0" w:name="OLE_LINK28"/>
      <w:r>
        <w:rPr>
          <w:rFonts w:ascii="Times New Roman" w:hAnsi="Times New Roman" w:cs="Times New Roman"/>
          <w:sz w:val="24"/>
        </w:rPr>
        <w:t xml:space="preserve">Univariate analysis for the presence of </w:t>
      </w:r>
      <w:bookmarkEnd w:id="0"/>
      <w:r>
        <w:rPr>
          <w:rFonts w:ascii="Times New Roman" w:hAnsi="Times New Roman" w:cs="Times New Roman"/>
          <w:sz w:val="24"/>
        </w:rPr>
        <w:t>QTc prolongation</w:t>
      </w:r>
    </w:p>
    <w:tbl>
      <w:tblPr>
        <w:tblW w:w="14078" w:type="dxa"/>
        <w:tblInd w:w="4" w:type="dxa"/>
        <w:tblBorders>
          <w:top w:val="single" w:sz="12" w:space="0" w:color="auto"/>
          <w:bottom w:val="single" w:sz="12" w:space="0" w:color="auto"/>
        </w:tblBorders>
        <w:tblCellMar>
          <w:top w:w="32" w:type="dxa"/>
          <w:left w:w="64" w:type="dxa"/>
          <w:bottom w:w="32" w:type="dxa"/>
          <w:right w:w="64" w:type="dxa"/>
        </w:tblCellMar>
        <w:tblLook w:val="04A0" w:firstRow="1" w:lastRow="0" w:firstColumn="1" w:lastColumn="0" w:noHBand="0" w:noVBand="1"/>
      </w:tblPr>
      <w:tblGrid>
        <w:gridCol w:w="8085"/>
        <w:gridCol w:w="3852"/>
        <w:gridCol w:w="2141"/>
      </w:tblGrid>
      <w:tr w:rsidR="00F664EB" w14:paraId="44351C0A" w14:textId="77777777" w:rsidTr="00D6268F">
        <w:trPr>
          <w:tblHeader/>
        </w:trPr>
        <w:tc>
          <w:tcPr>
            <w:tcW w:w="8085" w:type="dxa"/>
            <w:tcBorders>
              <w:bottom w:val="single" w:sz="4" w:space="0" w:color="auto"/>
              <w:tl2br w:val="nil"/>
              <w:tr2bl w:val="nil"/>
            </w:tcBorders>
            <w:noWrap/>
            <w:vAlign w:val="center"/>
          </w:tcPr>
          <w:p w14:paraId="6C43D9F8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Variables</w:t>
            </w:r>
          </w:p>
        </w:tc>
        <w:tc>
          <w:tcPr>
            <w:tcW w:w="3852" w:type="dxa"/>
            <w:tcBorders>
              <w:bottom w:val="single" w:sz="4" w:space="0" w:color="auto"/>
              <w:tl2br w:val="nil"/>
              <w:tr2bl w:val="nil"/>
            </w:tcBorders>
            <w:noWrap/>
            <w:vAlign w:val="center"/>
          </w:tcPr>
          <w:p w14:paraId="020DF3E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 w:val="20"/>
                <w:szCs w:val="20"/>
              </w:rPr>
              <w:t>OR(95%CI)</w:t>
            </w:r>
          </w:p>
        </w:tc>
        <w:tc>
          <w:tcPr>
            <w:tcW w:w="2141" w:type="dxa"/>
            <w:tcBorders>
              <w:bottom w:val="single" w:sz="4" w:space="0" w:color="auto"/>
              <w:tl2br w:val="nil"/>
              <w:tr2bl w:val="nil"/>
            </w:tcBorders>
            <w:noWrap/>
            <w:vAlign w:val="center"/>
          </w:tcPr>
          <w:p w14:paraId="6C52EC0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F664EB" w14:paraId="1CFF608D" w14:textId="77777777" w:rsidTr="00D6268F">
        <w:tc>
          <w:tcPr>
            <w:tcW w:w="8085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4817A3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Sex,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(n%)</w:t>
            </w:r>
          </w:p>
        </w:tc>
        <w:tc>
          <w:tcPr>
            <w:tcW w:w="385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63B180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415A248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64EB" w14:paraId="131124F2" w14:textId="77777777" w:rsidTr="00D6268F">
        <w:tc>
          <w:tcPr>
            <w:tcW w:w="8085" w:type="dxa"/>
            <w:tcBorders>
              <w:top w:val="nil"/>
              <w:bottom w:val="nil"/>
            </w:tcBorders>
            <w:noWrap/>
            <w:vAlign w:val="center"/>
          </w:tcPr>
          <w:p w14:paraId="0C27C42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3852" w:type="dxa"/>
            <w:tcBorders>
              <w:top w:val="nil"/>
              <w:bottom w:val="nil"/>
            </w:tcBorders>
            <w:noWrap/>
            <w:vAlign w:val="center"/>
          </w:tcPr>
          <w:p w14:paraId="6C9C2E0E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2141" w:type="dxa"/>
            <w:tcBorders>
              <w:top w:val="nil"/>
              <w:bottom w:val="nil"/>
            </w:tcBorders>
            <w:noWrap/>
            <w:vAlign w:val="center"/>
          </w:tcPr>
          <w:p w14:paraId="3E9FC9E5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0BB33A9F" w14:textId="77777777" w:rsidTr="00D6268F">
        <w:tc>
          <w:tcPr>
            <w:tcW w:w="8085" w:type="dxa"/>
            <w:tcBorders>
              <w:top w:val="nil"/>
            </w:tcBorders>
            <w:noWrap/>
            <w:vAlign w:val="center"/>
          </w:tcPr>
          <w:p w14:paraId="13C307B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3852" w:type="dxa"/>
            <w:tcBorders>
              <w:top w:val="nil"/>
            </w:tcBorders>
            <w:noWrap/>
            <w:vAlign w:val="center"/>
          </w:tcPr>
          <w:p w14:paraId="3C0BF35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0.51 (0.32~0.8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op w:val="nil"/>
            </w:tcBorders>
            <w:noWrap/>
            <w:vAlign w:val="center"/>
          </w:tcPr>
          <w:p w14:paraId="31830DC0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0.004</w:t>
            </w:r>
          </w:p>
        </w:tc>
      </w:tr>
      <w:tr w:rsidR="00F664EB" w14:paraId="0176BF40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75DC9E41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Age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(years)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2BB0222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 (1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~1.04)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1F1B9D85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</w:tr>
      <w:tr w:rsidR="00F664EB" w14:paraId="6B0AE360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4393BC1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SBP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(mmHg)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15A4716A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(0.99~1.02)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609FBC6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0.541</w:t>
            </w:r>
          </w:p>
        </w:tc>
      </w:tr>
      <w:tr w:rsidR="00F664EB" w14:paraId="2F8981BC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1BC1C9A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DBP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(mmHg)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74627F4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 (0.98~1.01)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01B8F48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0.475</w:t>
            </w:r>
          </w:p>
        </w:tc>
      </w:tr>
      <w:tr w:rsidR="00F664EB" w14:paraId="466CFA0F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4942E6F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(beats/min)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26A337C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1.01 (0.99~1.02)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5EA04B1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0.288</w:t>
            </w:r>
          </w:p>
        </w:tc>
      </w:tr>
      <w:tr w:rsidR="00F664EB" w14:paraId="3B067ED9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5DC1E95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Etiology,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(n%)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73218AEA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68DB2AD1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487DAED9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033D2C65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Virus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5CDCBED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1B91EEAA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04761CE1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18A9926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Alcoholic+Virus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C63200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2.14 (1.25~3.66)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41D0DB3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</w:tr>
      <w:tr w:rsidR="00F664EB" w14:paraId="4AE42FE6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423EA60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Autoimmune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7875110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 (0.3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~1.73)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3E1BC86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0.462</w:t>
            </w:r>
          </w:p>
        </w:tc>
      </w:tr>
      <w:tr w:rsidR="00F664EB" w14:paraId="18FD2410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2F0E568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541A804A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 (0.3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~1.25)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17B86B68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0.179</w:t>
            </w:r>
          </w:p>
        </w:tc>
      </w:tr>
      <w:tr w:rsidR="00F664EB" w14:paraId="48459DEB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425D44E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Hb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(g/L)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0F28B8D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 (0.99~1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2847098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0.181</w:t>
            </w:r>
          </w:p>
        </w:tc>
      </w:tr>
      <w:tr w:rsidR="00F664EB" w14:paraId="67D88140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31C80F5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PLT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(g/L)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63018E0A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(0.99~1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4DB30520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0.083</w:t>
            </w:r>
          </w:p>
        </w:tc>
      </w:tr>
      <w:tr w:rsidR="00F664EB" w14:paraId="6C92EBEE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77E3724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TBIL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(umol/L)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6BA3FB90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1.01 (1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~1.01)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0CF6A13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0.005</w:t>
            </w:r>
          </w:p>
        </w:tc>
      </w:tr>
      <w:tr w:rsidR="00F664EB" w14:paraId="7CC90A6C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5B71F17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ALT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(U/L)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D491A3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~1.01)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387F0AA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0.096</w:t>
            </w:r>
          </w:p>
        </w:tc>
      </w:tr>
      <w:tr w:rsidR="00F664EB" w14:paraId="657F4030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47A1DC4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ALP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(U/L)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278D549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73F3A7F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0.32</w:t>
            </w:r>
          </w:p>
        </w:tc>
      </w:tr>
      <w:tr w:rsidR="00F664EB" w14:paraId="59052DA5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5DCE57B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GGT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(U/L)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5007DEFF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5902BC78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</w:t>
            </w:r>
          </w:p>
        </w:tc>
      </w:tr>
      <w:tr w:rsidR="00F664EB" w14:paraId="63C16477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36B4FBE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BUN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(mmol/L)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58312C3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1.06 (1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~1.14)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7179ABD1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</w:tr>
      <w:tr w:rsidR="00F664EB" w14:paraId="58D064AF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0D3806A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Cr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(umol/L)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9649501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(0.99~1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62B51AC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0.684</w:t>
            </w:r>
          </w:p>
        </w:tc>
      </w:tr>
      <w:tr w:rsidR="00F664EB" w14:paraId="366B6844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4DB3701B" w14:textId="77777777" w:rsidR="00F664EB" w:rsidRDefault="00F664EB" w:rsidP="00D6268F">
            <w:pPr>
              <w:widowControl/>
              <w:tabs>
                <w:tab w:val="left" w:pos="245"/>
              </w:tabs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(mmol/L)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77E0902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0.69 (0.44~1.1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7D07FC6A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</w:p>
        </w:tc>
      </w:tr>
      <w:tr w:rsidR="00F664EB" w14:paraId="5298E1D4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518BD8F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Na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(mmol/L)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7D10250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0.95 (0.91~1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6F6A0D9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</w:tr>
      <w:tr w:rsidR="00F664EB" w14:paraId="7A1296C3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4E1C58D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Ca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(mmol/L)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089B768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 (0.01~0.17)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2E4DCF3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664EB" w14:paraId="36EFB057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362EC2B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PT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(s)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AF15E9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1.25 (1.14~1.37)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58C5CA5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664EB" w14:paraId="3763B678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244CB97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APTT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(s)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2E731AF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1.07 (1.05~1.1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10DE335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664EB" w14:paraId="463E4F71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075BDFBB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Degree of ascite,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(n%)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6AA2BD0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0039D8C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6ACF2AE4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5F7A734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77A528C1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16197CA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728BA520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28AD571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Mild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1CF2639F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2.47 (1.12~5.45)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19E49DEF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0.026</w:t>
            </w:r>
          </w:p>
        </w:tc>
      </w:tr>
      <w:tr w:rsidR="00F664EB" w14:paraId="0E0B0CC7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724AAB8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Moderate-Severe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5A2E090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2.86 (1.81~4.54)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448DC6A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664EB" w14:paraId="35985078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58F5D76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Classification of Child-Pugh,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(n%)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6A566615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0F972CA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7FD4462D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2F53CA9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Class A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C90934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116F8F2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1479D7EF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0D951939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Class B-C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2BF5505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4.82 (3.04~7.66)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7D17C8A8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664EB" w14:paraId="3401222B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215DABE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MELD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S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cores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219808EC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1.06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(1.02~1.11)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609AF6F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0.009</w:t>
            </w:r>
          </w:p>
        </w:tc>
      </w:tr>
      <w:tr w:rsidR="00F664EB" w14:paraId="38907CCE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2A88AD8E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DM, n (%)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5876E392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640540B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4DD21DC8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1A10B9E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0EB80525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44AA217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7CB06DAB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10CD55CE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306172A3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2.22 (1.24~3.96)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2577B6E6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0.007</w:t>
            </w:r>
          </w:p>
        </w:tc>
      </w:tr>
      <w:tr w:rsidR="00F664EB" w14:paraId="5623F38F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176C2A5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Infection, n (%)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2BA110C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5D0CFBC7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76D725BF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3C438ED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06CC8CEE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7047355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664EB" w14:paraId="202DA0FF" w14:textId="77777777" w:rsidTr="00D6268F">
        <w:tc>
          <w:tcPr>
            <w:tcW w:w="8085" w:type="dxa"/>
            <w:tcBorders>
              <w:tl2br w:val="nil"/>
              <w:tr2bl w:val="nil"/>
            </w:tcBorders>
            <w:noWrap/>
            <w:vAlign w:val="center"/>
          </w:tcPr>
          <w:p w14:paraId="36CFFF0F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52" w:type="dxa"/>
            <w:tcBorders>
              <w:tl2br w:val="nil"/>
              <w:tr2bl w:val="nil"/>
            </w:tcBorders>
            <w:noWrap/>
            <w:vAlign w:val="center"/>
          </w:tcPr>
          <w:p w14:paraId="6478A0DD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2.22 (1.24~3.96)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 w14:paraId="02C023E4" w14:textId="77777777" w:rsidR="00F664EB" w:rsidRDefault="00F664EB" w:rsidP="00D6268F">
            <w:pPr>
              <w:widowControl/>
              <w:snapToGrid w:val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0.007</w:t>
            </w:r>
          </w:p>
        </w:tc>
      </w:tr>
    </w:tbl>
    <w:p w14:paraId="11860ED7" w14:textId="77777777" w:rsidR="00F664EB" w:rsidRDefault="00F664EB" w:rsidP="00F664EB">
      <w:pPr>
        <w:rPr>
          <w:rFonts w:eastAsia="SimHei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Abbreviations: OR, odds ratio; CI, confidence interval; Ref: reference; </w:t>
      </w:r>
      <w:r>
        <w:rPr>
          <w:rFonts w:ascii="Times New Roman" w:hAnsi="Times New Roman" w:cs="Times New Roman" w:hint="eastAsia"/>
          <w:sz w:val="20"/>
          <w:szCs w:val="20"/>
        </w:rPr>
        <w:t xml:space="preserve">SBP, Systolic blood pressure; DBP, Diastolic blood pressure; </w:t>
      </w:r>
      <w:r>
        <w:rPr>
          <w:rFonts w:ascii="Times New Roman" w:hAnsi="Times New Roman" w:cs="Times New Roman"/>
          <w:sz w:val="20"/>
          <w:szCs w:val="20"/>
        </w:rPr>
        <w:t xml:space="preserve">WBC, white blood cell; RBC, Red blood cell; PLT, Platelet; TBIL, Total Bilirubin; DBIL, Direct Bilirubin; IBIL, </w:t>
      </w:r>
      <w:hyperlink r:id="rId4" w:history="1">
        <w:r>
          <w:rPr>
            <w:rFonts w:ascii="Times New Roman" w:hAnsi="Times New Roman" w:cs="Times New Roman"/>
            <w:sz w:val="20"/>
            <w:szCs w:val="20"/>
          </w:rPr>
          <w:t>Indirect Bilirubin</w:t>
        </w:r>
      </w:hyperlink>
      <w:r>
        <w:rPr>
          <w:rFonts w:ascii="Times New Roman" w:hAnsi="Times New Roman" w:cs="Times New Roman"/>
          <w:sz w:val="20"/>
          <w:szCs w:val="20"/>
        </w:rPr>
        <w:t xml:space="preserve">; ALT, Alanine Aminotransferase; AST, Aspartate Aminotransferase; ALP, </w:t>
      </w:r>
      <w:hyperlink r:id="rId5" w:history="1">
        <w:r>
          <w:rPr>
            <w:rFonts w:ascii="Times New Roman" w:hAnsi="Times New Roman" w:cs="Times New Roman"/>
            <w:sz w:val="20"/>
            <w:szCs w:val="20"/>
          </w:rPr>
          <w:t xml:space="preserve">Alkaline </w:t>
        </w:r>
        <w:r>
          <w:rPr>
            <w:rFonts w:ascii="Times New Roman" w:hAnsi="Times New Roman" w:cs="Times New Roman"/>
            <w:sz w:val="20"/>
            <w:szCs w:val="20"/>
          </w:rPr>
          <w:lastRenderedPageBreak/>
          <w:t>Phosphatase</w:t>
        </w:r>
      </w:hyperlink>
      <w:r>
        <w:rPr>
          <w:rFonts w:ascii="Times New Roman" w:hAnsi="Times New Roman" w:cs="Times New Roman"/>
          <w:sz w:val="20"/>
          <w:szCs w:val="20"/>
        </w:rPr>
        <w:t>; GGT, gamma-Glutamyl Transpeptidase;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BUN, Blood urea nitrogen</w:t>
      </w:r>
      <w:r>
        <w:rPr>
          <w:rFonts w:ascii="Times New Roman" w:hAnsi="Times New Roman" w:cs="Times New Roman" w:hint="eastAsia"/>
          <w:sz w:val="20"/>
          <w:szCs w:val="20"/>
        </w:rPr>
        <w:t>; MELD, Model for end-stage liver disease.</w:t>
      </w:r>
    </w:p>
    <w:p w14:paraId="511B97D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4EB"/>
    <w:rsid w:val="00195413"/>
    <w:rsid w:val="003D0186"/>
    <w:rsid w:val="007278E4"/>
    <w:rsid w:val="009247F2"/>
    <w:rsid w:val="00A3738C"/>
    <w:rsid w:val="00BC6C35"/>
    <w:rsid w:val="00CB270D"/>
    <w:rsid w:val="00CF7583"/>
    <w:rsid w:val="00DE6AE2"/>
    <w:rsid w:val="00F6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FCA10"/>
  <w15:chartTrackingRefBased/>
  <w15:docId w15:val="{5BDFFDDA-358D-45DE-BEA0-F3E3C8C90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4EB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64E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4E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64E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64E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64E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64E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64E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64E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64E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64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4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64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64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64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64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64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64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64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64E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64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64E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64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64E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64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64E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64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64E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64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64E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F664EB"/>
    <w:rPr>
      <w:rFonts w:ascii="Arial" w:eastAsia="SimHei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avascript:;" TargetMode="External"/><Relationship Id="rId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1485</Characters>
  <Application>Microsoft Office Word</Application>
  <DocSecurity>0</DocSecurity>
  <Lines>47</Lines>
  <Paragraphs>29</Paragraphs>
  <ScaleCrop>false</ScaleCrop>
  <Company>Springer Nature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2025-11-14T08:12:00Z</dcterms:created>
  <dcterms:modified xsi:type="dcterms:W3CDTF">2025-11-14T08:12:00Z</dcterms:modified>
</cp:coreProperties>
</file>