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F8AF6">
      <w:pPr>
        <w:numPr>
          <w:numId w:val="0"/>
        </w:numPr>
        <w:ind w:left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Highlights</w:t>
      </w:r>
    </w:p>
    <w:p w14:paraId="3517D5E9">
      <w:pPr>
        <w:numPr>
          <w:numId w:val="0"/>
        </w:numPr>
        <w:ind w:left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73A87C8D">
      <w:pPr>
        <w:numPr>
          <w:numId w:val="0"/>
        </w:numPr>
        <w:ind w:left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2034C27D">
      <w:pPr>
        <w:numPr>
          <w:ilvl w:val="0"/>
          <w:numId w:val="1"/>
        </w:numPr>
        <w:ind w:left="420" w:leftChars="0" w:hanging="42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Microplastics, mainly fragments (&lt;500 μm; PET, PVC, PU), were abundant in road dust, with the Silent Zone showing the highest load.</w:t>
      </w:r>
    </w:p>
    <w:p w14:paraId="4CED532A">
      <w:pPr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5611BF98">
      <w:pPr>
        <w:numPr>
          <w:ilvl w:val="0"/>
          <w:numId w:val="1"/>
        </w:numPr>
        <w:ind w:left="420" w:leftChars="0" w:hanging="42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Heavy metals analysis showed Fe, Mn, and Zn dominance, with Zn posing the highest contamination concern.</w:t>
      </w:r>
    </w:p>
    <w:p w14:paraId="372B493D">
      <w:pPr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0C4C53BF">
      <w:pPr>
        <w:numPr>
          <w:ilvl w:val="0"/>
          <w:numId w:val="1"/>
        </w:numPr>
        <w:ind w:left="420" w:leftChars="0" w:hanging="42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Carcinogenic risks from Cr exceeded safe limits, urging integrated pollution control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C9DFED"/>
    <w:multiLevelType w:val="singleLevel"/>
    <w:tmpl w:val="88C9DFED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6B0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2025-09-11T07:07:37Z</dcterms:created>
  <dc:creator>Dell</dc:creator>
  <cp:lastModifiedBy>Abhishek Kumar</cp:lastModifiedBy>
  <dcterms:modified xsi:type="dcterms:W3CDTF">2025-09-11T07:09:15Z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7E539D6BFE72452986DFDB5052B2B811_12</vt:lpwstr>
  </property>
</Properties>
</file>