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41056C" w:rsidRDefault="0041056C">
      <w:pPr>
        <w:jc w:val="center"/>
        <w:rPr>
          <w:rFonts w:ascii="Arial" w:eastAsia="Arial" w:hAnsi="Arial" w:cs="Arial"/>
          <w:sz w:val="20"/>
          <w:szCs w:val="20"/>
        </w:rPr>
      </w:pPr>
    </w:p>
    <w:p w14:paraId="00000002" w14:textId="77777777" w:rsidR="0041056C" w:rsidRDefault="0041056C">
      <w:pPr>
        <w:rPr>
          <w:rFonts w:ascii="Arial" w:eastAsia="Arial" w:hAnsi="Arial" w:cs="Arial"/>
          <w:sz w:val="20"/>
          <w:szCs w:val="20"/>
        </w:rPr>
      </w:pPr>
    </w:p>
    <w:p w14:paraId="00000003" w14:textId="77777777" w:rsidR="0041056C" w:rsidRDefault="0041056C">
      <w:pPr>
        <w:rPr>
          <w:rFonts w:ascii="Arial" w:eastAsia="Arial" w:hAnsi="Arial" w:cs="Arial"/>
          <w:sz w:val="20"/>
          <w:szCs w:val="20"/>
        </w:rPr>
      </w:pPr>
    </w:p>
    <w:p w14:paraId="00000004" w14:textId="77777777" w:rsidR="0041056C" w:rsidRDefault="0041056C">
      <w:pPr>
        <w:rPr>
          <w:rFonts w:ascii="Arial" w:eastAsia="Arial" w:hAnsi="Arial" w:cs="Arial"/>
          <w:sz w:val="20"/>
          <w:szCs w:val="20"/>
        </w:rPr>
      </w:pPr>
    </w:p>
    <w:p w14:paraId="00000005" w14:textId="77777777" w:rsidR="0041056C" w:rsidRDefault="0041056C">
      <w:pPr>
        <w:rPr>
          <w:rFonts w:ascii="Arial" w:eastAsia="Arial" w:hAnsi="Arial" w:cs="Arial"/>
          <w:sz w:val="20"/>
          <w:szCs w:val="20"/>
        </w:rPr>
      </w:pPr>
    </w:p>
    <w:p w14:paraId="00000006" w14:textId="77777777" w:rsidR="0041056C" w:rsidRDefault="0041056C">
      <w:pPr>
        <w:rPr>
          <w:rFonts w:ascii="Arial" w:eastAsia="Arial" w:hAnsi="Arial" w:cs="Arial"/>
          <w:sz w:val="20"/>
          <w:szCs w:val="20"/>
        </w:rPr>
      </w:pPr>
    </w:p>
    <w:p w14:paraId="00000007" w14:textId="77777777" w:rsidR="0041056C" w:rsidRPr="00050F51" w:rsidRDefault="00000000">
      <w:pPr>
        <w:rPr>
          <w:rFonts w:ascii="Arial" w:eastAsia="Arial" w:hAnsi="Arial" w:cs="Arial"/>
          <w:b/>
          <w:bCs/>
          <w:sz w:val="28"/>
          <w:szCs w:val="28"/>
        </w:rPr>
      </w:pPr>
      <w:r w:rsidRPr="00050F51">
        <w:rPr>
          <w:rFonts w:ascii="Arial" w:eastAsia="Arial" w:hAnsi="Arial" w:cs="Arial"/>
          <w:b/>
          <w:bCs/>
          <w:sz w:val="28"/>
          <w:szCs w:val="28"/>
        </w:rPr>
        <w:t>Supporting Information for</w:t>
      </w:r>
    </w:p>
    <w:p w14:paraId="00000008" w14:textId="77777777" w:rsidR="0041056C" w:rsidRPr="00050F51" w:rsidRDefault="00000000">
      <w:pPr>
        <w:rPr>
          <w:rFonts w:ascii="Arial" w:eastAsia="Arial" w:hAnsi="Arial" w:cs="Arial"/>
        </w:rPr>
      </w:pPr>
      <w:r w:rsidRPr="00050F51">
        <w:rPr>
          <w:rFonts w:ascii="Arial" w:eastAsia="Arial" w:hAnsi="Arial" w:cs="Arial"/>
          <w:sz w:val="28"/>
          <w:szCs w:val="28"/>
        </w:rPr>
        <w:t>Climate change exacerbates water affordability crisis</w:t>
      </w:r>
    </w:p>
    <w:p w14:paraId="00000009" w14:textId="77777777" w:rsidR="0041056C" w:rsidRPr="00050F51" w:rsidRDefault="0041056C">
      <w:pPr>
        <w:rPr>
          <w:rFonts w:ascii="Arial" w:eastAsia="Arial" w:hAnsi="Arial" w:cs="Arial"/>
          <w:sz w:val="20"/>
          <w:szCs w:val="20"/>
        </w:rPr>
      </w:pPr>
    </w:p>
    <w:p w14:paraId="0000000A" w14:textId="77777777" w:rsidR="0041056C" w:rsidRPr="00050F51" w:rsidRDefault="00000000">
      <w:pPr>
        <w:rPr>
          <w:rFonts w:ascii="Arial" w:eastAsia="Arial" w:hAnsi="Arial" w:cs="Arial"/>
          <w:sz w:val="20"/>
          <w:szCs w:val="20"/>
        </w:rPr>
      </w:pPr>
      <w:r w:rsidRPr="00050F51">
        <w:rPr>
          <w:rFonts w:ascii="Arial" w:eastAsia="Arial" w:hAnsi="Arial" w:cs="Arial"/>
          <w:sz w:val="20"/>
          <w:szCs w:val="20"/>
        </w:rPr>
        <w:t>Jennifer Skerker</w:t>
      </w:r>
      <w:r w:rsidRPr="00050F51">
        <w:rPr>
          <w:rFonts w:ascii="Arial" w:eastAsia="Arial" w:hAnsi="Arial" w:cs="Arial"/>
          <w:sz w:val="20"/>
          <w:szCs w:val="20"/>
          <w:vertAlign w:val="superscript"/>
        </w:rPr>
        <w:t>a</w:t>
      </w:r>
      <w:r w:rsidRPr="00050F51">
        <w:rPr>
          <w:rFonts w:ascii="Arial" w:eastAsia="Arial" w:hAnsi="Arial" w:cs="Arial"/>
          <w:sz w:val="20"/>
          <w:szCs w:val="20"/>
        </w:rPr>
        <w:t>*, Christian Klassert</w:t>
      </w:r>
      <w:r w:rsidRPr="00050F51">
        <w:rPr>
          <w:rFonts w:ascii="Arial" w:eastAsia="Arial" w:hAnsi="Arial" w:cs="Arial"/>
          <w:sz w:val="20"/>
          <w:szCs w:val="20"/>
          <w:vertAlign w:val="superscript"/>
        </w:rPr>
        <w:t>b</w:t>
      </w:r>
      <w:r w:rsidRPr="00050F51">
        <w:rPr>
          <w:rFonts w:ascii="Arial" w:eastAsia="Arial" w:hAnsi="Arial" w:cs="Arial"/>
          <w:sz w:val="20"/>
          <w:szCs w:val="20"/>
        </w:rPr>
        <w:t>, Baptiste Francois</w:t>
      </w:r>
      <w:r w:rsidRPr="00050F51">
        <w:rPr>
          <w:rFonts w:ascii="Arial" w:eastAsia="Arial" w:hAnsi="Arial" w:cs="Arial"/>
          <w:sz w:val="20"/>
          <w:szCs w:val="20"/>
          <w:vertAlign w:val="superscript"/>
        </w:rPr>
        <w:t>c</w:t>
      </w:r>
      <w:r w:rsidRPr="00050F51">
        <w:rPr>
          <w:rFonts w:ascii="Arial" w:eastAsia="Arial" w:hAnsi="Arial" w:cs="Arial"/>
          <w:sz w:val="20"/>
          <w:szCs w:val="20"/>
        </w:rPr>
        <w:t>, Aniket Verma</w:t>
      </w:r>
      <w:r w:rsidRPr="00050F51">
        <w:rPr>
          <w:rFonts w:ascii="Arial" w:eastAsia="Arial" w:hAnsi="Arial" w:cs="Arial"/>
          <w:sz w:val="20"/>
          <w:szCs w:val="20"/>
          <w:vertAlign w:val="superscript"/>
        </w:rPr>
        <w:t>a</w:t>
      </w:r>
      <w:r w:rsidRPr="00050F51">
        <w:rPr>
          <w:rFonts w:ascii="Arial" w:eastAsia="Arial" w:hAnsi="Arial" w:cs="Arial"/>
          <w:sz w:val="20"/>
          <w:szCs w:val="20"/>
        </w:rPr>
        <w:t>, Casey Brown</w:t>
      </w:r>
      <w:r w:rsidRPr="00050F51">
        <w:rPr>
          <w:rFonts w:ascii="Arial" w:eastAsia="Arial" w:hAnsi="Arial" w:cs="Arial"/>
          <w:sz w:val="20"/>
          <w:szCs w:val="20"/>
          <w:vertAlign w:val="superscript"/>
        </w:rPr>
        <w:t>c</w:t>
      </w:r>
      <w:r w:rsidRPr="00050F51">
        <w:rPr>
          <w:rFonts w:ascii="Arial" w:eastAsia="Arial" w:hAnsi="Arial" w:cs="Arial"/>
          <w:sz w:val="20"/>
          <w:szCs w:val="20"/>
        </w:rPr>
        <w:t>, Sarah Fletcher</w:t>
      </w:r>
      <w:r w:rsidRPr="00050F51">
        <w:rPr>
          <w:rFonts w:ascii="Arial" w:eastAsia="Arial" w:hAnsi="Arial" w:cs="Arial"/>
          <w:sz w:val="20"/>
          <w:szCs w:val="20"/>
          <w:vertAlign w:val="superscript"/>
        </w:rPr>
        <w:t>a,d</w:t>
      </w:r>
      <w:r w:rsidRPr="00050F51">
        <w:rPr>
          <w:rFonts w:ascii="Arial" w:eastAsia="Arial" w:hAnsi="Arial" w:cs="Arial"/>
          <w:sz w:val="20"/>
          <w:szCs w:val="20"/>
        </w:rPr>
        <w:t>*</w:t>
      </w:r>
    </w:p>
    <w:p w14:paraId="0000000B" w14:textId="77777777" w:rsidR="0041056C" w:rsidRPr="00050F51" w:rsidRDefault="0041056C">
      <w:pPr>
        <w:rPr>
          <w:rFonts w:ascii="Arial" w:eastAsia="Arial" w:hAnsi="Arial" w:cs="Arial"/>
          <w:sz w:val="20"/>
          <w:szCs w:val="20"/>
        </w:rPr>
      </w:pPr>
    </w:p>
    <w:p w14:paraId="0000000C" w14:textId="77777777" w:rsidR="0041056C" w:rsidRPr="00050F51" w:rsidRDefault="00000000">
      <w:pPr>
        <w:rPr>
          <w:rFonts w:ascii="Arial" w:eastAsia="Arial" w:hAnsi="Arial" w:cs="Arial"/>
          <w:sz w:val="20"/>
          <w:szCs w:val="20"/>
        </w:rPr>
      </w:pPr>
      <w:r w:rsidRPr="00050F51">
        <w:rPr>
          <w:rFonts w:ascii="Arial" w:eastAsia="Arial" w:hAnsi="Arial" w:cs="Arial"/>
          <w:sz w:val="20"/>
          <w:szCs w:val="20"/>
          <w:vertAlign w:val="superscript"/>
        </w:rPr>
        <w:t>a</w:t>
      </w:r>
      <w:r w:rsidRPr="00050F51">
        <w:rPr>
          <w:rFonts w:ascii="Arial" w:eastAsia="Arial" w:hAnsi="Arial" w:cs="Arial"/>
          <w:sz w:val="20"/>
          <w:szCs w:val="20"/>
        </w:rPr>
        <w:t>Civil and Environmental Engineering Department, Stanford University</w:t>
      </w:r>
    </w:p>
    <w:p w14:paraId="0000000D" w14:textId="77777777" w:rsidR="0041056C" w:rsidRPr="00050F51" w:rsidRDefault="00000000">
      <w:pPr>
        <w:rPr>
          <w:rFonts w:ascii="Arial" w:eastAsia="Arial" w:hAnsi="Arial" w:cs="Arial"/>
          <w:sz w:val="20"/>
          <w:szCs w:val="20"/>
        </w:rPr>
      </w:pPr>
      <w:r w:rsidRPr="00050F51">
        <w:rPr>
          <w:rFonts w:ascii="Arial" w:eastAsia="Arial" w:hAnsi="Arial" w:cs="Arial"/>
          <w:sz w:val="20"/>
          <w:szCs w:val="20"/>
          <w:vertAlign w:val="superscript"/>
        </w:rPr>
        <w:t>b</w:t>
      </w:r>
      <w:r w:rsidRPr="00050F51">
        <w:rPr>
          <w:rFonts w:ascii="Arial" w:eastAsia="Arial" w:hAnsi="Arial" w:cs="Arial"/>
          <w:sz w:val="20"/>
          <w:szCs w:val="20"/>
        </w:rPr>
        <w:t>Helmholtz Centre for Environmental Research, UFZ</w:t>
      </w:r>
    </w:p>
    <w:p w14:paraId="0000000E" w14:textId="77777777" w:rsidR="0041056C" w:rsidRPr="00050F51" w:rsidRDefault="00000000">
      <w:pPr>
        <w:rPr>
          <w:rFonts w:ascii="Arial" w:eastAsia="Arial" w:hAnsi="Arial" w:cs="Arial"/>
          <w:sz w:val="20"/>
          <w:szCs w:val="20"/>
        </w:rPr>
      </w:pPr>
      <w:r w:rsidRPr="00050F51">
        <w:rPr>
          <w:rFonts w:ascii="Arial" w:eastAsia="Arial" w:hAnsi="Arial" w:cs="Arial"/>
          <w:sz w:val="20"/>
          <w:szCs w:val="20"/>
          <w:vertAlign w:val="superscript"/>
        </w:rPr>
        <w:t>c</w:t>
      </w:r>
      <w:r w:rsidRPr="00050F51">
        <w:rPr>
          <w:rFonts w:ascii="Arial" w:eastAsia="Arial" w:hAnsi="Arial" w:cs="Arial"/>
          <w:sz w:val="20"/>
          <w:szCs w:val="20"/>
        </w:rPr>
        <w:t>Department of Civil and Environmental Engineering, University of Massachusetts</w:t>
      </w:r>
    </w:p>
    <w:p w14:paraId="0000000F" w14:textId="77777777" w:rsidR="0041056C" w:rsidRPr="00050F51" w:rsidRDefault="00000000">
      <w:pPr>
        <w:rPr>
          <w:rFonts w:ascii="Arial" w:eastAsia="Arial" w:hAnsi="Arial" w:cs="Arial"/>
          <w:sz w:val="20"/>
          <w:szCs w:val="20"/>
        </w:rPr>
      </w:pPr>
      <w:r w:rsidRPr="00050F51">
        <w:rPr>
          <w:rFonts w:ascii="Arial" w:eastAsia="Arial" w:hAnsi="Arial" w:cs="Arial"/>
          <w:sz w:val="20"/>
          <w:szCs w:val="20"/>
          <w:vertAlign w:val="superscript"/>
        </w:rPr>
        <w:t>d</w:t>
      </w:r>
      <w:r w:rsidRPr="00050F51">
        <w:rPr>
          <w:rFonts w:ascii="Arial" w:eastAsia="Arial" w:hAnsi="Arial" w:cs="Arial"/>
          <w:sz w:val="20"/>
          <w:szCs w:val="20"/>
        </w:rPr>
        <w:t>Woods Institute for the Environment, Stanford University</w:t>
      </w:r>
    </w:p>
    <w:p w14:paraId="00000010" w14:textId="77777777" w:rsidR="0041056C" w:rsidRPr="00050F51" w:rsidRDefault="0041056C">
      <w:pPr>
        <w:rPr>
          <w:rFonts w:ascii="Arial" w:eastAsia="Arial" w:hAnsi="Arial" w:cs="Arial"/>
          <w:sz w:val="20"/>
          <w:szCs w:val="20"/>
        </w:rPr>
      </w:pPr>
    </w:p>
    <w:p w14:paraId="00000011" w14:textId="77777777" w:rsidR="0041056C" w:rsidRPr="00050F51" w:rsidRDefault="00000000">
      <w:pPr>
        <w:rPr>
          <w:rFonts w:ascii="Arial" w:eastAsia="Arial" w:hAnsi="Arial" w:cs="Arial"/>
          <w:sz w:val="20"/>
          <w:szCs w:val="20"/>
        </w:rPr>
      </w:pPr>
      <w:r w:rsidRPr="00050F51">
        <w:rPr>
          <w:rFonts w:ascii="Arial" w:eastAsia="Arial" w:hAnsi="Arial" w:cs="Arial"/>
          <w:sz w:val="20"/>
          <w:szCs w:val="20"/>
        </w:rPr>
        <w:t>*Jennifer B. Skerker, Sarah Fletcher</w:t>
      </w:r>
    </w:p>
    <w:p w14:paraId="00000012" w14:textId="77777777" w:rsidR="0041056C" w:rsidRPr="00050F51" w:rsidRDefault="00000000">
      <w:pPr>
        <w:rPr>
          <w:rFonts w:ascii="Arial" w:eastAsia="Arial" w:hAnsi="Arial" w:cs="Arial"/>
          <w:sz w:val="20"/>
          <w:szCs w:val="20"/>
        </w:rPr>
      </w:pPr>
      <w:r w:rsidRPr="00050F51">
        <w:rPr>
          <w:rFonts w:ascii="Arial" w:eastAsia="Arial" w:hAnsi="Arial" w:cs="Arial"/>
          <w:sz w:val="20"/>
          <w:szCs w:val="20"/>
        </w:rPr>
        <w:t xml:space="preserve">Email: </w:t>
      </w:r>
      <w:hyperlink r:id="rId8">
        <w:r w:rsidR="0041056C" w:rsidRPr="00050F51">
          <w:rPr>
            <w:rFonts w:ascii="Arial" w:eastAsia="Arial" w:hAnsi="Arial" w:cs="Arial"/>
            <w:color w:val="0000FF"/>
            <w:sz w:val="20"/>
            <w:szCs w:val="20"/>
            <w:u w:val="single"/>
          </w:rPr>
          <w:t>jskerker@stanford.edu</w:t>
        </w:r>
      </w:hyperlink>
      <w:r w:rsidRPr="00050F51">
        <w:rPr>
          <w:rFonts w:ascii="Arial" w:eastAsia="Arial" w:hAnsi="Arial" w:cs="Arial"/>
          <w:sz w:val="20"/>
          <w:szCs w:val="20"/>
        </w:rPr>
        <w:t xml:space="preserve"> , </w:t>
      </w:r>
      <w:hyperlink r:id="rId9">
        <w:r w:rsidR="0041056C" w:rsidRPr="00050F51">
          <w:rPr>
            <w:rFonts w:ascii="Arial" w:eastAsia="Arial" w:hAnsi="Arial" w:cs="Arial"/>
            <w:color w:val="0000FF"/>
            <w:sz w:val="20"/>
            <w:szCs w:val="20"/>
            <w:u w:val="single"/>
          </w:rPr>
          <w:t>sfletcher@stanford.edu</w:t>
        </w:r>
      </w:hyperlink>
    </w:p>
    <w:p w14:paraId="00000013" w14:textId="77777777" w:rsidR="0041056C" w:rsidRPr="00050F51" w:rsidRDefault="0041056C">
      <w:pPr>
        <w:rPr>
          <w:rFonts w:ascii="Arial" w:eastAsia="Arial" w:hAnsi="Arial" w:cs="Arial"/>
          <w:sz w:val="20"/>
          <w:szCs w:val="20"/>
        </w:rPr>
      </w:pPr>
    </w:p>
    <w:p w14:paraId="00000014" w14:textId="77777777" w:rsidR="0041056C" w:rsidRPr="00050F51" w:rsidRDefault="0041056C">
      <w:pPr>
        <w:rPr>
          <w:rFonts w:ascii="Arial" w:eastAsia="Arial" w:hAnsi="Arial" w:cs="Arial"/>
          <w:b/>
          <w:bCs/>
          <w:sz w:val="20"/>
          <w:szCs w:val="20"/>
        </w:rPr>
      </w:pPr>
    </w:p>
    <w:p w14:paraId="00000015" w14:textId="77777777" w:rsidR="0041056C" w:rsidRPr="00050F51" w:rsidRDefault="00000000">
      <w:pPr>
        <w:rPr>
          <w:rFonts w:ascii="Arial" w:eastAsia="Arial" w:hAnsi="Arial" w:cs="Arial"/>
          <w:b/>
          <w:bCs/>
          <w:sz w:val="20"/>
          <w:szCs w:val="20"/>
        </w:rPr>
      </w:pPr>
      <w:r w:rsidRPr="00050F51">
        <w:rPr>
          <w:rFonts w:ascii="Arial" w:eastAsia="Arial" w:hAnsi="Arial" w:cs="Arial"/>
          <w:b/>
          <w:bCs/>
          <w:sz w:val="20"/>
          <w:szCs w:val="20"/>
        </w:rPr>
        <w:t>This PDF file includes:</w:t>
      </w:r>
    </w:p>
    <w:p w14:paraId="00000016" w14:textId="77777777" w:rsidR="0041056C" w:rsidRPr="00050F51" w:rsidRDefault="0041056C">
      <w:pPr>
        <w:rPr>
          <w:rFonts w:ascii="Arial" w:eastAsia="Arial" w:hAnsi="Arial" w:cs="Arial"/>
          <w:sz w:val="20"/>
          <w:szCs w:val="20"/>
        </w:rPr>
      </w:pPr>
    </w:p>
    <w:p w14:paraId="00000017" w14:textId="647012EE" w:rsidR="0041056C" w:rsidRPr="00050F51" w:rsidRDefault="00000000">
      <w:pPr>
        <w:ind w:left="720"/>
        <w:rPr>
          <w:rFonts w:ascii="Arial" w:eastAsia="Arial" w:hAnsi="Arial" w:cs="Arial"/>
          <w:sz w:val="20"/>
          <w:szCs w:val="20"/>
        </w:rPr>
      </w:pPr>
      <w:r w:rsidRPr="00050F51">
        <w:rPr>
          <w:rFonts w:ascii="Arial" w:eastAsia="Arial" w:hAnsi="Arial" w:cs="Arial"/>
          <w:sz w:val="20"/>
          <w:szCs w:val="20"/>
        </w:rPr>
        <w:t>Supporting text S1 to S1</w:t>
      </w:r>
      <w:r w:rsidR="009D34D8" w:rsidRPr="00050F51">
        <w:rPr>
          <w:rFonts w:ascii="Arial" w:eastAsia="Arial" w:hAnsi="Arial" w:cs="Arial"/>
          <w:sz w:val="20"/>
          <w:szCs w:val="20"/>
        </w:rPr>
        <w:t>8</w:t>
      </w:r>
    </w:p>
    <w:p w14:paraId="00000018" w14:textId="26A11130" w:rsidR="0041056C" w:rsidRPr="00050F51" w:rsidRDefault="00000000">
      <w:pPr>
        <w:ind w:left="720"/>
        <w:rPr>
          <w:rFonts w:ascii="Arial" w:eastAsia="Arial" w:hAnsi="Arial" w:cs="Arial"/>
          <w:sz w:val="20"/>
          <w:szCs w:val="20"/>
        </w:rPr>
      </w:pPr>
      <w:r w:rsidRPr="00050F51">
        <w:rPr>
          <w:rFonts w:ascii="Arial" w:eastAsia="Arial" w:hAnsi="Arial" w:cs="Arial"/>
          <w:sz w:val="20"/>
          <w:szCs w:val="20"/>
        </w:rPr>
        <w:t>Figures S1 to S</w:t>
      </w:r>
      <w:r w:rsidR="009D34D8" w:rsidRPr="00050F51">
        <w:rPr>
          <w:rFonts w:ascii="Arial" w:eastAsia="Arial" w:hAnsi="Arial" w:cs="Arial"/>
          <w:sz w:val="20"/>
          <w:szCs w:val="20"/>
        </w:rPr>
        <w:t>23</w:t>
      </w:r>
    </w:p>
    <w:p w14:paraId="00000019" w14:textId="163D8267" w:rsidR="0041056C" w:rsidRPr="00050F51" w:rsidRDefault="00000000">
      <w:pPr>
        <w:ind w:left="720"/>
        <w:rPr>
          <w:rFonts w:ascii="Arial" w:eastAsia="Arial" w:hAnsi="Arial" w:cs="Arial"/>
          <w:sz w:val="20"/>
          <w:szCs w:val="20"/>
        </w:rPr>
      </w:pPr>
      <w:r w:rsidRPr="00050F51">
        <w:rPr>
          <w:rFonts w:ascii="Arial" w:eastAsia="Arial" w:hAnsi="Arial" w:cs="Arial"/>
          <w:sz w:val="20"/>
          <w:szCs w:val="20"/>
        </w:rPr>
        <w:t>Tables S1 to S</w:t>
      </w:r>
      <w:r w:rsidR="009D34D8" w:rsidRPr="00050F51">
        <w:rPr>
          <w:rFonts w:ascii="Arial" w:eastAsia="Arial" w:hAnsi="Arial" w:cs="Arial"/>
          <w:sz w:val="20"/>
          <w:szCs w:val="20"/>
        </w:rPr>
        <w:t>11</w:t>
      </w:r>
    </w:p>
    <w:p w14:paraId="0000001A" w14:textId="77777777" w:rsidR="0041056C" w:rsidRPr="00050F51" w:rsidRDefault="00000000">
      <w:pPr>
        <w:ind w:left="720"/>
        <w:rPr>
          <w:rFonts w:ascii="Arial" w:eastAsia="Arial" w:hAnsi="Arial" w:cs="Arial"/>
          <w:sz w:val="20"/>
          <w:szCs w:val="20"/>
        </w:rPr>
      </w:pPr>
      <w:r w:rsidRPr="00050F51">
        <w:rPr>
          <w:rFonts w:ascii="Arial" w:eastAsia="Arial" w:hAnsi="Arial" w:cs="Arial"/>
          <w:sz w:val="20"/>
          <w:szCs w:val="20"/>
        </w:rPr>
        <w:t xml:space="preserve">SI References </w:t>
      </w:r>
    </w:p>
    <w:p w14:paraId="0000001B" w14:textId="77777777" w:rsidR="0041056C" w:rsidRPr="00050F51" w:rsidRDefault="00000000">
      <w:pPr>
        <w:rPr>
          <w:rFonts w:ascii="Arial" w:eastAsia="Arial" w:hAnsi="Arial" w:cs="Arial"/>
          <w:sz w:val="20"/>
          <w:szCs w:val="20"/>
        </w:rPr>
      </w:pPr>
      <w:r w:rsidRPr="00050F51">
        <w:rPr>
          <w:rFonts w:ascii="Arial" w:eastAsia="Arial" w:hAnsi="Arial" w:cs="Arial"/>
          <w:sz w:val="20"/>
          <w:szCs w:val="20"/>
        </w:rPr>
        <w:br/>
      </w:r>
    </w:p>
    <w:p w14:paraId="0000001C" w14:textId="77777777" w:rsidR="0041056C" w:rsidRPr="00050F51" w:rsidRDefault="0041056C">
      <w:pPr>
        <w:keepNext/>
        <w:pBdr>
          <w:top w:val="nil"/>
          <w:left w:val="nil"/>
          <w:bottom w:val="nil"/>
          <w:right w:val="nil"/>
          <w:between w:val="nil"/>
        </w:pBdr>
        <w:spacing w:before="240" w:after="60"/>
        <w:rPr>
          <w:rFonts w:ascii="Arial" w:eastAsia="Arial" w:hAnsi="Arial" w:cs="Arial"/>
          <w:b/>
          <w:bCs/>
          <w:color w:val="000000"/>
          <w:sz w:val="20"/>
          <w:szCs w:val="20"/>
        </w:rPr>
      </w:pPr>
    </w:p>
    <w:p w14:paraId="0000001D" w14:textId="77777777" w:rsidR="0041056C" w:rsidRPr="00050F51" w:rsidRDefault="0041056C">
      <w:pPr>
        <w:keepNext/>
        <w:pBdr>
          <w:top w:val="nil"/>
          <w:left w:val="nil"/>
          <w:bottom w:val="nil"/>
          <w:right w:val="nil"/>
          <w:between w:val="nil"/>
        </w:pBdr>
        <w:spacing w:before="240" w:after="60"/>
        <w:rPr>
          <w:rFonts w:ascii="Arial" w:eastAsia="Arial" w:hAnsi="Arial" w:cs="Arial"/>
          <w:b/>
          <w:bCs/>
          <w:color w:val="000000"/>
          <w:sz w:val="20"/>
          <w:szCs w:val="20"/>
        </w:rPr>
      </w:pPr>
    </w:p>
    <w:p w14:paraId="0000001E" w14:textId="77777777" w:rsidR="0041056C" w:rsidRPr="00050F51" w:rsidRDefault="0041056C">
      <w:pPr>
        <w:keepNext/>
        <w:pBdr>
          <w:top w:val="nil"/>
          <w:left w:val="nil"/>
          <w:bottom w:val="nil"/>
          <w:right w:val="nil"/>
          <w:between w:val="nil"/>
        </w:pBdr>
        <w:spacing w:before="240" w:after="60"/>
        <w:rPr>
          <w:rFonts w:ascii="Arial" w:eastAsia="Arial" w:hAnsi="Arial" w:cs="Arial"/>
          <w:b/>
          <w:bCs/>
          <w:color w:val="000000"/>
          <w:sz w:val="20"/>
          <w:szCs w:val="20"/>
        </w:rPr>
      </w:pPr>
      <w:bookmarkStart w:id="0" w:name="bookmark=id.98bvv692jedr" w:colFirst="0" w:colLast="0"/>
      <w:bookmarkStart w:id="1" w:name="bookmark=id.or048q77bobm" w:colFirst="0" w:colLast="0"/>
      <w:bookmarkEnd w:id="0"/>
      <w:bookmarkEnd w:id="1"/>
    </w:p>
    <w:p w14:paraId="0000001F" w14:textId="77777777" w:rsidR="0041056C" w:rsidRPr="00050F51" w:rsidRDefault="0041056C">
      <w:pPr>
        <w:keepNext/>
        <w:pBdr>
          <w:top w:val="nil"/>
          <w:left w:val="nil"/>
          <w:bottom w:val="nil"/>
          <w:right w:val="nil"/>
          <w:between w:val="nil"/>
        </w:pBdr>
        <w:spacing w:before="240" w:after="60"/>
        <w:rPr>
          <w:rFonts w:ascii="Arial" w:eastAsia="Arial" w:hAnsi="Arial" w:cs="Arial"/>
          <w:b/>
          <w:bCs/>
          <w:color w:val="000000"/>
          <w:sz w:val="20"/>
          <w:szCs w:val="20"/>
        </w:rPr>
      </w:pPr>
    </w:p>
    <w:p w14:paraId="00000020" w14:textId="77777777" w:rsidR="0041056C" w:rsidRPr="00050F51" w:rsidRDefault="0041056C">
      <w:pPr>
        <w:pBdr>
          <w:top w:val="nil"/>
          <w:left w:val="nil"/>
          <w:bottom w:val="nil"/>
          <w:right w:val="nil"/>
          <w:between w:val="nil"/>
        </w:pBdr>
        <w:rPr>
          <w:rFonts w:ascii="Arial" w:eastAsia="Arial" w:hAnsi="Arial" w:cs="Arial"/>
          <w:color w:val="000000"/>
          <w:sz w:val="20"/>
          <w:szCs w:val="20"/>
        </w:rPr>
      </w:pPr>
    </w:p>
    <w:p w14:paraId="00000021" w14:textId="77777777" w:rsidR="0041056C" w:rsidRPr="00050F51" w:rsidRDefault="00000000">
      <w:pPr>
        <w:rPr>
          <w:rFonts w:ascii="Arial" w:eastAsia="Arial" w:hAnsi="Arial" w:cs="Arial"/>
          <w:b/>
          <w:bCs/>
          <w:sz w:val="20"/>
          <w:szCs w:val="20"/>
        </w:rPr>
      </w:pPr>
      <w:r w:rsidRPr="00050F51">
        <w:br w:type="page"/>
      </w:r>
    </w:p>
    <w:p w14:paraId="00000022" w14:textId="77777777" w:rsidR="0041056C" w:rsidRPr="00050F51" w:rsidRDefault="00000000">
      <w:pPr>
        <w:keepNext/>
        <w:pBdr>
          <w:top w:val="nil"/>
          <w:left w:val="nil"/>
          <w:bottom w:val="nil"/>
          <w:right w:val="nil"/>
          <w:between w:val="nil"/>
        </w:pBdr>
        <w:spacing w:before="240" w:after="60"/>
        <w:rPr>
          <w:rFonts w:ascii="Arial" w:eastAsia="Arial" w:hAnsi="Arial" w:cs="Arial"/>
          <w:b/>
          <w:bCs/>
          <w:color w:val="000000"/>
          <w:sz w:val="20"/>
          <w:szCs w:val="20"/>
        </w:rPr>
      </w:pPr>
      <w:r w:rsidRPr="00050F51">
        <w:rPr>
          <w:rFonts w:ascii="Arial" w:eastAsia="Arial" w:hAnsi="Arial" w:cs="Arial"/>
          <w:b/>
          <w:bCs/>
          <w:color w:val="000000"/>
          <w:sz w:val="20"/>
          <w:szCs w:val="20"/>
        </w:rPr>
        <w:lastRenderedPageBreak/>
        <w:t>Supporting Information Text</w:t>
      </w:r>
    </w:p>
    <w:p w14:paraId="00000023" w14:textId="77777777" w:rsidR="0041056C" w:rsidRPr="00050F51" w:rsidRDefault="00000000" w:rsidP="00B56F00">
      <w:pPr>
        <w:pStyle w:val="SISectionHeading"/>
      </w:pPr>
      <w:r w:rsidRPr="00050F51">
        <w:t>Section S1. Additional information on climate scenario generation and utilized scenarios</w:t>
      </w:r>
    </w:p>
    <w:p w14:paraId="00000024" w14:textId="56F20558" w:rsidR="0041056C" w:rsidRPr="00050F51" w:rsidRDefault="00000000" w:rsidP="00355BB8">
      <w:pPr>
        <w:pBdr>
          <w:top w:val="nil"/>
          <w:left w:val="nil"/>
          <w:bottom w:val="nil"/>
          <w:right w:val="nil"/>
          <w:between w:val="nil"/>
        </w:pBdr>
        <w:spacing w:after="120"/>
        <w:rPr>
          <w:rFonts w:ascii="Arial" w:eastAsia="Arial" w:hAnsi="Arial" w:cs="Arial"/>
          <w:sz w:val="20"/>
          <w:szCs w:val="20"/>
        </w:rPr>
      </w:pPr>
      <w:r w:rsidRPr="00050F51">
        <w:rPr>
          <w:rFonts w:ascii="Arial" w:eastAsia="Arial" w:hAnsi="Arial" w:cs="Arial"/>
          <w:sz w:val="20"/>
          <w:szCs w:val="20"/>
        </w:rPr>
        <w:t>Climate scenario generation involves two key steps: first, developing stochastic weather simulations that reflect historical climate characteristics; and second, altering these simulations to capture different climate change impacts using the anomalies from climate models.</w:t>
      </w:r>
      <w:r w:rsidR="00016438" w:rsidRPr="00050F51">
        <w:rPr>
          <w:rFonts w:ascii="Arial" w:eastAsia="Arial" w:hAnsi="Arial" w:cs="Arial"/>
          <w:sz w:val="20"/>
          <w:szCs w:val="20"/>
        </w:rPr>
        <w:t xml:space="preserve"> </w:t>
      </w:r>
      <w:r w:rsidRPr="00050F51">
        <w:rPr>
          <w:rFonts w:ascii="Arial" w:eastAsia="Arial" w:hAnsi="Arial" w:cs="Arial"/>
          <w:sz w:val="20"/>
          <w:szCs w:val="20"/>
        </w:rPr>
        <w:t>The resulting simulations capture both short-term stochastic variability and long-term climate impacts and are used to force a hydrological model to develop streamflow scenarios (see SI Section S</w:t>
      </w:r>
      <w:sdt>
        <w:sdtPr>
          <w:rPr>
            <w:rFonts w:ascii="Arial" w:hAnsi="Arial" w:cs="Arial"/>
            <w:sz w:val="20"/>
            <w:szCs w:val="20"/>
          </w:rPr>
          <w:tag w:val="goog_rdk_0"/>
          <w:id w:val="1273746655"/>
        </w:sdtPr>
        <w:sdtContent/>
      </w:sdt>
      <w:r w:rsidR="00926C6C" w:rsidRPr="00050F51">
        <w:rPr>
          <w:rFonts w:ascii="Arial" w:eastAsia="Arial" w:hAnsi="Arial" w:cs="Arial"/>
          <w:sz w:val="20"/>
          <w:szCs w:val="20"/>
        </w:rPr>
        <w:t>10</w:t>
      </w:r>
      <w:r w:rsidRPr="00050F51">
        <w:rPr>
          <w:rFonts w:ascii="Arial" w:eastAsia="Arial" w:hAnsi="Arial" w:cs="Arial"/>
          <w:sz w:val="20"/>
          <w:szCs w:val="20"/>
        </w:rPr>
        <w:t>).</w:t>
      </w:r>
    </w:p>
    <w:p w14:paraId="00000025" w14:textId="1548C9ED" w:rsidR="0041056C" w:rsidRPr="00050F51" w:rsidRDefault="00000000" w:rsidP="00355BB8">
      <w:pPr>
        <w:pBdr>
          <w:top w:val="nil"/>
          <w:left w:val="nil"/>
          <w:bottom w:val="nil"/>
          <w:right w:val="nil"/>
          <w:between w:val="nil"/>
        </w:pBdr>
        <w:spacing w:after="120"/>
        <w:rPr>
          <w:rFonts w:ascii="Arial" w:eastAsia="Arial" w:hAnsi="Arial" w:cs="Arial"/>
          <w:sz w:val="20"/>
          <w:szCs w:val="20"/>
        </w:rPr>
      </w:pPr>
      <w:r w:rsidRPr="00050F51">
        <w:rPr>
          <w:rFonts w:ascii="Arial" w:eastAsia="Arial" w:hAnsi="Arial" w:cs="Arial"/>
          <w:sz w:val="20"/>
          <w:szCs w:val="20"/>
        </w:rPr>
        <w:t>First, the data for stochastic simulations includes monthly temperature and precipitation records (raw and reconstructed) spanning 1936 to 2015 from an extended version of a previous datase</w:t>
      </w:r>
      <w:sdt>
        <w:sdtPr>
          <w:rPr>
            <w:rFonts w:ascii="Arial" w:hAnsi="Arial" w:cs="Arial"/>
            <w:sz w:val="20"/>
            <w:szCs w:val="20"/>
          </w:rPr>
          <w:tag w:val="goog_rdk_1"/>
          <w:id w:val="1343833718"/>
        </w:sdtPr>
        <w:sdtContent/>
      </w:sdt>
      <w:r w:rsidRPr="00050F51">
        <w:rPr>
          <w:rFonts w:ascii="Arial" w:eastAsia="Arial" w:hAnsi="Arial" w:cs="Arial"/>
          <w:sz w:val="20"/>
          <w:szCs w:val="20"/>
        </w:rPr>
        <w:t>t.</w:t>
      </w:r>
      <w:r w:rsidR="00016438" w:rsidRPr="00050F51">
        <w:rPr>
          <w:rFonts w:ascii="Arial" w:eastAsia="Arial" w:hAnsi="Arial" w:cs="Arial"/>
          <w:sz w:val="20"/>
          <w:szCs w:val="20"/>
        </w:rPr>
        <w:fldChar w:fldCharType="begin"/>
      </w:r>
      <w:r w:rsidR="00ED1122" w:rsidRPr="00050F51">
        <w:rPr>
          <w:rFonts w:ascii="Arial" w:eastAsia="Arial" w:hAnsi="Arial" w:cs="Arial"/>
          <w:sz w:val="20"/>
          <w:szCs w:val="20"/>
        </w:rPr>
        <w:instrText xml:space="preserve"> ADDIN ZOTERO_ITEM CSL_CITATION {"citationID":"KDFYNxmI","properties":{"formattedCitation":"\\super 1,2\\nosupersub{}","plainCitation":"1,2","noteIndex":0},"citationItems":[{"id":11311,"uris":["http://zotero.org/users/3174049/items/3IRFYAWG"],"itemData":{"id":11311,"type":"article-journal","abstract":"A frequently encountered difficulty in assessing model-predicted land–atmosphere exchanges of moisture and energy is the absence of comprehensive observations to which model predictions can be compared at the spatial and temporal resolutions at which the models operate. Various methods have been used to evaluate the land surface schemes in coupled models, including comparisons of model-predicted evapotranspiration with values derived from atmospheric water balances, comparison of model-predicted energy and radiative fluxes with tower measurements during periods of intensive observations, comparison of model-predicted runoff with observed streamflow, and comparison of model predictions of soil moisture with spatial averages of point observations. While these approaches have provided useful model diagnostic information, the observation-based products used in the comparisons typically are inconsistent with the model variables with which they are compared—for example, observations are for points or areas much smaller than the model spatial resolution, comparisons are restricted to temporal averages, or the spatial scale is large compared to that resolved by the model. Furthermore, none of the datasets available at present allow an evaluation of the interaction of the water balance components over large regions for long periods. In this study, a model-derived dataset of land surface states and fluxes is presented for the conterminous United States and portions of Canada and Mexico. The dataset spans the period 1950–2000, and is at a 3-h time step with a spatial resolution of ⅛ degree. The data are distinct from reanalysis products in that precipitation is a gridded product derived directly from observations, and both the land surface water and energy budgets balance at every time step. The surface forcings include precipitation and air temperature (both gridded from observations), and derived downward solar and longwave radiation, vapor pressure deficit, and wind. Simulated runoff is shown to match observations quite well over large river basins. On this basis, and given the physically based model parameterizations, it is argued that other terms in the surface water balance (e.g., soil moisture and evapotranspiration) are well represented, at least for the purposes of diagnostic studies such as those in which atmospheric model reanalysis products have been widely used. These characteristics make this dataset useful for a variety of studies, especially where ground observations are lacking.","ISSN":"1520-0442","language":"en","section":"Journal of Climate","source":"journals.ametsoc.org","title":"A Long-Term Hydrologically Based Dataset of Land Surface Fluxes and States for the Conterminous United States","URL":"https://journals.ametsoc.org/view/journals/clim/15/22/1520-0442_2002_015_3237_althbd_2.0.co_2.xml","author":[{"family":"Maurer","given":"E. P."},{"family":"Wood","given":"A. W."},{"family":"Adam","given":"J. C."},{"family":"Lettenmaier","given":"D. P."},{"family":"Nijssen","given":"B."}],"accessed":{"date-parts":[["2025",3,13]]},"issued":{"date-parts":[["2002",11,15]]}}},{"id":11252,"uris":["http://zotero.org/users/3174049/items/LVDFAA29"],"itemData":{"id":11252,"type":"report","collection-title":"Weather Generator and Future Scenarios","publisher-place":"Santa Cruz, CA","title":"Vulnerability Assessment and Adaptation Planning for Santa Cruz Water Department","author":[{"literal":"Hydrosystems Research Group"}],"issued":{"date-parts":[["2021",7]]}}}],"schema":"https://github.com/citation-style-language/schema/raw/master/csl-citation.json"} </w:instrText>
      </w:r>
      <w:r w:rsidR="00016438" w:rsidRPr="00050F51">
        <w:rPr>
          <w:rFonts w:ascii="Arial" w:eastAsia="Arial" w:hAnsi="Arial" w:cs="Arial"/>
          <w:sz w:val="20"/>
          <w:szCs w:val="20"/>
        </w:rPr>
        <w:fldChar w:fldCharType="separate"/>
      </w:r>
      <w:r w:rsidR="00ED1122" w:rsidRPr="00050F51">
        <w:rPr>
          <w:rFonts w:ascii="Arial" w:hAnsi="Arial" w:cs="Arial"/>
          <w:sz w:val="20"/>
          <w:vertAlign w:val="superscript"/>
          <w:lang w:val="en-US"/>
        </w:rPr>
        <w:t>1,2</w:t>
      </w:r>
      <w:r w:rsidR="00016438" w:rsidRPr="00050F51">
        <w:rPr>
          <w:rFonts w:ascii="Arial" w:eastAsia="Arial" w:hAnsi="Arial" w:cs="Arial"/>
          <w:sz w:val="20"/>
          <w:szCs w:val="20"/>
        </w:rPr>
        <w:fldChar w:fldCharType="end"/>
      </w:r>
      <w:r w:rsidRPr="00050F51">
        <w:rPr>
          <w:rFonts w:ascii="Arial" w:eastAsia="Arial" w:hAnsi="Arial" w:cs="Arial"/>
          <w:sz w:val="20"/>
          <w:szCs w:val="20"/>
        </w:rPr>
        <w:t xml:space="preserve"> The spatial resolution of the data is ⅛ of a degree and grid cells within the San Lorenzo River watershed were averaged to obtain one temperature and one precipitation time </w:t>
      </w:r>
      <w:sdt>
        <w:sdtPr>
          <w:rPr>
            <w:rFonts w:ascii="Arial" w:hAnsi="Arial" w:cs="Arial"/>
            <w:sz w:val="20"/>
            <w:szCs w:val="20"/>
          </w:rPr>
          <w:tag w:val="goog_rdk_2"/>
          <w:id w:val="440386959"/>
        </w:sdtPr>
        <w:sdtContent/>
      </w:sdt>
      <w:r w:rsidRPr="00050F51">
        <w:rPr>
          <w:rFonts w:ascii="Arial" w:eastAsia="Arial" w:hAnsi="Arial" w:cs="Arial"/>
          <w:sz w:val="20"/>
          <w:szCs w:val="20"/>
        </w:rPr>
        <w:t>series.</w:t>
      </w:r>
      <w:r w:rsidR="00ED1122" w:rsidRPr="00050F51">
        <w:rPr>
          <w:rFonts w:ascii="Arial" w:eastAsia="Arial" w:hAnsi="Arial" w:cs="Arial"/>
          <w:sz w:val="20"/>
          <w:szCs w:val="20"/>
        </w:rPr>
        <w:fldChar w:fldCharType="begin"/>
      </w:r>
      <w:r w:rsidR="00ED1122" w:rsidRPr="00050F51">
        <w:rPr>
          <w:rFonts w:ascii="Arial" w:eastAsia="Arial" w:hAnsi="Arial" w:cs="Arial"/>
          <w:sz w:val="20"/>
          <w:szCs w:val="20"/>
        </w:rPr>
        <w:instrText xml:space="preserve"> ADDIN ZOTERO_ITEM CSL_CITATION {"citationID":"2vYrBJAu","properties":{"formattedCitation":"\\super 1,2\\nosupersub{}","plainCitation":"1,2","noteIndex":0},"citationItems":[{"id":11311,"uris":["http://zotero.org/users/3174049/items/3IRFYAWG"],"itemData":{"id":11311,"type":"article-journal","abstract":"A frequently encountered difficulty in assessing model-predicted land–atmosphere exchanges of moisture and energy is the absence of comprehensive observations to which model predictions can be compared at the spatial and temporal resolutions at which the models operate. Various methods have been used to evaluate the land surface schemes in coupled models, including comparisons of model-predicted evapotranspiration with values derived from atmospheric water balances, comparison of model-predicted energy and radiative fluxes with tower measurements during periods of intensive observations, comparison of model-predicted runoff with observed streamflow, and comparison of model predictions of soil moisture with spatial averages of point observations. While these approaches have provided useful model diagnostic information, the observation-based products used in the comparisons typically are inconsistent with the model variables with which they are compared—for example, observations are for points or areas much smaller than the model spatial resolution, comparisons are restricted to temporal averages, or the spatial scale is large compared to that resolved by the model. Furthermore, none of the datasets available at present allow an evaluation of the interaction of the water balance components over large regions for long periods. In this study, a model-derived dataset of land surface states and fluxes is presented for the conterminous United States and portions of Canada and Mexico. The dataset spans the period 1950–2000, and is at a 3-h time step with a spatial resolution of ⅛ degree. The data are distinct from reanalysis products in that precipitation is a gridded product derived directly from observations, and both the land surface water and energy budgets balance at every time step. The surface forcings include precipitation and air temperature (both gridded from observations), and derived downward solar and longwave radiation, vapor pressure deficit, and wind. Simulated runoff is shown to match observations quite well over large river basins. On this basis, and given the physically based model parameterizations, it is argued that other terms in the surface water balance (e.g., soil moisture and evapotranspiration) are well represented, at least for the purposes of diagnostic studies such as those in which atmospheric model reanalysis products have been widely used. These characteristics make this dataset useful for a variety of studies, especially where ground observations are lacking.","ISSN":"1520-0442","language":"en","section":"Journal of Climate","source":"journals.ametsoc.org","title":"A Long-Term Hydrologically Based Dataset of Land Surface Fluxes and States for the Conterminous United States","URL":"https://journals.ametsoc.org/view/journals/clim/15/22/1520-0442_2002_015_3237_althbd_2.0.co_2.xml","author":[{"family":"Maurer","given":"E. P."},{"family":"Wood","given":"A. W."},{"family":"Adam","given":"J. C."},{"family":"Lettenmaier","given":"D. P."},{"family":"Nijssen","given":"B."}],"accessed":{"date-parts":[["2025",3,13]]},"issued":{"date-parts":[["2002",11,15]]}}},{"id":11252,"uris":["http://zotero.org/users/3174049/items/LVDFAA29"],"itemData":{"id":11252,"type":"report","collection-title":"Weather Generator and Future Scenarios","publisher-place":"Santa Cruz, CA","title":"Vulnerability Assessment and Adaptation Planning for Santa Cruz Water Department","author":[{"literal":"Hydrosystems Research Group"}],"issued":{"date-parts":[["2021",7]]}}}],"schema":"https://github.com/citation-style-language/schema/raw/master/csl-citation.json"} </w:instrText>
      </w:r>
      <w:r w:rsidR="00ED1122" w:rsidRPr="00050F51">
        <w:rPr>
          <w:rFonts w:ascii="Arial" w:eastAsia="Arial" w:hAnsi="Arial" w:cs="Arial"/>
          <w:sz w:val="20"/>
          <w:szCs w:val="20"/>
        </w:rPr>
        <w:fldChar w:fldCharType="separate"/>
      </w:r>
      <w:r w:rsidR="00ED1122" w:rsidRPr="00050F51">
        <w:rPr>
          <w:rFonts w:ascii="Arial" w:hAnsi="Arial" w:cs="Arial"/>
          <w:sz w:val="20"/>
          <w:vertAlign w:val="superscript"/>
          <w:lang w:val="en-US"/>
        </w:rPr>
        <w:t>1,2</w:t>
      </w:r>
      <w:r w:rsidR="00ED1122" w:rsidRPr="00050F51">
        <w:rPr>
          <w:rFonts w:ascii="Arial" w:eastAsia="Arial" w:hAnsi="Arial" w:cs="Arial"/>
          <w:sz w:val="20"/>
          <w:szCs w:val="20"/>
        </w:rPr>
        <w:fldChar w:fldCharType="end"/>
      </w:r>
      <w:r w:rsidRPr="00050F51">
        <w:rPr>
          <w:rFonts w:ascii="Arial" w:eastAsia="Arial" w:hAnsi="Arial" w:cs="Arial"/>
          <w:sz w:val="20"/>
          <w:szCs w:val="20"/>
        </w:rPr>
        <w:t xml:space="preserve"> Since raw gridded data is only available from 1949-2000, k-nearest neighbors (KNN) resampling (K=1) with nearby gage data is used to reconstruct missing data for 1936-1949 and 2001-2015. Trends are removed prior to resampling. A wavelet auto-regressive model is then applied to reproduce low-frequency signals from the observed record, generating 100-year long annual time series, following a simplified version of a previously developed method.</w:t>
      </w:r>
      <w:r w:rsidR="00ED1122" w:rsidRPr="00050F51">
        <w:rPr>
          <w:rFonts w:ascii="Arial" w:eastAsia="Arial" w:hAnsi="Arial" w:cs="Arial"/>
          <w:sz w:val="20"/>
          <w:szCs w:val="20"/>
        </w:rPr>
        <w:fldChar w:fldCharType="begin"/>
      </w:r>
      <w:r w:rsidR="00ED1122" w:rsidRPr="00050F51">
        <w:rPr>
          <w:rFonts w:ascii="Arial" w:eastAsia="Arial" w:hAnsi="Arial" w:cs="Arial"/>
          <w:sz w:val="20"/>
          <w:szCs w:val="20"/>
        </w:rPr>
        <w:instrText xml:space="preserve"> ADDIN ZOTERO_ITEM CSL_CITATION {"citationID":"e5KAv2Nf","properties":{"formattedCitation":"\\super 3\\nosupersub{}","plainCitation":"3","noteIndex":0},"citationItems":[{"id":10634,"uris":["http://zotero.org/users/3174049/items/2387XCYN"],"itemData":{"id":10634,"type":"article-journal","abstract":"A multivariate, multisite daily weather generator is presented for use in decision-centric vulnerability assessments under climate change. The tool is envisioned to be useful for a wide range of socioeconomic and biophysical systems sensitive to different aspects of climate variability and change. The proposed stochastic model has several components, including (1) a wavelet decomposition coupled to an autoregressive model to account for structured, low-frequency climate oscillations, (2) a Markov chain and k-nearest-neighbor (KNN) resampling scheme to simulate spatially distributed, multivariate weather variables over a region, and (3) a quantile mapping procedure to enforce long-term distributional shifts in weather variables that result from prescribed climate changes. The Markov chain is used to better represent wet and dry spell statistics, while the KNN bootstrap resampler preserves the covariance structure between the weather variables and across space. The wavelet-based autoregressive model is applied to annual climate over the region and used to modulate the Markov chain and KNN resampling, embedding appropriate low-frequency structure within the daily weather generation process. Parameters can be altered in any of the components of the proposed model to enable the generation of realistic time series of climate variables that exhibit changes to both lower-order and higher-order statistics at long-term (interannual), mid-term (seasonal), and short-term (daily) timescales. The tool can be coupled with impact models in a bottom-up risk assessment to efficiently and exhaustively explore the potential climate changes under which a system is most vulnerable. An application of the weather generator is presented for the Connecticut River basin to demonstrate the tool's ability to generate a wide range of possible climate sequences over an extensive spatial domain.","container-title":"Water Resources Research","DOI":"10.1002/wrcr.20528","ISSN":"1944-7973","issue":"11","language":"en","license":"©2013. American Geophysical Union. All Rights Reserved.","note":"_eprint: https://onlinelibrary.wiley.com/doi/pdf/10.1002/wrcr.20528","page":"7205-7220","source":"Wiley Online Library","title":"A semiparametric multivariate, multisite weather generator with low-frequency variability for use in climate risk assessments","volume":"49","author":[{"family":"Steinschneider","given":"Scott"},{"family":"Brown","given":"Casey"}],"issued":{"date-parts":[["2013"]]}}}],"schema":"https://github.com/citation-style-language/schema/raw/master/csl-citation.json"} </w:instrText>
      </w:r>
      <w:r w:rsidR="00ED1122" w:rsidRPr="00050F51">
        <w:rPr>
          <w:rFonts w:ascii="Arial" w:eastAsia="Arial" w:hAnsi="Arial" w:cs="Arial"/>
          <w:sz w:val="20"/>
          <w:szCs w:val="20"/>
        </w:rPr>
        <w:fldChar w:fldCharType="separate"/>
      </w:r>
      <w:r w:rsidR="00ED1122" w:rsidRPr="00050F51">
        <w:rPr>
          <w:rFonts w:ascii="Arial" w:hAnsi="Arial" w:cs="Arial"/>
          <w:sz w:val="20"/>
          <w:vertAlign w:val="superscript"/>
          <w:lang w:val="en-US"/>
        </w:rPr>
        <w:t>3</w:t>
      </w:r>
      <w:r w:rsidR="00ED1122" w:rsidRPr="00050F51">
        <w:rPr>
          <w:rFonts w:ascii="Arial" w:eastAsia="Arial" w:hAnsi="Arial" w:cs="Arial"/>
          <w:sz w:val="20"/>
          <w:szCs w:val="20"/>
        </w:rPr>
        <w:fldChar w:fldCharType="end"/>
      </w:r>
      <w:r w:rsidRPr="00050F51">
        <w:rPr>
          <w:rFonts w:ascii="Arial" w:eastAsia="Arial" w:hAnsi="Arial" w:cs="Arial"/>
          <w:sz w:val="20"/>
          <w:szCs w:val="20"/>
        </w:rPr>
        <w:t xml:space="preserve"> Monthly-scale data are subsequently resampled from the annual data using a KNN approach (K=3) based on resampling from a given calendar month to obtain thousands of 100-year monthly stochastic simulations. From these, ten simulations are selected that best match the historical climate based on a KNN approach using sixteen statistical metrics for precipitation and temperature. These metrics capture long-term averages, seasonal variability, persistence, frequency of water year types, and annual rainfall distribution. </w:t>
      </w:r>
    </w:p>
    <w:p w14:paraId="00000026" w14:textId="17B6E5AD" w:rsidR="0041056C" w:rsidRPr="00050F51" w:rsidRDefault="00000000" w:rsidP="00355BB8">
      <w:pPr>
        <w:pBdr>
          <w:top w:val="nil"/>
          <w:left w:val="nil"/>
          <w:bottom w:val="nil"/>
          <w:right w:val="nil"/>
          <w:between w:val="nil"/>
        </w:pBdr>
        <w:spacing w:after="120"/>
        <w:rPr>
          <w:rFonts w:ascii="Arial" w:eastAsia="Arial" w:hAnsi="Arial" w:cs="Arial"/>
          <w:sz w:val="20"/>
          <w:szCs w:val="20"/>
        </w:rPr>
      </w:pPr>
      <w:r w:rsidRPr="00050F51">
        <w:rPr>
          <w:rFonts w:ascii="Arial" w:eastAsia="Arial" w:hAnsi="Arial" w:cs="Arial"/>
          <w:sz w:val="20"/>
          <w:szCs w:val="20"/>
        </w:rPr>
        <w:t xml:space="preserve">Second, Global Coupled Model Intercomparison Project phase 6 (CMIP6) climate projections are used to </w:t>
      </w:r>
      <w:r w:rsidR="0034345C" w:rsidRPr="00050F51">
        <w:rPr>
          <w:rFonts w:ascii="Arial" w:eastAsia="Arial" w:hAnsi="Arial" w:cs="Arial"/>
          <w:sz w:val="20"/>
          <w:szCs w:val="20"/>
        </w:rPr>
        <w:t>inform the</w:t>
      </w:r>
      <w:r w:rsidRPr="00050F51">
        <w:rPr>
          <w:rFonts w:ascii="Arial" w:eastAsia="Arial" w:hAnsi="Arial" w:cs="Arial"/>
          <w:sz w:val="20"/>
          <w:szCs w:val="20"/>
        </w:rPr>
        <w:t xml:space="preserve"> range of likely climate change anomalies in temperature and precipitation which are used to alter the stochastic simulations developed above to capture climate change impacts.</w:t>
      </w:r>
      <w:r w:rsidR="00ED1122" w:rsidRPr="00050F51">
        <w:rPr>
          <w:rFonts w:ascii="Arial" w:eastAsia="Arial" w:hAnsi="Arial" w:cs="Arial"/>
          <w:sz w:val="20"/>
          <w:szCs w:val="20"/>
        </w:rPr>
        <w:fldChar w:fldCharType="begin"/>
      </w:r>
      <w:r w:rsidR="00ED1122" w:rsidRPr="00050F51">
        <w:rPr>
          <w:rFonts w:ascii="Arial" w:eastAsia="Arial" w:hAnsi="Arial" w:cs="Arial"/>
          <w:sz w:val="20"/>
          <w:szCs w:val="20"/>
        </w:rPr>
        <w:instrText xml:space="preserve"> ADDIN ZOTERO_ITEM CSL_CITATION {"citationID":"DofI3iZ0","properties":{"formattedCitation":"\\super 4\\nosupersub{}","plainCitation":"4","noteIndex":0},"citationItems":[{"id":12045,"uris":["http://zotero.org/users/3174049/items/Q99F5K2Y"],"itemData":{"id":12045,"type":"article-journal","abstract":"By coordinating the design and distribution of global climate model simulations of the past, current, and future climate, the Coupled Model Intercomparison Project (CMIP) has become one of the foundational elements of climate science. However, the need to address an ever-expanding range of scientific questions arising from more and more research communities has made it necessary to revise the organization of CMIP. After a long and wide community consultation, a new and more federated structure has been put in place. It consists of three major elements: (1) a handful of common experiments, the DECK (Diagnostic, Evaluation and Characterization of Klima) and CMIP historical simulations (1850–near present) that will maintain continuity and help document basic characteristics of models across different phases of CMIP; (2) common standards, coordination, infrastructure, and documentation that will facilitate the distribution of model outputs and the characterization of the model ensemble; and (3) an ensemble of CMIP-Endorsed Model Intercomparison Projects (MIPs) that will be specific to a particular phase of CMIP (now CMIP6) and that will build on the DECK and CMIP historical simulations to address a large range of specific questions and fill the scientific gaps of the previous CMIP phases. The DECK and CMIP historical simulations, together with the use of CMIP data standards, will be the entry cards for models participating in CMIP. Participation in CMIP6-Endorsed MIPs by individual modelling groups will be at their own discretion and will depend on their scientific interests and priorities. With the Grand Science Challenges of the World Climate Research Programme (WCRP) as its scientific backdrop, CMIP6 will address three broad questions: \n\n &amp;ndash; How does the Earth system respond to forcing?\n\n &amp;ndash; What are the origins and consequences of systematic model biases? \n\n &amp;ndash; How can we assess future climate changes given internal climate variability, predictability, and uncertainties in scenarios?\n\n This CMIP6 overview paper presents the background and rationale for the new structure of CMIP, provides a detailed description of the DECK and CMIP6 historical simulations, and includes a brief introduction to the 21 CMIP6-Endorsed MIPs.","container-title":"Geoscientific Model Development","DOI":"10.5194/gmd-9-1937-2016","ISSN":"1991-959X","issue":"5","language":"English","page":"1937-1958","publisher":"Copernicus GmbH","source":"Copernicus Online Journals","title":"Overview of the Coupled Model Intercomparison Project Phase 6 (CMIP6) experimental design and organization","volume":"9","author":[{"family":"Eyring","given":"Veronika"},{"family":"Bony","given":"Sandrine"},{"family":"Meehl","given":"Gerald A."},{"family":"Senior","given":"Catherine A."},{"family":"Stevens","given":"Bjorn"},{"family":"Stouffer","given":"Ronald J."},{"family":"Taylor","given":"Karl E."}],"issued":{"date-parts":[["2016",5,26]]}}}],"schema":"https://github.com/citation-style-language/schema/raw/master/csl-citation.json"} </w:instrText>
      </w:r>
      <w:r w:rsidR="00ED1122" w:rsidRPr="00050F51">
        <w:rPr>
          <w:rFonts w:ascii="Arial" w:eastAsia="Arial" w:hAnsi="Arial" w:cs="Arial"/>
          <w:sz w:val="20"/>
          <w:szCs w:val="20"/>
        </w:rPr>
        <w:fldChar w:fldCharType="separate"/>
      </w:r>
      <w:r w:rsidR="00ED1122" w:rsidRPr="00050F51">
        <w:rPr>
          <w:rFonts w:ascii="Arial" w:hAnsi="Arial" w:cs="Arial"/>
          <w:sz w:val="20"/>
          <w:vertAlign w:val="superscript"/>
          <w:lang w:val="en-US"/>
        </w:rPr>
        <w:t>4</w:t>
      </w:r>
      <w:r w:rsidR="00ED1122" w:rsidRPr="00050F51">
        <w:rPr>
          <w:rFonts w:ascii="Arial" w:eastAsia="Arial" w:hAnsi="Arial" w:cs="Arial"/>
          <w:sz w:val="20"/>
          <w:szCs w:val="20"/>
        </w:rPr>
        <w:fldChar w:fldCharType="end"/>
      </w:r>
      <w:r w:rsidRPr="00050F51">
        <w:rPr>
          <w:rFonts w:ascii="Arial" w:eastAsia="Arial" w:hAnsi="Arial" w:cs="Arial"/>
          <w:sz w:val="20"/>
          <w:szCs w:val="20"/>
        </w:rPr>
        <w:t xml:space="preserve"> Climate projections focus on Global Circulation Model (GCM) shared socioeconomic pathways (SSPs) 5-8.5, which results in the greatest warming and may also have the largest impacts on precipitation. Data is extracted for the rectangular area encompassing the San Lorenzo River watershed (latitude: [37.4; 36.9]; longitude [-121.9; -122.2]), which includes one to four grid cells depending on the GCM resolution. When multiple grid cells were obtained, we computed the average across cells. A full list of the climate models, which come from both CMIP6 directly and Cal-Adapt, is included in Table S1. </w:t>
      </w:r>
      <w:bookmarkStart w:id="2" w:name="_Hlk219647130"/>
      <w:r w:rsidRPr="00050F51">
        <w:rPr>
          <w:rFonts w:ascii="Arial" w:eastAsia="Arial" w:hAnsi="Arial" w:cs="Arial"/>
          <w:sz w:val="20"/>
          <w:szCs w:val="20"/>
        </w:rPr>
        <w:t>Cal-Adapt is a state-supported climate data and analytics platform developed and maintained by Eagle Rock Analytics; the Geospatial Innovation Facility at the University of California, Berkeley; and Lawrence Berkeley National Lab that downscales GCM ensemble (primarily CMIP6) outputs using dynamic and hybrid-statistical downscaling.</w:t>
      </w:r>
      <w:r w:rsidR="00FF4C28" w:rsidRPr="00050F51">
        <w:rPr>
          <w:rFonts w:ascii="Arial" w:eastAsia="Arial" w:hAnsi="Arial" w:cs="Arial"/>
          <w:sz w:val="20"/>
          <w:szCs w:val="20"/>
        </w:rPr>
        <w:fldChar w:fldCharType="begin"/>
      </w:r>
      <w:r w:rsidR="00FF4C28" w:rsidRPr="00050F51">
        <w:rPr>
          <w:rFonts w:ascii="Arial" w:eastAsia="Arial" w:hAnsi="Arial" w:cs="Arial"/>
          <w:sz w:val="20"/>
          <w:szCs w:val="20"/>
        </w:rPr>
        <w:instrText xml:space="preserve"> ADDIN ZOTERO_ITEM CSL_CITATION {"citationID":"xoZrrJKF","properties":{"formattedCitation":"\\super 5\\nosupersub{}","plainCitation":"5","noteIndex":0},"citationItems":[{"id":12051,"uris":["http://zotero.org/users/3174049/items/HIMBWPQT"],"itemData":{"id":12051,"type":"webpage","title":"Cal-Adapt","URL":"https://cal-adapt.org/","accessed":{"date-parts":[["2026",1,18]]}}}],"schema":"https://github.com/citation-style-language/schema/raw/master/csl-citation.json"} </w:instrText>
      </w:r>
      <w:r w:rsidR="00FF4C28" w:rsidRPr="00050F51">
        <w:rPr>
          <w:rFonts w:ascii="Arial" w:eastAsia="Arial" w:hAnsi="Arial" w:cs="Arial"/>
          <w:sz w:val="20"/>
          <w:szCs w:val="20"/>
        </w:rPr>
        <w:fldChar w:fldCharType="separate"/>
      </w:r>
      <w:r w:rsidR="00FF4C28" w:rsidRPr="00050F51">
        <w:rPr>
          <w:rFonts w:ascii="Arial" w:hAnsi="Arial" w:cs="Arial"/>
          <w:sz w:val="20"/>
          <w:vertAlign w:val="superscript"/>
          <w:lang w:val="en-US"/>
        </w:rPr>
        <w:t>5</w:t>
      </w:r>
      <w:r w:rsidR="00FF4C28" w:rsidRPr="00050F51">
        <w:rPr>
          <w:rFonts w:ascii="Arial" w:eastAsia="Arial" w:hAnsi="Arial" w:cs="Arial"/>
          <w:sz w:val="20"/>
          <w:szCs w:val="20"/>
        </w:rPr>
        <w:fldChar w:fldCharType="end"/>
      </w:r>
      <w:r w:rsidRPr="00050F51">
        <w:rPr>
          <w:rFonts w:ascii="Arial" w:eastAsia="Arial" w:hAnsi="Arial" w:cs="Arial"/>
          <w:sz w:val="20"/>
          <w:szCs w:val="20"/>
        </w:rPr>
        <w:t xml:space="preserve"> We restrict our analysis to LOCA2-Hybrid, a hybrid-statistical downscaled dataset, in which dynamically downscaled climate simulations are used to train the Localized Construct Analogs (LOCA) at Scripps Institution of Oceanography.</w:t>
      </w:r>
      <w:r w:rsidR="00FF4C28" w:rsidRPr="00050F51">
        <w:rPr>
          <w:rFonts w:ascii="Arial" w:eastAsia="Arial" w:hAnsi="Arial" w:cs="Arial"/>
          <w:sz w:val="20"/>
          <w:szCs w:val="20"/>
        </w:rPr>
        <w:fldChar w:fldCharType="begin"/>
      </w:r>
      <w:r w:rsidR="00FF4C28" w:rsidRPr="00050F51">
        <w:rPr>
          <w:rFonts w:ascii="Arial" w:eastAsia="Arial" w:hAnsi="Arial" w:cs="Arial"/>
          <w:sz w:val="20"/>
          <w:szCs w:val="20"/>
        </w:rPr>
        <w:instrText xml:space="preserve"> ADDIN ZOTERO_ITEM CSL_CITATION {"citationID":"41HqhngV","properties":{"formattedCitation":"\\super 6\\nosupersub{}","plainCitation":"6","noteIndex":0},"citationItems":[{"id":12054,"uris":["http://zotero.org/users/3174049/items/EYM8CTRG"],"itemData":{"id":12054,"type":"article-journal","abstract":"A new set of CMIP6 data downscaled using the localized constructed analogs (LOCA) statistical method has been produced, covering central Mexico through southern Canada at 6-km resolution. Output from 27 CMIP6 Earth system models is included, with up to 10 ensemble members per model and 3 SSPs (245, 370, and 585). Improvements from the previous CMIP5 downscaled data result in higher daily precipitation extremes, which have significant societal and economic implications. The improvements are accomplished by using a precipitation training dataset that better represents daily extremes and by implementing an ensemble bias correction that allows a more realistic representation of extreme high daily precipitation values in models with numerous ensemble members. Over southern Canada and the CONUS exclusive of Arizona (AZ) and New Mexico (NM), seasonal increases in daily precipitation extremes are largest in winter (</w:instrText>
      </w:r>
      <w:r w:rsidR="00FF4C28" w:rsidRPr="00050F51">
        <w:rPr>
          <w:rFonts w:ascii="Cambria Math" w:eastAsia="Arial" w:hAnsi="Cambria Math" w:cs="Cambria Math"/>
          <w:sz w:val="20"/>
          <w:szCs w:val="20"/>
        </w:rPr>
        <w:instrText>∼</w:instrText>
      </w:r>
      <w:r w:rsidR="00FF4C28" w:rsidRPr="00050F51">
        <w:rPr>
          <w:rFonts w:ascii="Arial" w:eastAsia="Arial" w:hAnsi="Arial" w:cs="Arial"/>
          <w:sz w:val="20"/>
          <w:szCs w:val="20"/>
        </w:rPr>
        <w:instrText>25% in SSP370). Over Mexico, AZ, and NM, seasonal increases are largest in autumn (</w:instrText>
      </w:r>
      <w:r w:rsidR="00FF4C28" w:rsidRPr="00050F51">
        <w:rPr>
          <w:rFonts w:ascii="Cambria Math" w:eastAsia="Arial" w:hAnsi="Cambria Math" w:cs="Cambria Math"/>
          <w:sz w:val="20"/>
          <w:szCs w:val="20"/>
        </w:rPr>
        <w:instrText>∼</w:instrText>
      </w:r>
      <w:r w:rsidR="00FF4C28" w:rsidRPr="00050F51">
        <w:rPr>
          <w:rFonts w:ascii="Arial" w:eastAsia="Arial" w:hAnsi="Arial" w:cs="Arial"/>
          <w:sz w:val="20"/>
          <w:szCs w:val="20"/>
        </w:rPr>
        <w:instrText xml:space="preserve">15%). Summer is the outlier season, with low model agreement except in New England and little changes in 5-yr return values, but substantial increases in the CONUS and Canada in the 500-yr return value. One-in-100-yr historical daily precipitation events become substantially more frequent in the future, as often as once in 30–40 years in the southeastern United States and Pacific Northwest by the end of the century under SSP 370. Impacts of the higher precipitation extremes in the LOCA version 2 downscaled CMIP6 product relative to the LOCA downscaled CMIP5 product, even for similar anthropogenic emissions, may need to be considered by end-users.","DOI":"10.1175/JHM-D-22-0194.1","language":"en","section":"Journal of Hydrometeorology","source":"journals.ametsoc.org","title":"Future Increases in North American Extreme Precipitation in CMIP6 Downscaled with LOCA","URL":"https://journals.ametsoc.org/view/journals/hydr/24/5/JHM-D-22-0194.1.xml","author":[{"family":"Pierce","given":"David W."},{"family":"Cayan","given":"Daniel R."},{"family":"Feldman","given":"Daniel R."},{"family":"Risser","given":"Mark D."}],"accessed":{"date-parts":[["2026",1,18]]},"issued":{"date-parts":[["2023",6,1]]}}}],"schema":"https://github.com/citation-style-language/schema/raw/master/csl-citation.json"} </w:instrText>
      </w:r>
      <w:r w:rsidR="00FF4C28" w:rsidRPr="00050F51">
        <w:rPr>
          <w:rFonts w:ascii="Arial" w:eastAsia="Arial" w:hAnsi="Arial" w:cs="Arial"/>
          <w:sz w:val="20"/>
          <w:szCs w:val="20"/>
        </w:rPr>
        <w:fldChar w:fldCharType="separate"/>
      </w:r>
      <w:r w:rsidR="00FF4C28" w:rsidRPr="00050F51">
        <w:rPr>
          <w:rFonts w:ascii="Arial" w:hAnsi="Arial" w:cs="Arial"/>
          <w:sz w:val="20"/>
          <w:vertAlign w:val="superscript"/>
          <w:lang w:val="en-US"/>
        </w:rPr>
        <w:t>6</w:t>
      </w:r>
      <w:r w:rsidR="00FF4C28" w:rsidRPr="00050F51">
        <w:rPr>
          <w:rFonts w:ascii="Arial" w:eastAsia="Arial" w:hAnsi="Arial" w:cs="Arial"/>
          <w:sz w:val="20"/>
          <w:szCs w:val="20"/>
        </w:rPr>
        <w:fldChar w:fldCharType="end"/>
      </w:r>
      <w:r w:rsidRPr="00050F51">
        <w:rPr>
          <w:rFonts w:ascii="Arial" w:eastAsia="Arial" w:hAnsi="Arial" w:cs="Arial"/>
          <w:sz w:val="20"/>
          <w:szCs w:val="20"/>
        </w:rPr>
        <w:t xml:space="preserve"> </w:t>
      </w:r>
      <w:bookmarkEnd w:id="2"/>
      <w:r w:rsidRPr="00050F51">
        <w:rPr>
          <w:rFonts w:ascii="Arial" w:eastAsia="Arial" w:hAnsi="Arial" w:cs="Arial"/>
          <w:sz w:val="20"/>
          <w:szCs w:val="20"/>
        </w:rPr>
        <w:t>We use LOCA2 data because it includes more GCMs, more SSP scenarios, and the temporal resolution is daily. Since LOCA-2-Hybrid data only contains minimum and maximum temperature (not average), we estimate average daily temperature from the minimum and maximum values. We aggregate all daily data to the monthly timescale (average for temperature and sum for precipitation). The CMIP6 GCM ensemble estimates that precipitation may change from -20% to 20% compared to baseline values (1971-2000), and that temperatures may rise by 2-5</w:t>
      </w:r>
      <w:r w:rsidRPr="00050F51">
        <w:rPr>
          <w:rFonts w:ascii="Cambria Math" w:eastAsia="Cambria Math" w:hAnsi="Cambria Math" w:cs="Cambria Math"/>
          <w:sz w:val="20"/>
          <w:szCs w:val="20"/>
        </w:rPr>
        <w:t>℃</w:t>
      </w:r>
      <w:r w:rsidRPr="00050F51">
        <w:rPr>
          <w:rFonts w:ascii="Arial" w:eastAsia="Arial" w:hAnsi="Arial" w:cs="Arial"/>
          <w:sz w:val="20"/>
          <w:szCs w:val="20"/>
        </w:rPr>
        <w:t xml:space="preserve"> by 2070 (Figure S1). </w:t>
      </w:r>
    </w:p>
    <w:p w14:paraId="000000A0" w14:textId="3F7CD179" w:rsidR="0041056C" w:rsidRPr="00050F51" w:rsidRDefault="00000000" w:rsidP="00457D31">
      <w:pPr>
        <w:keepNext/>
        <w:spacing w:before="120"/>
        <w:rPr>
          <w:rFonts w:ascii="Arial" w:eastAsia="Arial" w:hAnsi="Arial" w:cs="Arial"/>
          <w:sz w:val="20"/>
          <w:szCs w:val="20"/>
        </w:rPr>
      </w:pPr>
      <w:r w:rsidRPr="00050F51">
        <w:rPr>
          <w:rFonts w:ascii="Arial" w:eastAsia="Arial" w:hAnsi="Arial" w:cs="Arial"/>
          <w:b/>
          <w:bCs/>
          <w:sz w:val="20"/>
          <w:szCs w:val="20"/>
        </w:rPr>
        <w:lastRenderedPageBreak/>
        <w:t>Table S1.</w:t>
      </w:r>
      <w:r w:rsidRPr="00050F51">
        <w:rPr>
          <w:rFonts w:ascii="Arial" w:eastAsia="Arial" w:hAnsi="Arial" w:cs="Arial"/>
          <w:sz w:val="20"/>
          <w:szCs w:val="20"/>
        </w:rPr>
        <w:t xml:space="preserve"> CMIP6 and Cal-Adapt climate models utilized in assessing future climate scenarios</w:t>
      </w:r>
    </w:p>
    <w:tbl>
      <w:tblPr>
        <w:tblStyle w:val="TableGrid"/>
        <w:tblW w:w="6572" w:type="dxa"/>
        <w:tblLook w:val="04A0" w:firstRow="1" w:lastRow="0" w:firstColumn="1" w:lastColumn="0" w:noHBand="0" w:noVBand="1"/>
      </w:tblPr>
      <w:tblGrid>
        <w:gridCol w:w="1872"/>
        <w:gridCol w:w="1296"/>
        <w:gridCol w:w="236"/>
        <w:gridCol w:w="1872"/>
        <w:gridCol w:w="1296"/>
      </w:tblGrid>
      <w:tr w:rsidR="00E578C3" w:rsidRPr="00050F51" w14:paraId="4036AAF9" w14:textId="77777777" w:rsidTr="004E5254">
        <w:trPr>
          <w:trHeight w:val="144"/>
        </w:trPr>
        <w:tc>
          <w:tcPr>
            <w:tcW w:w="1872" w:type="dxa"/>
            <w:vAlign w:val="bottom"/>
          </w:tcPr>
          <w:p w14:paraId="636280E5" w14:textId="416B5347" w:rsidR="00E578C3" w:rsidRPr="00050F51" w:rsidRDefault="00E578C3" w:rsidP="00E578C3">
            <w:pPr>
              <w:keepNext/>
              <w:rPr>
                <w:rFonts w:ascii="Arial" w:eastAsia="Arial" w:hAnsi="Arial" w:cs="Arial"/>
                <w:sz w:val="17"/>
                <w:szCs w:val="17"/>
              </w:rPr>
            </w:pPr>
            <w:r w:rsidRPr="00050F51">
              <w:rPr>
                <w:rFonts w:ascii="Arial" w:eastAsia="Arial" w:hAnsi="Arial" w:cs="Arial"/>
                <w:b/>
                <w:bCs/>
                <w:sz w:val="17"/>
                <w:szCs w:val="17"/>
              </w:rPr>
              <w:t>GCM</w:t>
            </w:r>
          </w:p>
        </w:tc>
        <w:tc>
          <w:tcPr>
            <w:tcW w:w="1296" w:type="dxa"/>
            <w:vAlign w:val="bottom"/>
          </w:tcPr>
          <w:p w14:paraId="39B3DBF9" w14:textId="2F4B63C8" w:rsidR="00E578C3" w:rsidRPr="00050F51" w:rsidRDefault="00E578C3" w:rsidP="00E578C3">
            <w:pPr>
              <w:keepNext/>
              <w:rPr>
                <w:rFonts w:ascii="Arial" w:eastAsia="Arial" w:hAnsi="Arial" w:cs="Arial"/>
                <w:sz w:val="17"/>
                <w:szCs w:val="17"/>
              </w:rPr>
            </w:pPr>
            <w:r w:rsidRPr="00050F51">
              <w:rPr>
                <w:rFonts w:ascii="Arial" w:eastAsia="Arial" w:hAnsi="Arial" w:cs="Arial"/>
                <w:b/>
                <w:bCs/>
                <w:sz w:val="17"/>
                <w:szCs w:val="17"/>
              </w:rPr>
              <w:t>Dataset</w:t>
            </w:r>
          </w:p>
        </w:tc>
        <w:tc>
          <w:tcPr>
            <w:tcW w:w="236" w:type="dxa"/>
            <w:vMerge w:val="restart"/>
          </w:tcPr>
          <w:p w14:paraId="59D583B2" w14:textId="1705199A" w:rsidR="00E578C3" w:rsidRPr="00050F51" w:rsidRDefault="00E578C3" w:rsidP="00E578C3">
            <w:pPr>
              <w:keepNext/>
              <w:rPr>
                <w:rFonts w:ascii="Arial" w:eastAsia="Arial" w:hAnsi="Arial" w:cs="Arial"/>
                <w:sz w:val="17"/>
                <w:szCs w:val="17"/>
              </w:rPr>
            </w:pPr>
          </w:p>
        </w:tc>
        <w:tc>
          <w:tcPr>
            <w:tcW w:w="1872" w:type="dxa"/>
            <w:vAlign w:val="bottom"/>
          </w:tcPr>
          <w:p w14:paraId="370713B8" w14:textId="0ABAF777" w:rsidR="00E578C3" w:rsidRPr="00050F51" w:rsidRDefault="00E578C3" w:rsidP="00E578C3">
            <w:pPr>
              <w:keepNext/>
              <w:rPr>
                <w:rFonts w:ascii="Arial" w:eastAsia="Arial" w:hAnsi="Arial" w:cs="Arial"/>
                <w:sz w:val="17"/>
                <w:szCs w:val="17"/>
              </w:rPr>
            </w:pPr>
            <w:r w:rsidRPr="00050F51">
              <w:rPr>
                <w:rFonts w:ascii="Arial" w:eastAsia="Arial" w:hAnsi="Arial" w:cs="Arial"/>
                <w:b/>
                <w:bCs/>
                <w:sz w:val="17"/>
                <w:szCs w:val="17"/>
              </w:rPr>
              <w:t>GCM</w:t>
            </w:r>
          </w:p>
        </w:tc>
        <w:tc>
          <w:tcPr>
            <w:tcW w:w="1296" w:type="dxa"/>
            <w:vAlign w:val="bottom"/>
          </w:tcPr>
          <w:p w14:paraId="258C3DA8" w14:textId="41B43D1D" w:rsidR="00E578C3" w:rsidRPr="00050F51" w:rsidRDefault="00E578C3" w:rsidP="00E578C3">
            <w:pPr>
              <w:keepNext/>
              <w:rPr>
                <w:rFonts w:ascii="Arial" w:eastAsia="Arial" w:hAnsi="Arial" w:cs="Arial"/>
                <w:sz w:val="17"/>
                <w:szCs w:val="17"/>
              </w:rPr>
            </w:pPr>
            <w:r w:rsidRPr="00050F51">
              <w:rPr>
                <w:rFonts w:ascii="Arial" w:eastAsia="Arial" w:hAnsi="Arial" w:cs="Arial"/>
                <w:b/>
                <w:bCs/>
                <w:sz w:val="17"/>
                <w:szCs w:val="17"/>
              </w:rPr>
              <w:t>Dataset</w:t>
            </w:r>
          </w:p>
        </w:tc>
      </w:tr>
      <w:tr w:rsidR="00E578C3" w:rsidRPr="00050F51" w14:paraId="2921A818" w14:textId="77777777" w:rsidTr="004E5254">
        <w:trPr>
          <w:trHeight w:val="144"/>
        </w:trPr>
        <w:tc>
          <w:tcPr>
            <w:tcW w:w="1872" w:type="dxa"/>
            <w:vAlign w:val="bottom"/>
          </w:tcPr>
          <w:p w14:paraId="400999CE" w14:textId="4D66ACE0"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ACCESS-CM2</w:t>
            </w:r>
          </w:p>
        </w:tc>
        <w:tc>
          <w:tcPr>
            <w:tcW w:w="1296" w:type="dxa"/>
            <w:vAlign w:val="bottom"/>
          </w:tcPr>
          <w:p w14:paraId="68B5DE53" w14:textId="7A3FBAF5"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0C49D7B2" w14:textId="440AADAF" w:rsidR="00E578C3" w:rsidRPr="00050F51" w:rsidRDefault="00E578C3" w:rsidP="00E578C3">
            <w:pPr>
              <w:keepNext/>
              <w:rPr>
                <w:rFonts w:ascii="Arial" w:eastAsia="Arial" w:hAnsi="Arial" w:cs="Arial"/>
                <w:sz w:val="17"/>
                <w:szCs w:val="17"/>
              </w:rPr>
            </w:pPr>
          </w:p>
        </w:tc>
        <w:tc>
          <w:tcPr>
            <w:tcW w:w="1872" w:type="dxa"/>
            <w:vAlign w:val="bottom"/>
          </w:tcPr>
          <w:p w14:paraId="207DD86C" w14:textId="3A9953CF"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INM-CM5-0</w:t>
            </w:r>
          </w:p>
        </w:tc>
        <w:tc>
          <w:tcPr>
            <w:tcW w:w="1296" w:type="dxa"/>
            <w:vAlign w:val="bottom"/>
          </w:tcPr>
          <w:p w14:paraId="16E47A68" w14:textId="2730F09C"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r>
      <w:tr w:rsidR="00E578C3" w:rsidRPr="00050F51" w14:paraId="76C3C415" w14:textId="77777777" w:rsidTr="004E5254">
        <w:trPr>
          <w:trHeight w:val="144"/>
        </w:trPr>
        <w:tc>
          <w:tcPr>
            <w:tcW w:w="1872" w:type="dxa"/>
            <w:vAlign w:val="bottom"/>
          </w:tcPr>
          <w:p w14:paraId="7D83043F" w14:textId="7702DE4B"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AWI-CM-1-1-MR</w:t>
            </w:r>
          </w:p>
        </w:tc>
        <w:tc>
          <w:tcPr>
            <w:tcW w:w="1296" w:type="dxa"/>
            <w:vAlign w:val="bottom"/>
          </w:tcPr>
          <w:p w14:paraId="5595AAA8" w14:textId="79F437E5"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0B3A7132" w14:textId="241F087F" w:rsidR="00E578C3" w:rsidRPr="00050F51" w:rsidRDefault="00E578C3" w:rsidP="00E578C3">
            <w:pPr>
              <w:keepNext/>
              <w:rPr>
                <w:rFonts w:ascii="Arial" w:eastAsia="Arial" w:hAnsi="Arial" w:cs="Arial"/>
                <w:sz w:val="17"/>
                <w:szCs w:val="17"/>
              </w:rPr>
            </w:pPr>
          </w:p>
        </w:tc>
        <w:tc>
          <w:tcPr>
            <w:tcW w:w="1872" w:type="dxa"/>
            <w:vAlign w:val="bottom"/>
          </w:tcPr>
          <w:p w14:paraId="583B1B86" w14:textId="1B8B644B"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IPSL-CM6A-LR</w:t>
            </w:r>
          </w:p>
        </w:tc>
        <w:tc>
          <w:tcPr>
            <w:tcW w:w="1296" w:type="dxa"/>
            <w:vAlign w:val="bottom"/>
          </w:tcPr>
          <w:p w14:paraId="6E9BB6EC" w14:textId="4D935FFF"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r>
      <w:tr w:rsidR="00E578C3" w:rsidRPr="00050F51" w14:paraId="279C425D" w14:textId="77777777" w:rsidTr="004E5254">
        <w:trPr>
          <w:trHeight w:val="144"/>
        </w:trPr>
        <w:tc>
          <w:tcPr>
            <w:tcW w:w="1872" w:type="dxa"/>
            <w:vAlign w:val="bottom"/>
          </w:tcPr>
          <w:p w14:paraId="08B59632" w14:textId="4416EA0B"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BCC-CSM2-MR</w:t>
            </w:r>
          </w:p>
        </w:tc>
        <w:tc>
          <w:tcPr>
            <w:tcW w:w="1296" w:type="dxa"/>
            <w:vAlign w:val="bottom"/>
          </w:tcPr>
          <w:p w14:paraId="231ACDDE" w14:textId="291145CD"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4F465CE7" w14:textId="69C0C38C" w:rsidR="00E578C3" w:rsidRPr="00050F51" w:rsidRDefault="00E578C3" w:rsidP="00E578C3">
            <w:pPr>
              <w:keepNext/>
              <w:rPr>
                <w:rFonts w:ascii="Arial" w:eastAsia="Arial" w:hAnsi="Arial" w:cs="Arial"/>
                <w:sz w:val="17"/>
                <w:szCs w:val="17"/>
              </w:rPr>
            </w:pPr>
          </w:p>
        </w:tc>
        <w:tc>
          <w:tcPr>
            <w:tcW w:w="1872" w:type="dxa"/>
            <w:vAlign w:val="bottom"/>
          </w:tcPr>
          <w:p w14:paraId="400E24EC" w14:textId="29D68FCE"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MCM-UA-1-0</w:t>
            </w:r>
          </w:p>
        </w:tc>
        <w:tc>
          <w:tcPr>
            <w:tcW w:w="1296" w:type="dxa"/>
            <w:vAlign w:val="bottom"/>
          </w:tcPr>
          <w:p w14:paraId="79AB455A" w14:textId="2757A755"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r>
      <w:tr w:rsidR="00E578C3" w:rsidRPr="00050F51" w14:paraId="7B499424" w14:textId="77777777" w:rsidTr="004E5254">
        <w:trPr>
          <w:trHeight w:val="144"/>
        </w:trPr>
        <w:tc>
          <w:tcPr>
            <w:tcW w:w="1872" w:type="dxa"/>
            <w:vAlign w:val="bottom"/>
          </w:tcPr>
          <w:p w14:paraId="40CFDB3A" w14:textId="3E1D7925"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CAMS-CSM1-0</w:t>
            </w:r>
          </w:p>
        </w:tc>
        <w:tc>
          <w:tcPr>
            <w:tcW w:w="1296" w:type="dxa"/>
            <w:vAlign w:val="bottom"/>
          </w:tcPr>
          <w:p w14:paraId="1D822190" w14:textId="16AF9BD2"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30AAA461" w14:textId="565888BA" w:rsidR="00E578C3" w:rsidRPr="00050F51" w:rsidRDefault="00E578C3" w:rsidP="00E578C3">
            <w:pPr>
              <w:keepNext/>
              <w:rPr>
                <w:rFonts w:ascii="Arial" w:eastAsia="Arial" w:hAnsi="Arial" w:cs="Arial"/>
                <w:sz w:val="17"/>
                <w:szCs w:val="17"/>
              </w:rPr>
            </w:pPr>
          </w:p>
        </w:tc>
        <w:tc>
          <w:tcPr>
            <w:tcW w:w="1872" w:type="dxa"/>
            <w:vAlign w:val="bottom"/>
          </w:tcPr>
          <w:p w14:paraId="54F71571" w14:textId="68BB2505"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MIROC-ES2L</w:t>
            </w:r>
          </w:p>
        </w:tc>
        <w:tc>
          <w:tcPr>
            <w:tcW w:w="1296" w:type="dxa"/>
            <w:vAlign w:val="bottom"/>
          </w:tcPr>
          <w:p w14:paraId="25FE6C84" w14:textId="6E88130B"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r>
      <w:tr w:rsidR="00E578C3" w:rsidRPr="00050F51" w14:paraId="08CA442E" w14:textId="77777777" w:rsidTr="004E5254">
        <w:trPr>
          <w:trHeight w:val="144"/>
        </w:trPr>
        <w:tc>
          <w:tcPr>
            <w:tcW w:w="1872" w:type="dxa"/>
            <w:vAlign w:val="bottom"/>
          </w:tcPr>
          <w:p w14:paraId="5E449523" w14:textId="0BBD4F6B"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CESM2</w:t>
            </w:r>
          </w:p>
        </w:tc>
        <w:tc>
          <w:tcPr>
            <w:tcW w:w="1296" w:type="dxa"/>
            <w:vAlign w:val="bottom"/>
          </w:tcPr>
          <w:p w14:paraId="6A8F2118" w14:textId="69F992AA"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50C52276" w14:textId="244E4A8F" w:rsidR="00E578C3" w:rsidRPr="00050F51" w:rsidRDefault="00E578C3" w:rsidP="00E578C3">
            <w:pPr>
              <w:keepNext/>
              <w:rPr>
                <w:rFonts w:ascii="Arial" w:eastAsia="Arial" w:hAnsi="Arial" w:cs="Arial"/>
                <w:sz w:val="17"/>
                <w:szCs w:val="17"/>
              </w:rPr>
            </w:pPr>
          </w:p>
        </w:tc>
        <w:tc>
          <w:tcPr>
            <w:tcW w:w="1872" w:type="dxa"/>
            <w:vAlign w:val="bottom"/>
          </w:tcPr>
          <w:p w14:paraId="077F7F11" w14:textId="754F9237"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MIROC6</w:t>
            </w:r>
          </w:p>
        </w:tc>
        <w:tc>
          <w:tcPr>
            <w:tcW w:w="1296" w:type="dxa"/>
            <w:vAlign w:val="bottom"/>
          </w:tcPr>
          <w:p w14:paraId="413A6426" w14:textId="08A9468A"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r>
      <w:tr w:rsidR="00E578C3" w:rsidRPr="00050F51" w14:paraId="5CC5DAC1" w14:textId="77777777" w:rsidTr="004E5254">
        <w:trPr>
          <w:trHeight w:val="144"/>
        </w:trPr>
        <w:tc>
          <w:tcPr>
            <w:tcW w:w="1872" w:type="dxa"/>
            <w:vAlign w:val="bottom"/>
          </w:tcPr>
          <w:p w14:paraId="75660872" w14:textId="789C8094"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CESM2-WACCM</w:t>
            </w:r>
          </w:p>
        </w:tc>
        <w:tc>
          <w:tcPr>
            <w:tcW w:w="1296" w:type="dxa"/>
            <w:vAlign w:val="bottom"/>
          </w:tcPr>
          <w:p w14:paraId="59E48328" w14:textId="267C799F"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52A64238" w14:textId="0FF58B0F" w:rsidR="00E578C3" w:rsidRPr="00050F51" w:rsidRDefault="00E578C3" w:rsidP="00E578C3">
            <w:pPr>
              <w:keepNext/>
              <w:rPr>
                <w:rFonts w:ascii="Arial" w:eastAsia="Arial" w:hAnsi="Arial" w:cs="Arial"/>
                <w:sz w:val="17"/>
                <w:szCs w:val="17"/>
              </w:rPr>
            </w:pPr>
          </w:p>
        </w:tc>
        <w:tc>
          <w:tcPr>
            <w:tcW w:w="1872" w:type="dxa"/>
            <w:vAlign w:val="bottom"/>
          </w:tcPr>
          <w:p w14:paraId="229A92CF" w14:textId="6103C7AA"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MPI-ESM1-2-LR</w:t>
            </w:r>
          </w:p>
        </w:tc>
        <w:tc>
          <w:tcPr>
            <w:tcW w:w="1296" w:type="dxa"/>
            <w:vAlign w:val="bottom"/>
          </w:tcPr>
          <w:p w14:paraId="1EFEE4FF" w14:textId="690FB30D"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r>
      <w:tr w:rsidR="00E578C3" w:rsidRPr="00050F51" w14:paraId="09BB9405" w14:textId="77777777" w:rsidTr="004E5254">
        <w:trPr>
          <w:trHeight w:val="144"/>
        </w:trPr>
        <w:tc>
          <w:tcPr>
            <w:tcW w:w="1872" w:type="dxa"/>
            <w:vAlign w:val="bottom"/>
          </w:tcPr>
          <w:p w14:paraId="6459F1F9" w14:textId="26FD9D43"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CMCC-CM2-SR5</w:t>
            </w:r>
          </w:p>
        </w:tc>
        <w:tc>
          <w:tcPr>
            <w:tcW w:w="1296" w:type="dxa"/>
            <w:vAlign w:val="bottom"/>
          </w:tcPr>
          <w:p w14:paraId="46641BCF" w14:textId="105297E4"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2D660E48" w14:textId="2E888507" w:rsidR="00E578C3" w:rsidRPr="00050F51" w:rsidRDefault="00E578C3" w:rsidP="00E578C3">
            <w:pPr>
              <w:keepNext/>
              <w:rPr>
                <w:rFonts w:ascii="Arial" w:eastAsia="Arial" w:hAnsi="Arial" w:cs="Arial"/>
                <w:sz w:val="17"/>
                <w:szCs w:val="17"/>
              </w:rPr>
            </w:pPr>
          </w:p>
        </w:tc>
        <w:tc>
          <w:tcPr>
            <w:tcW w:w="1872" w:type="dxa"/>
            <w:vAlign w:val="bottom"/>
          </w:tcPr>
          <w:p w14:paraId="2BA191A2" w14:textId="1A54E1F3"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MRI-ESM2-0</w:t>
            </w:r>
          </w:p>
        </w:tc>
        <w:tc>
          <w:tcPr>
            <w:tcW w:w="1296" w:type="dxa"/>
            <w:vAlign w:val="bottom"/>
          </w:tcPr>
          <w:p w14:paraId="705CADD8" w14:textId="456CF427"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r>
      <w:tr w:rsidR="00E578C3" w:rsidRPr="00050F51" w14:paraId="68F9180D" w14:textId="77777777" w:rsidTr="004E5254">
        <w:trPr>
          <w:trHeight w:val="144"/>
        </w:trPr>
        <w:tc>
          <w:tcPr>
            <w:tcW w:w="1872" w:type="dxa"/>
            <w:vAlign w:val="bottom"/>
          </w:tcPr>
          <w:p w14:paraId="71043A2A" w14:textId="6A86D19A"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CMCC-ESM2</w:t>
            </w:r>
          </w:p>
        </w:tc>
        <w:tc>
          <w:tcPr>
            <w:tcW w:w="1296" w:type="dxa"/>
            <w:vAlign w:val="bottom"/>
          </w:tcPr>
          <w:p w14:paraId="4E4D2B0E" w14:textId="4B99B21C"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7C2A2D19" w14:textId="098BABDE" w:rsidR="00E578C3" w:rsidRPr="00050F51" w:rsidRDefault="00E578C3" w:rsidP="00E578C3">
            <w:pPr>
              <w:keepNext/>
              <w:rPr>
                <w:rFonts w:ascii="Arial" w:eastAsia="Arial" w:hAnsi="Arial" w:cs="Arial"/>
                <w:sz w:val="17"/>
                <w:szCs w:val="17"/>
              </w:rPr>
            </w:pPr>
          </w:p>
        </w:tc>
        <w:tc>
          <w:tcPr>
            <w:tcW w:w="1872" w:type="dxa"/>
            <w:vAlign w:val="bottom"/>
          </w:tcPr>
          <w:p w14:paraId="6BB6EE63" w14:textId="7FDF63F1"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NESM3</w:t>
            </w:r>
          </w:p>
        </w:tc>
        <w:tc>
          <w:tcPr>
            <w:tcW w:w="1296" w:type="dxa"/>
            <w:vAlign w:val="bottom"/>
          </w:tcPr>
          <w:p w14:paraId="63E441C0" w14:textId="380A0458"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r>
      <w:tr w:rsidR="00E578C3" w:rsidRPr="00050F51" w14:paraId="070864D8" w14:textId="77777777" w:rsidTr="004E5254">
        <w:trPr>
          <w:trHeight w:val="144"/>
        </w:trPr>
        <w:tc>
          <w:tcPr>
            <w:tcW w:w="1872" w:type="dxa"/>
            <w:vAlign w:val="bottom"/>
          </w:tcPr>
          <w:p w14:paraId="6D35C2C1" w14:textId="5123FEF9"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CNRM-CM6-1</w:t>
            </w:r>
          </w:p>
        </w:tc>
        <w:tc>
          <w:tcPr>
            <w:tcW w:w="1296" w:type="dxa"/>
            <w:vAlign w:val="bottom"/>
          </w:tcPr>
          <w:p w14:paraId="30785BEB" w14:textId="6252C36C"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371C99C4" w14:textId="017995E6" w:rsidR="00E578C3" w:rsidRPr="00050F51" w:rsidRDefault="00E578C3" w:rsidP="00E578C3">
            <w:pPr>
              <w:keepNext/>
              <w:rPr>
                <w:rFonts w:ascii="Arial" w:eastAsia="Arial" w:hAnsi="Arial" w:cs="Arial"/>
                <w:sz w:val="17"/>
                <w:szCs w:val="17"/>
              </w:rPr>
            </w:pPr>
          </w:p>
        </w:tc>
        <w:tc>
          <w:tcPr>
            <w:tcW w:w="1872" w:type="dxa"/>
            <w:vAlign w:val="bottom"/>
          </w:tcPr>
          <w:p w14:paraId="1B299AD6" w14:textId="73557E1B"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NorESM2-MM</w:t>
            </w:r>
          </w:p>
        </w:tc>
        <w:tc>
          <w:tcPr>
            <w:tcW w:w="1296" w:type="dxa"/>
            <w:vAlign w:val="bottom"/>
          </w:tcPr>
          <w:p w14:paraId="2625C442" w14:textId="31D3BF5B"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r>
      <w:tr w:rsidR="00E578C3" w:rsidRPr="00050F51" w14:paraId="013750F4" w14:textId="77777777" w:rsidTr="004E5254">
        <w:trPr>
          <w:trHeight w:val="144"/>
        </w:trPr>
        <w:tc>
          <w:tcPr>
            <w:tcW w:w="1872" w:type="dxa"/>
            <w:vAlign w:val="bottom"/>
          </w:tcPr>
          <w:p w14:paraId="5F6C275D" w14:textId="6CF98439"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CNRM-CM6-1-HR</w:t>
            </w:r>
          </w:p>
        </w:tc>
        <w:tc>
          <w:tcPr>
            <w:tcW w:w="1296" w:type="dxa"/>
            <w:vAlign w:val="bottom"/>
          </w:tcPr>
          <w:p w14:paraId="68B1E37A" w14:textId="1C1FEB9D"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68116604" w14:textId="146B052A" w:rsidR="00E578C3" w:rsidRPr="00050F51" w:rsidRDefault="00E578C3" w:rsidP="00E578C3">
            <w:pPr>
              <w:keepNext/>
              <w:rPr>
                <w:rFonts w:ascii="Arial" w:eastAsia="Arial" w:hAnsi="Arial" w:cs="Arial"/>
                <w:sz w:val="17"/>
                <w:szCs w:val="17"/>
              </w:rPr>
            </w:pPr>
          </w:p>
        </w:tc>
        <w:tc>
          <w:tcPr>
            <w:tcW w:w="1872" w:type="dxa"/>
            <w:vAlign w:val="bottom"/>
          </w:tcPr>
          <w:p w14:paraId="6059B8D1" w14:textId="2360CEF7"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TaiESM1</w:t>
            </w:r>
          </w:p>
        </w:tc>
        <w:tc>
          <w:tcPr>
            <w:tcW w:w="1296" w:type="dxa"/>
            <w:vAlign w:val="bottom"/>
          </w:tcPr>
          <w:p w14:paraId="6D1412F9" w14:textId="53F0A974"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r>
      <w:tr w:rsidR="00E578C3" w:rsidRPr="00050F51" w14:paraId="61EDE5AB" w14:textId="77777777" w:rsidTr="004E5254">
        <w:trPr>
          <w:trHeight w:val="144"/>
        </w:trPr>
        <w:tc>
          <w:tcPr>
            <w:tcW w:w="1872" w:type="dxa"/>
            <w:vAlign w:val="bottom"/>
          </w:tcPr>
          <w:p w14:paraId="4E7C2C7E" w14:textId="3B5282E2"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CNRM-ESM2-1</w:t>
            </w:r>
          </w:p>
        </w:tc>
        <w:tc>
          <w:tcPr>
            <w:tcW w:w="1296" w:type="dxa"/>
            <w:vAlign w:val="bottom"/>
          </w:tcPr>
          <w:p w14:paraId="7A8C71B5" w14:textId="0F9EB6A9"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42295D08" w14:textId="0B709EE5" w:rsidR="00E578C3" w:rsidRPr="00050F51" w:rsidRDefault="00E578C3" w:rsidP="00E578C3">
            <w:pPr>
              <w:keepNext/>
              <w:rPr>
                <w:rFonts w:ascii="Arial" w:eastAsia="Arial" w:hAnsi="Arial" w:cs="Arial"/>
                <w:sz w:val="17"/>
                <w:szCs w:val="17"/>
              </w:rPr>
            </w:pPr>
          </w:p>
        </w:tc>
        <w:tc>
          <w:tcPr>
            <w:tcW w:w="1872" w:type="dxa"/>
            <w:vAlign w:val="bottom"/>
          </w:tcPr>
          <w:p w14:paraId="56652DA5" w14:textId="52A1AB2B"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UKESM1-0-LL</w:t>
            </w:r>
          </w:p>
        </w:tc>
        <w:tc>
          <w:tcPr>
            <w:tcW w:w="1296" w:type="dxa"/>
            <w:vAlign w:val="bottom"/>
          </w:tcPr>
          <w:p w14:paraId="0294E777" w14:textId="1F307D45"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r>
      <w:tr w:rsidR="00E578C3" w:rsidRPr="00050F51" w14:paraId="15A81742" w14:textId="77777777" w:rsidTr="004E5254">
        <w:trPr>
          <w:trHeight w:val="144"/>
        </w:trPr>
        <w:tc>
          <w:tcPr>
            <w:tcW w:w="1872" w:type="dxa"/>
            <w:vAlign w:val="bottom"/>
          </w:tcPr>
          <w:p w14:paraId="49768A15" w14:textId="6773DB76"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CanESM5</w:t>
            </w:r>
          </w:p>
        </w:tc>
        <w:tc>
          <w:tcPr>
            <w:tcW w:w="1296" w:type="dxa"/>
            <w:vAlign w:val="bottom"/>
          </w:tcPr>
          <w:p w14:paraId="23446DDC" w14:textId="56D235F4"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7E90A902" w14:textId="78F327A2" w:rsidR="00E578C3" w:rsidRPr="00050F51" w:rsidRDefault="00E578C3" w:rsidP="00E578C3">
            <w:pPr>
              <w:keepNext/>
              <w:rPr>
                <w:rFonts w:ascii="Arial" w:eastAsia="Arial" w:hAnsi="Arial" w:cs="Arial"/>
                <w:sz w:val="17"/>
                <w:szCs w:val="17"/>
              </w:rPr>
            </w:pPr>
          </w:p>
        </w:tc>
        <w:tc>
          <w:tcPr>
            <w:tcW w:w="1872" w:type="dxa"/>
            <w:vAlign w:val="bottom"/>
          </w:tcPr>
          <w:p w14:paraId="4B42BFAC" w14:textId="22428215"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ACCESS-CM2</w:t>
            </w:r>
          </w:p>
        </w:tc>
        <w:tc>
          <w:tcPr>
            <w:tcW w:w="1296" w:type="dxa"/>
            <w:vAlign w:val="bottom"/>
          </w:tcPr>
          <w:p w14:paraId="5ABFF41D" w14:textId="6C851414"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Cal-Adapt</w:t>
            </w:r>
          </w:p>
        </w:tc>
      </w:tr>
      <w:tr w:rsidR="00E578C3" w:rsidRPr="00050F51" w14:paraId="6F50B903" w14:textId="77777777" w:rsidTr="004E5254">
        <w:trPr>
          <w:trHeight w:val="144"/>
        </w:trPr>
        <w:tc>
          <w:tcPr>
            <w:tcW w:w="1872" w:type="dxa"/>
            <w:vAlign w:val="bottom"/>
          </w:tcPr>
          <w:p w14:paraId="75474696" w14:textId="62B72305"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CanESM5-CanOE</w:t>
            </w:r>
          </w:p>
        </w:tc>
        <w:tc>
          <w:tcPr>
            <w:tcW w:w="1296" w:type="dxa"/>
            <w:vAlign w:val="bottom"/>
          </w:tcPr>
          <w:p w14:paraId="4DD425DC" w14:textId="596CB332"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6C90F61F" w14:textId="13375C14" w:rsidR="00E578C3" w:rsidRPr="00050F51" w:rsidRDefault="00E578C3" w:rsidP="00E578C3">
            <w:pPr>
              <w:keepNext/>
              <w:rPr>
                <w:rFonts w:ascii="Arial" w:eastAsia="Arial" w:hAnsi="Arial" w:cs="Arial"/>
                <w:sz w:val="17"/>
                <w:szCs w:val="17"/>
              </w:rPr>
            </w:pPr>
          </w:p>
        </w:tc>
        <w:tc>
          <w:tcPr>
            <w:tcW w:w="1872" w:type="dxa"/>
            <w:vAlign w:val="bottom"/>
          </w:tcPr>
          <w:p w14:paraId="0122783E" w14:textId="486022CD"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CNRM-ESM2-1</w:t>
            </w:r>
          </w:p>
        </w:tc>
        <w:tc>
          <w:tcPr>
            <w:tcW w:w="1296" w:type="dxa"/>
            <w:vAlign w:val="bottom"/>
          </w:tcPr>
          <w:p w14:paraId="226B8B10" w14:textId="2B23DCBA"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Cal-Adapt</w:t>
            </w:r>
          </w:p>
        </w:tc>
      </w:tr>
      <w:tr w:rsidR="00E578C3" w:rsidRPr="00050F51" w14:paraId="20D58E74" w14:textId="77777777" w:rsidTr="004E5254">
        <w:trPr>
          <w:trHeight w:val="144"/>
        </w:trPr>
        <w:tc>
          <w:tcPr>
            <w:tcW w:w="1872" w:type="dxa"/>
            <w:vAlign w:val="bottom"/>
          </w:tcPr>
          <w:p w14:paraId="25FF068A" w14:textId="26C758E6"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E3SM-1-1</w:t>
            </w:r>
          </w:p>
        </w:tc>
        <w:tc>
          <w:tcPr>
            <w:tcW w:w="1296" w:type="dxa"/>
            <w:vAlign w:val="bottom"/>
          </w:tcPr>
          <w:p w14:paraId="1DF641AB" w14:textId="3A237209"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06D69484" w14:textId="5EBD4468" w:rsidR="00E578C3" w:rsidRPr="00050F51" w:rsidRDefault="00E578C3" w:rsidP="00E578C3">
            <w:pPr>
              <w:keepNext/>
              <w:rPr>
                <w:rFonts w:ascii="Arial" w:eastAsia="Arial" w:hAnsi="Arial" w:cs="Arial"/>
                <w:sz w:val="17"/>
                <w:szCs w:val="17"/>
              </w:rPr>
            </w:pPr>
          </w:p>
        </w:tc>
        <w:tc>
          <w:tcPr>
            <w:tcW w:w="1872" w:type="dxa"/>
            <w:vAlign w:val="bottom"/>
          </w:tcPr>
          <w:p w14:paraId="4FE2FA56" w14:textId="19D7A5A3"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EC-Earth3</w:t>
            </w:r>
          </w:p>
        </w:tc>
        <w:tc>
          <w:tcPr>
            <w:tcW w:w="1296" w:type="dxa"/>
            <w:vAlign w:val="bottom"/>
          </w:tcPr>
          <w:p w14:paraId="51AAA825" w14:textId="00FA1E6F"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Cal-Adapt</w:t>
            </w:r>
          </w:p>
        </w:tc>
      </w:tr>
      <w:tr w:rsidR="00E578C3" w:rsidRPr="00050F51" w14:paraId="57E0346C" w14:textId="77777777" w:rsidTr="004E5254">
        <w:trPr>
          <w:trHeight w:val="144"/>
        </w:trPr>
        <w:tc>
          <w:tcPr>
            <w:tcW w:w="1872" w:type="dxa"/>
            <w:vAlign w:val="bottom"/>
          </w:tcPr>
          <w:p w14:paraId="058FD497" w14:textId="48AA407A"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EC-Earth3-CC</w:t>
            </w:r>
          </w:p>
        </w:tc>
        <w:tc>
          <w:tcPr>
            <w:tcW w:w="1296" w:type="dxa"/>
            <w:vAlign w:val="bottom"/>
          </w:tcPr>
          <w:p w14:paraId="7F4FC5DE" w14:textId="7CDA9A2F"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3BC6CB89" w14:textId="0B420894" w:rsidR="00E578C3" w:rsidRPr="00050F51" w:rsidRDefault="00E578C3" w:rsidP="00E578C3">
            <w:pPr>
              <w:keepNext/>
              <w:rPr>
                <w:rFonts w:ascii="Arial" w:eastAsia="Arial" w:hAnsi="Arial" w:cs="Arial"/>
                <w:sz w:val="17"/>
                <w:szCs w:val="17"/>
              </w:rPr>
            </w:pPr>
          </w:p>
        </w:tc>
        <w:tc>
          <w:tcPr>
            <w:tcW w:w="1872" w:type="dxa"/>
            <w:vAlign w:val="bottom"/>
          </w:tcPr>
          <w:p w14:paraId="210F31BA" w14:textId="166E2EFD"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EC-Earth3-Veg</w:t>
            </w:r>
          </w:p>
        </w:tc>
        <w:tc>
          <w:tcPr>
            <w:tcW w:w="1296" w:type="dxa"/>
            <w:vAlign w:val="bottom"/>
          </w:tcPr>
          <w:p w14:paraId="5EF36FC8" w14:textId="1C0D6F43"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Cal-Adapt</w:t>
            </w:r>
          </w:p>
        </w:tc>
      </w:tr>
      <w:tr w:rsidR="00E578C3" w:rsidRPr="00050F51" w14:paraId="47C44C58" w14:textId="77777777" w:rsidTr="004E5254">
        <w:trPr>
          <w:trHeight w:val="144"/>
        </w:trPr>
        <w:tc>
          <w:tcPr>
            <w:tcW w:w="1872" w:type="dxa"/>
            <w:vAlign w:val="bottom"/>
          </w:tcPr>
          <w:p w14:paraId="71AA0616" w14:textId="467868C1"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FGOALS-f3-L</w:t>
            </w:r>
          </w:p>
        </w:tc>
        <w:tc>
          <w:tcPr>
            <w:tcW w:w="1296" w:type="dxa"/>
            <w:vAlign w:val="bottom"/>
          </w:tcPr>
          <w:p w14:paraId="2BEDB78D" w14:textId="6959F1E3"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4F47EC79" w14:textId="3266C704" w:rsidR="00E578C3" w:rsidRPr="00050F51" w:rsidRDefault="00E578C3" w:rsidP="00E578C3">
            <w:pPr>
              <w:keepNext/>
              <w:rPr>
                <w:rFonts w:ascii="Arial" w:eastAsia="Arial" w:hAnsi="Arial" w:cs="Arial"/>
                <w:sz w:val="17"/>
                <w:szCs w:val="17"/>
              </w:rPr>
            </w:pPr>
          </w:p>
        </w:tc>
        <w:tc>
          <w:tcPr>
            <w:tcW w:w="1872" w:type="dxa"/>
            <w:vAlign w:val="bottom"/>
          </w:tcPr>
          <w:p w14:paraId="6B8AAF55" w14:textId="4A722A07"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FGOALS-g3</w:t>
            </w:r>
          </w:p>
        </w:tc>
        <w:tc>
          <w:tcPr>
            <w:tcW w:w="1296" w:type="dxa"/>
            <w:vAlign w:val="bottom"/>
          </w:tcPr>
          <w:p w14:paraId="4275466A" w14:textId="18C33815"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Cal-Adapt</w:t>
            </w:r>
          </w:p>
        </w:tc>
      </w:tr>
      <w:tr w:rsidR="00E578C3" w:rsidRPr="00050F51" w14:paraId="4EF0C58F" w14:textId="77777777" w:rsidTr="004E5254">
        <w:trPr>
          <w:trHeight w:val="144"/>
        </w:trPr>
        <w:tc>
          <w:tcPr>
            <w:tcW w:w="1872" w:type="dxa"/>
            <w:vAlign w:val="bottom"/>
          </w:tcPr>
          <w:p w14:paraId="1A5CE01A" w14:textId="14578530"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FGOALS-g3</w:t>
            </w:r>
          </w:p>
        </w:tc>
        <w:tc>
          <w:tcPr>
            <w:tcW w:w="1296" w:type="dxa"/>
            <w:vAlign w:val="bottom"/>
          </w:tcPr>
          <w:p w14:paraId="05301A9B" w14:textId="3AA17233"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50B19DDD" w14:textId="59A7608E" w:rsidR="00E578C3" w:rsidRPr="00050F51" w:rsidRDefault="00E578C3" w:rsidP="00E578C3">
            <w:pPr>
              <w:keepNext/>
              <w:rPr>
                <w:rFonts w:ascii="Arial" w:eastAsia="Arial" w:hAnsi="Arial" w:cs="Arial"/>
                <w:sz w:val="17"/>
                <w:szCs w:val="17"/>
              </w:rPr>
            </w:pPr>
          </w:p>
        </w:tc>
        <w:tc>
          <w:tcPr>
            <w:tcW w:w="1872" w:type="dxa"/>
            <w:vAlign w:val="bottom"/>
          </w:tcPr>
          <w:p w14:paraId="373F9278" w14:textId="144B3E38"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GFDL-ESM4</w:t>
            </w:r>
          </w:p>
        </w:tc>
        <w:tc>
          <w:tcPr>
            <w:tcW w:w="1296" w:type="dxa"/>
            <w:vAlign w:val="bottom"/>
          </w:tcPr>
          <w:p w14:paraId="1CE2C9DB" w14:textId="259EB3DA"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Cal-Adapt</w:t>
            </w:r>
          </w:p>
        </w:tc>
      </w:tr>
      <w:tr w:rsidR="00E578C3" w:rsidRPr="00050F51" w14:paraId="0E490BA4" w14:textId="77777777" w:rsidTr="004E5254">
        <w:trPr>
          <w:trHeight w:val="144"/>
        </w:trPr>
        <w:tc>
          <w:tcPr>
            <w:tcW w:w="1872" w:type="dxa"/>
            <w:vAlign w:val="bottom"/>
          </w:tcPr>
          <w:p w14:paraId="4EE77B4E" w14:textId="7C9D4A71"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FIO-ESM-2-0</w:t>
            </w:r>
          </w:p>
        </w:tc>
        <w:tc>
          <w:tcPr>
            <w:tcW w:w="1296" w:type="dxa"/>
            <w:vAlign w:val="bottom"/>
          </w:tcPr>
          <w:p w14:paraId="47511FB8" w14:textId="5EA6D51C"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05D7D918" w14:textId="217958D1" w:rsidR="00E578C3" w:rsidRPr="00050F51" w:rsidRDefault="00E578C3" w:rsidP="00E578C3">
            <w:pPr>
              <w:keepNext/>
              <w:rPr>
                <w:rFonts w:ascii="Arial" w:eastAsia="Arial" w:hAnsi="Arial" w:cs="Arial"/>
                <w:sz w:val="17"/>
                <w:szCs w:val="17"/>
              </w:rPr>
            </w:pPr>
          </w:p>
        </w:tc>
        <w:tc>
          <w:tcPr>
            <w:tcW w:w="1872" w:type="dxa"/>
            <w:vAlign w:val="bottom"/>
          </w:tcPr>
          <w:p w14:paraId="5284CD84" w14:textId="54666CF0"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INM-CM5-0</w:t>
            </w:r>
          </w:p>
        </w:tc>
        <w:tc>
          <w:tcPr>
            <w:tcW w:w="1296" w:type="dxa"/>
            <w:vAlign w:val="bottom"/>
          </w:tcPr>
          <w:p w14:paraId="4BCD165F" w14:textId="786E1C9C"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Cal-Adapt</w:t>
            </w:r>
          </w:p>
        </w:tc>
      </w:tr>
      <w:tr w:rsidR="00E578C3" w:rsidRPr="00050F51" w14:paraId="0B21CBD2" w14:textId="77777777" w:rsidTr="004E5254">
        <w:trPr>
          <w:trHeight w:val="144"/>
        </w:trPr>
        <w:tc>
          <w:tcPr>
            <w:tcW w:w="1872" w:type="dxa"/>
            <w:vAlign w:val="bottom"/>
          </w:tcPr>
          <w:p w14:paraId="38192D39" w14:textId="393DC03F"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GFDL-ESM4</w:t>
            </w:r>
          </w:p>
        </w:tc>
        <w:tc>
          <w:tcPr>
            <w:tcW w:w="1296" w:type="dxa"/>
            <w:vAlign w:val="bottom"/>
          </w:tcPr>
          <w:p w14:paraId="7C52FFAA" w14:textId="414A710F"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23505498" w14:textId="0E3AAEDD" w:rsidR="00E578C3" w:rsidRPr="00050F51" w:rsidRDefault="00E578C3" w:rsidP="00E578C3">
            <w:pPr>
              <w:keepNext/>
              <w:rPr>
                <w:rFonts w:ascii="Arial" w:eastAsia="Arial" w:hAnsi="Arial" w:cs="Arial"/>
                <w:sz w:val="17"/>
                <w:szCs w:val="17"/>
              </w:rPr>
            </w:pPr>
          </w:p>
        </w:tc>
        <w:tc>
          <w:tcPr>
            <w:tcW w:w="1872" w:type="dxa"/>
            <w:vAlign w:val="bottom"/>
          </w:tcPr>
          <w:p w14:paraId="50E10DB6" w14:textId="334C7C51"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IPSL-CM6A-LR</w:t>
            </w:r>
          </w:p>
        </w:tc>
        <w:tc>
          <w:tcPr>
            <w:tcW w:w="1296" w:type="dxa"/>
            <w:vAlign w:val="bottom"/>
          </w:tcPr>
          <w:p w14:paraId="64D7DD9A" w14:textId="1849FBA1"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Cal-Adapt</w:t>
            </w:r>
          </w:p>
        </w:tc>
      </w:tr>
      <w:tr w:rsidR="00E578C3" w:rsidRPr="00050F51" w14:paraId="348B3D00" w14:textId="77777777" w:rsidTr="004E5254">
        <w:trPr>
          <w:trHeight w:val="144"/>
        </w:trPr>
        <w:tc>
          <w:tcPr>
            <w:tcW w:w="1872" w:type="dxa"/>
            <w:vAlign w:val="bottom"/>
          </w:tcPr>
          <w:p w14:paraId="550426C9" w14:textId="1104F9A5"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HadGEM3-GC31-LL</w:t>
            </w:r>
          </w:p>
        </w:tc>
        <w:tc>
          <w:tcPr>
            <w:tcW w:w="1296" w:type="dxa"/>
            <w:vAlign w:val="bottom"/>
          </w:tcPr>
          <w:p w14:paraId="5388EFC9" w14:textId="5FE016C7"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2A94DD94" w14:textId="1727237B" w:rsidR="00E578C3" w:rsidRPr="00050F51" w:rsidRDefault="00E578C3" w:rsidP="00E578C3">
            <w:pPr>
              <w:keepNext/>
              <w:rPr>
                <w:rFonts w:ascii="Arial" w:eastAsia="Arial" w:hAnsi="Arial" w:cs="Arial"/>
                <w:sz w:val="17"/>
                <w:szCs w:val="17"/>
              </w:rPr>
            </w:pPr>
          </w:p>
        </w:tc>
        <w:tc>
          <w:tcPr>
            <w:tcW w:w="1872" w:type="dxa"/>
            <w:vAlign w:val="bottom"/>
          </w:tcPr>
          <w:p w14:paraId="3B536B75" w14:textId="69471EE9"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KACE-1-0-G</w:t>
            </w:r>
          </w:p>
        </w:tc>
        <w:tc>
          <w:tcPr>
            <w:tcW w:w="1296" w:type="dxa"/>
            <w:vAlign w:val="bottom"/>
          </w:tcPr>
          <w:p w14:paraId="0A4E4CF6" w14:textId="6879BF29"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Cal-Adapt</w:t>
            </w:r>
          </w:p>
        </w:tc>
      </w:tr>
      <w:tr w:rsidR="00E578C3" w:rsidRPr="00050F51" w14:paraId="5CCCC5DD" w14:textId="77777777" w:rsidTr="004E5254">
        <w:trPr>
          <w:trHeight w:val="144"/>
        </w:trPr>
        <w:tc>
          <w:tcPr>
            <w:tcW w:w="1872" w:type="dxa"/>
            <w:vAlign w:val="bottom"/>
          </w:tcPr>
          <w:p w14:paraId="092E0674" w14:textId="06E9F0BB"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HadGEM3-GC31-MM</w:t>
            </w:r>
          </w:p>
        </w:tc>
        <w:tc>
          <w:tcPr>
            <w:tcW w:w="1296" w:type="dxa"/>
            <w:vAlign w:val="bottom"/>
          </w:tcPr>
          <w:p w14:paraId="5E423E0B" w14:textId="32D6B154"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5CAFFA12" w14:textId="4763E483" w:rsidR="00E578C3" w:rsidRPr="00050F51" w:rsidRDefault="00E578C3" w:rsidP="00E578C3">
            <w:pPr>
              <w:keepNext/>
              <w:rPr>
                <w:rFonts w:ascii="Arial" w:eastAsia="Arial" w:hAnsi="Arial" w:cs="Arial"/>
                <w:sz w:val="17"/>
                <w:szCs w:val="17"/>
              </w:rPr>
            </w:pPr>
          </w:p>
        </w:tc>
        <w:tc>
          <w:tcPr>
            <w:tcW w:w="1872" w:type="dxa"/>
            <w:vAlign w:val="bottom"/>
          </w:tcPr>
          <w:p w14:paraId="70CDF005" w14:textId="21A78507"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MIROC6</w:t>
            </w:r>
          </w:p>
        </w:tc>
        <w:tc>
          <w:tcPr>
            <w:tcW w:w="1296" w:type="dxa"/>
            <w:vAlign w:val="bottom"/>
          </w:tcPr>
          <w:p w14:paraId="277DD1C0" w14:textId="32A71E0F"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Cal-Adapt</w:t>
            </w:r>
          </w:p>
        </w:tc>
      </w:tr>
      <w:tr w:rsidR="00E578C3" w:rsidRPr="00050F51" w14:paraId="723E044D" w14:textId="77777777" w:rsidTr="004E5254">
        <w:trPr>
          <w:trHeight w:val="144"/>
        </w:trPr>
        <w:tc>
          <w:tcPr>
            <w:tcW w:w="1872" w:type="dxa"/>
            <w:vAlign w:val="bottom"/>
          </w:tcPr>
          <w:p w14:paraId="16B80AF3" w14:textId="57C4FBD7"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IITM-ESM</w:t>
            </w:r>
          </w:p>
        </w:tc>
        <w:tc>
          <w:tcPr>
            <w:tcW w:w="1296" w:type="dxa"/>
            <w:vAlign w:val="bottom"/>
          </w:tcPr>
          <w:p w14:paraId="45CB299B" w14:textId="715D9F9B"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36CF9710" w14:textId="2E531EA3" w:rsidR="00E578C3" w:rsidRPr="00050F51" w:rsidRDefault="00E578C3" w:rsidP="00E578C3">
            <w:pPr>
              <w:keepNext/>
              <w:rPr>
                <w:rFonts w:ascii="Arial" w:eastAsia="Arial" w:hAnsi="Arial" w:cs="Arial"/>
                <w:sz w:val="17"/>
                <w:szCs w:val="17"/>
              </w:rPr>
            </w:pPr>
          </w:p>
        </w:tc>
        <w:tc>
          <w:tcPr>
            <w:tcW w:w="1872" w:type="dxa"/>
            <w:vAlign w:val="bottom"/>
          </w:tcPr>
          <w:p w14:paraId="778875D7" w14:textId="5038E7FC"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MPI-ESM1-2-HR</w:t>
            </w:r>
          </w:p>
        </w:tc>
        <w:tc>
          <w:tcPr>
            <w:tcW w:w="1296" w:type="dxa"/>
            <w:vAlign w:val="bottom"/>
          </w:tcPr>
          <w:p w14:paraId="491DABAC" w14:textId="322893C7"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Cal-Adapt</w:t>
            </w:r>
          </w:p>
        </w:tc>
      </w:tr>
      <w:tr w:rsidR="00E578C3" w:rsidRPr="00050F51" w14:paraId="66655A24" w14:textId="77777777" w:rsidTr="004E5254">
        <w:trPr>
          <w:trHeight w:val="144"/>
        </w:trPr>
        <w:tc>
          <w:tcPr>
            <w:tcW w:w="1872" w:type="dxa"/>
            <w:vAlign w:val="bottom"/>
          </w:tcPr>
          <w:p w14:paraId="7680EF1F" w14:textId="3AFE5301"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INM-CM4-8</w:t>
            </w:r>
          </w:p>
        </w:tc>
        <w:tc>
          <w:tcPr>
            <w:tcW w:w="1296" w:type="dxa"/>
            <w:vAlign w:val="bottom"/>
          </w:tcPr>
          <w:p w14:paraId="35693BE5" w14:textId="2FC0F113"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CMIP6</w:t>
            </w:r>
          </w:p>
        </w:tc>
        <w:tc>
          <w:tcPr>
            <w:tcW w:w="236" w:type="dxa"/>
            <w:vMerge/>
          </w:tcPr>
          <w:p w14:paraId="5037E8F8" w14:textId="1E0809B6" w:rsidR="00E578C3" w:rsidRPr="00050F51" w:rsidRDefault="00E578C3" w:rsidP="00E578C3">
            <w:pPr>
              <w:keepNext/>
              <w:rPr>
                <w:rFonts w:ascii="Arial" w:eastAsia="Arial" w:hAnsi="Arial" w:cs="Arial"/>
                <w:sz w:val="17"/>
                <w:szCs w:val="17"/>
              </w:rPr>
            </w:pPr>
          </w:p>
        </w:tc>
        <w:tc>
          <w:tcPr>
            <w:tcW w:w="1872" w:type="dxa"/>
            <w:vAlign w:val="bottom"/>
          </w:tcPr>
          <w:p w14:paraId="16DEF6AD" w14:textId="59B9FBFA"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MRI-ESM2-0</w:t>
            </w:r>
          </w:p>
        </w:tc>
        <w:tc>
          <w:tcPr>
            <w:tcW w:w="1296" w:type="dxa"/>
            <w:vAlign w:val="bottom"/>
          </w:tcPr>
          <w:p w14:paraId="02A9F722" w14:textId="4F0498FC" w:rsidR="00E578C3" w:rsidRPr="00050F51" w:rsidRDefault="00E578C3" w:rsidP="00E578C3">
            <w:pPr>
              <w:keepNext/>
              <w:rPr>
                <w:rFonts w:ascii="Arial" w:eastAsia="Arial" w:hAnsi="Arial" w:cs="Arial"/>
                <w:sz w:val="17"/>
                <w:szCs w:val="17"/>
              </w:rPr>
            </w:pPr>
            <w:r w:rsidRPr="00050F51">
              <w:rPr>
                <w:rFonts w:ascii="Arial" w:eastAsia="Arial" w:hAnsi="Arial" w:cs="Arial"/>
                <w:sz w:val="17"/>
                <w:szCs w:val="17"/>
              </w:rPr>
              <w:t>Cal-Adapt</w:t>
            </w:r>
          </w:p>
        </w:tc>
      </w:tr>
    </w:tbl>
    <w:p w14:paraId="000000A1" w14:textId="77777777" w:rsidR="0041056C" w:rsidRPr="00050F51" w:rsidRDefault="0041056C">
      <w:pPr>
        <w:keepNext/>
        <w:rPr>
          <w:rFonts w:ascii="Arial" w:eastAsia="Arial" w:hAnsi="Arial" w:cs="Arial"/>
          <w:sz w:val="20"/>
          <w:szCs w:val="20"/>
        </w:rPr>
      </w:pPr>
    </w:p>
    <w:p w14:paraId="52217B41" w14:textId="77777777" w:rsidR="00E578C3" w:rsidRPr="00050F51" w:rsidRDefault="00E578C3">
      <w:pPr>
        <w:keepNext/>
        <w:rPr>
          <w:rFonts w:ascii="Arial" w:eastAsia="Arial" w:hAnsi="Arial" w:cs="Arial"/>
          <w:sz w:val="20"/>
          <w:szCs w:val="20"/>
        </w:rPr>
      </w:pPr>
    </w:p>
    <w:p w14:paraId="000000A2" w14:textId="77777777" w:rsidR="0041056C" w:rsidRPr="00050F51" w:rsidRDefault="00000000">
      <w:pPr>
        <w:rPr>
          <w:rFonts w:ascii="Arial" w:eastAsia="Arial" w:hAnsi="Arial" w:cs="Arial"/>
          <w:b/>
          <w:bCs/>
          <w:sz w:val="22"/>
          <w:szCs w:val="22"/>
        </w:rPr>
      </w:pPr>
      <w:r w:rsidRPr="00050F51">
        <w:rPr>
          <w:rFonts w:ascii="Arial" w:eastAsia="Arial" w:hAnsi="Arial" w:cs="Arial"/>
          <w:b/>
          <w:bCs/>
          <w:noProof/>
          <w:sz w:val="22"/>
          <w:szCs w:val="22"/>
        </w:rPr>
        <w:drawing>
          <wp:inline distT="114300" distB="114300" distL="114300" distR="114300" wp14:anchorId="209B174B" wp14:editId="5A1BEA4E">
            <wp:extent cx="3767209" cy="3108960"/>
            <wp:effectExtent l="0" t="0" r="5080" b="2540"/>
            <wp:docPr id="2121626668"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
                    <a:srcRect/>
                    <a:stretch>
                      <a:fillRect/>
                    </a:stretch>
                  </pic:blipFill>
                  <pic:spPr>
                    <a:xfrm>
                      <a:off x="0" y="0"/>
                      <a:ext cx="3767209" cy="3108960"/>
                    </a:xfrm>
                    <a:prstGeom prst="rect">
                      <a:avLst/>
                    </a:prstGeom>
                    <a:ln/>
                  </pic:spPr>
                </pic:pic>
              </a:graphicData>
            </a:graphic>
          </wp:inline>
        </w:drawing>
      </w:r>
    </w:p>
    <w:p w14:paraId="7C31B0C1" w14:textId="33413EF2" w:rsidR="00E578C3" w:rsidRPr="00050F51" w:rsidRDefault="00000000" w:rsidP="004E5254">
      <w:pPr>
        <w:keepNext/>
        <w:spacing w:after="120"/>
        <w:rPr>
          <w:rFonts w:ascii="Arial" w:eastAsia="Arial" w:hAnsi="Arial" w:cs="Arial"/>
          <w:sz w:val="20"/>
          <w:szCs w:val="20"/>
          <w:vertAlign w:val="superscript"/>
        </w:rPr>
      </w:pPr>
      <w:r w:rsidRPr="00050F51">
        <w:rPr>
          <w:rFonts w:ascii="Arial" w:eastAsia="Arial" w:hAnsi="Arial" w:cs="Arial"/>
          <w:b/>
          <w:bCs/>
          <w:sz w:val="20"/>
          <w:szCs w:val="20"/>
        </w:rPr>
        <w:t xml:space="preserve">Fig. S1. </w:t>
      </w:r>
      <w:r w:rsidRPr="00050F51">
        <w:rPr>
          <w:rFonts w:ascii="Arial" w:eastAsia="Arial" w:hAnsi="Arial" w:cs="Arial"/>
          <w:sz w:val="20"/>
          <w:szCs w:val="20"/>
        </w:rPr>
        <w:t>Assessment of projected changes in precipitation and temperature in the San Lorenzo River watershed. Projected changes shown for the 2040s (2026-2055) and 2070s (2056-2085) from Cal-Adapt and CMIP6.</w:t>
      </w:r>
      <w:r w:rsidR="00FF4C28" w:rsidRPr="00050F51">
        <w:rPr>
          <w:rFonts w:ascii="Arial" w:eastAsia="Arial" w:hAnsi="Arial" w:cs="Arial"/>
          <w:sz w:val="20"/>
          <w:szCs w:val="20"/>
        </w:rPr>
        <w:fldChar w:fldCharType="begin"/>
      </w:r>
      <w:r w:rsidR="00FF4C28" w:rsidRPr="00050F51">
        <w:rPr>
          <w:rFonts w:ascii="Arial" w:eastAsia="Arial" w:hAnsi="Arial" w:cs="Arial"/>
          <w:sz w:val="20"/>
          <w:szCs w:val="20"/>
        </w:rPr>
        <w:instrText xml:space="preserve"> ADDIN ZOTERO_ITEM CSL_CITATION {"citationID":"ozblGmbY","properties":{"formattedCitation":"\\super 4\\uc0\\u8211{}6\\nosupersub{}","plainCitation":"4–6","noteIndex":0},"citationItems":[{"id":12045,"uris":["http://zotero.org/users/3174049/items/Q99F5K2Y"],"itemData":{"id":12045,"type":"article-journal","abstract":"By coordinating the design and distribution of global climate model simulations of the past, current, and future climate, the Coupled Model Intercomparison Project (CMIP) has become one of the foundational elements of climate science. However, the need to address an ever-expanding range of scientific questions arising from more and more research communities has made it necessary to revise the organization of CMIP. After a long and wide community consultation, a new and more federated structure has been put in place. It consists of three major elements: (1) a handful of common experiments, the DECK (Diagnostic, Evaluation and Characterization of Klima) and CMIP historical simulations (1850–near present) that will maintain continuity and help document basic characteristics of models across different phases of CMIP; (2) common standards, coordination, infrastructure, and documentation that will facilitate the distribution of model outputs and the characterization of the model ensemble; and (3) an ensemble of CMIP-Endorsed Model Intercomparison Projects (MIPs) that will be specific to a particular phase of CMIP (now CMIP6) and that will build on the DECK and CMIP historical simulations to address a large range of specific questions and fill the scientific gaps of the previous CMIP phases. The DECK and CMIP historical simulations, together with the use of CMIP data standards, will be the entry cards for models participating in CMIP. Participation in CMIP6-Endorsed MIPs by individual modelling groups will be at their own discretion and will depend on their scientific interests and priorities. With the Grand Science Challenges of the World Climate Research Programme (WCRP) as its scientific backdrop, CMIP6 will address three broad questions: \n\n &amp;ndash; How does the Earth system respond to forcing?\n\n &amp;ndash; What are the origins and consequences of systematic model biases? \n\n &amp;ndash; How can we assess future climate changes given internal climate variability, predictability, and uncertainties in scenarios?\n\n This CMIP6 overview paper presents the background and rationale for the new structure of CMIP, provides a detailed description of the DECK and CMIP6 historical simulations, and includes a brief introduction to the 21 CMIP6-Endorsed MIPs.","container-title":"Geoscientific Model Development","DOI":"10.5194/gmd-9-1937-2016","ISSN":"1991-959X","issue":"5","language":"English","page":"1937-1958","publisher":"Copernicus GmbH","source":"Copernicus Online Journals","title":"Overview of the Coupled Model Intercomparison Project Phase 6 (CMIP6) experimental design and organization","volume":"9","author":[{"family":"Eyring","given":"Veronika"},{"family":"Bony","given":"Sandrine"},{"family":"Meehl","given":"Gerald A."},{"family":"Senior","given":"Catherine A."},{"family":"Stevens","given":"Bjorn"},{"family":"Stouffer","given":"Ronald J."},{"family":"Taylor","given":"Karl E."}],"issued":{"date-parts":[["2016",5,26]]}}},{"id":12051,"uris":["http://zotero.org/users/3174049/items/HIMBWPQT"],"itemData":{"id":12051,"type":"webpage","title":"Cal-Adapt","URL":"https://cal-adapt.org/","accessed":{"date-parts":[["2026",1,18]]}}},{"id":12054,"uris":["http://zotero.org/users/3174049/items/EYM8CTRG"],"itemData":{"id":12054,"type":"article-journal","abstract":"A new set of CMIP6 data downscaled using the localized constructed analogs (LOCA) statistical method has been produced, covering central Mexico through southern Canada at 6-km resolution. Output from 27 CMIP6 Earth system models is included, with up to 10 ensemble members per model and 3 SSPs (245, 370, and 585). Improvements from the previous CMIP5 downscaled data result in higher daily precipitation extremes, which have significant societal and economic implications. The improvements are accomplished by using a precipitation training dataset that better represents daily extremes and by implementing an ensemble bias correction that allows a more realistic representation of extreme high daily precipitation values in models with numerous ensemble members. Over southern Canada and the CONUS exclusive of Arizona (AZ) and New Mexico (NM), seasonal increases in daily precipitation extremes are largest in winter (</w:instrText>
      </w:r>
      <w:r w:rsidR="00FF4C28" w:rsidRPr="00050F51">
        <w:rPr>
          <w:rFonts w:ascii="Cambria Math" w:eastAsia="Arial" w:hAnsi="Cambria Math" w:cs="Cambria Math"/>
          <w:sz w:val="20"/>
          <w:szCs w:val="20"/>
        </w:rPr>
        <w:instrText>∼</w:instrText>
      </w:r>
      <w:r w:rsidR="00FF4C28" w:rsidRPr="00050F51">
        <w:rPr>
          <w:rFonts w:ascii="Arial" w:eastAsia="Arial" w:hAnsi="Arial" w:cs="Arial"/>
          <w:sz w:val="20"/>
          <w:szCs w:val="20"/>
        </w:rPr>
        <w:instrText>25% in SSP370). Over Mexico, AZ, and NM, seasonal increases are largest in autumn (</w:instrText>
      </w:r>
      <w:r w:rsidR="00FF4C28" w:rsidRPr="00050F51">
        <w:rPr>
          <w:rFonts w:ascii="Cambria Math" w:eastAsia="Arial" w:hAnsi="Cambria Math" w:cs="Cambria Math"/>
          <w:sz w:val="20"/>
          <w:szCs w:val="20"/>
        </w:rPr>
        <w:instrText>∼</w:instrText>
      </w:r>
      <w:r w:rsidR="00FF4C28" w:rsidRPr="00050F51">
        <w:rPr>
          <w:rFonts w:ascii="Arial" w:eastAsia="Arial" w:hAnsi="Arial" w:cs="Arial"/>
          <w:sz w:val="20"/>
          <w:szCs w:val="20"/>
        </w:rPr>
        <w:instrText xml:space="preserve">15%). Summer is the outlier season, with low model agreement except in New England and little changes in 5-yr return values, but substantial increases in the CONUS and Canada in the 500-yr return value. One-in-100-yr historical daily precipitation events become substantially more frequent in the future, as often as once in 30–40 years in the southeastern United States and Pacific Northwest by the end of the century under SSP 370. Impacts of the higher precipitation extremes in the LOCA version 2 downscaled CMIP6 product relative to the LOCA downscaled CMIP5 product, even for similar anthropogenic emissions, may need to be considered by end-users.","DOI":"10.1175/JHM-D-22-0194.1","language":"en","section":"Journal of Hydrometeorology","source":"journals.ametsoc.org","title":"Future Increases in North American Extreme Precipitation in CMIP6 Downscaled with LOCA","URL":"https://journals.ametsoc.org/view/journals/hydr/24/5/JHM-D-22-0194.1.xml","author":[{"family":"Pierce","given":"David W."},{"family":"Cayan","given":"Daniel R."},{"family":"Feldman","given":"Daniel R."},{"family":"Risser","given":"Mark D."}],"accessed":{"date-parts":[["2026",1,18]]},"issued":{"date-parts":[["2023",6,1]]}}}],"schema":"https://github.com/citation-style-language/schema/raw/master/csl-citation.json"} </w:instrText>
      </w:r>
      <w:r w:rsidR="00FF4C28" w:rsidRPr="00050F51">
        <w:rPr>
          <w:rFonts w:ascii="Arial" w:eastAsia="Arial" w:hAnsi="Arial" w:cs="Arial"/>
          <w:sz w:val="20"/>
          <w:szCs w:val="20"/>
        </w:rPr>
        <w:fldChar w:fldCharType="separate"/>
      </w:r>
      <w:r w:rsidR="00FF4C28" w:rsidRPr="00050F51">
        <w:rPr>
          <w:rFonts w:ascii="Arial" w:hAnsi="Arial" w:cs="Arial"/>
          <w:sz w:val="20"/>
          <w:vertAlign w:val="superscript"/>
          <w:lang w:val="en-US"/>
        </w:rPr>
        <w:t>4–6</w:t>
      </w:r>
      <w:r w:rsidR="00FF4C28" w:rsidRPr="00050F51">
        <w:rPr>
          <w:rFonts w:ascii="Arial" w:eastAsia="Arial" w:hAnsi="Arial" w:cs="Arial"/>
          <w:sz w:val="20"/>
          <w:szCs w:val="20"/>
        </w:rPr>
        <w:fldChar w:fldCharType="end"/>
      </w:r>
      <w:r w:rsidRPr="00050F51">
        <w:rPr>
          <w:rFonts w:ascii="Arial" w:eastAsia="Arial" w:hAnsi="Arial" w:cs="Arial"/>
          <w:sz w:val="20"/>
          <w:szCs w:val="20"/>
        </w:rPr>
        <w:t xml:space="preserve"> Colored gridded boxes show the delineation into nine climate scenarios. In this work, we test multiple climate scenarios: the moderate, cool climate (0-1</w:t>
      </w:r>
      <w:r w:rsidRPr="00050F51">
        <w:rPr>
          <w:rFonts w:ascii="Cambria Math" w:eastAsia="Cambria Math" w:hAnsi="Cambria Math" w:cs="Cambria Math"/>
          <w:sz w:val="20"/>
          <w:szCs w:val="20"/>
        </w:rPr>
        <w:t>℃</w:t>
      </w:r>
      <w:r w:rsidRPr="00050F51">
        <w:rPr>
          <w:rFonts w:ascii="Arial" w:eastAsia="Arial" w:hAnsi="Arial" w:cs="Arial"/>
          <w:sz w:val="20"/>
          <w:szCs w:val="20"/>
        </w:rPr>
        <w:t xml:space="preserve"> of temperature increase and 100% of average annual precipitation) and dry, hot climate (4-5</w:t>
      </w:r>
      <w:r w:rsidRPr="00050F51">
        <w:rPr>
          <w:rFonts w:ascii="Cambria Math" w:eastAsia="Cambria Math" w:hAnsi="Cambria Math" w:cs="Cambria Math"/>
          <w:sz w:val="20"/>
          <w:szCs w:val="20"/>
        </w:rPr>
        <w:t>℃</w:t>
      </w:r>
      <w:r w:rsidRPr="00050F51">
        <w:rPr>
          <w:rFonts w:ascii="Arial" w:eastAsia="Arial" w:hAnsi="Arial" w:cs="Arial"/>
          <w:sz w:val="20"/>
          <w:szCs w:val="20"/>
        </w:rPr>
        <w:t xml:space="preserve"> of temperature increase and 80-90% of average annual precipitation), both of which are highlighted</w:t>
      </w:r>
      <w:r w:rsidR="00E578C3" w:rsidRPr="00050F51">
        <w:rPr>
          <w:rFonts w:ascii="Arial" w:eastAsia="Arial" w:hAnsi="Arial" w:cs="Arial"/>
          <w:sz w:val="20"/>
          <w:szCs w:val="20"/>
        </w:rPr>
        <w:t xml:space="preserve"> </w:t>
      </w:r>
      <w:r w:rsidRPr="00050F51">
        <w:rPr>
          <w:rFonts w:ascii="Arial" w:eastAsia="Arial" w:hAnsi="Arial" w:cs="Arial"/>
          <w:sz w:val="20"/>
          <w:szCs w:val="20"/>
        </w:rPr>
        <w:t>with stars, as well as the whole range of anomalies in our “all climate simulations” scenario. This figure is adapted from previous work.</w:t>
      </w:r>
      <w:r w:rsidR="00FF4C28" w:rsidRPr="00050F51">
        <w:rPr>
          <w:rFonts w:ascii="Arial" w:eastAsia="Arial" w:hAnsi="Arial" w:cs="Arial"/>
          <w:sz w:val="20"/>
          <w:szCs w:val="20"/>
        </w:rPr>
        <w:fldChar w:fldCharType="begin"/>
      </w:r>
      <w:r w:rsidR="00FF4C28" w:rsidRPr="00050F51">
        <w:rPr>
          <w:rFonts w:ascii="Arial" w:eastAsia="Arial" w:hAnsi="Arial" w:cs="Arial"/>
          <w:sz w:val="20"/>
          <w:szCs w:val="20"/>
        </w:rPr>
        <w:instrText xml:space="preserve"> ADDIN ZOTERO_ITEM CSL_CITATION {"citationID":"UHyJxvnH","properties":{"formattedCitation":"\\super 2\\nosupersub{}","plainCitation":"2","noteIndex":0},"citationItems":[{"id":11252,"uris":["http://zotero.org/users/3174049/items/LVDFAA29"],"itemData":{"id":11252,"type":"report","collection-title":"Weather Generator and Future Scenarios","publisher-place":"Santa Cruz, CA","title":"Vulnerability Assessment and Adaptation Planning for Santa Cruz Water Department","author":[{"literal":"Hydrosystems Research Group"}],"issued":{"date-parts":[["2021",7]]}}}],"schema":"https://github.com/citation-style-language/schema/raw/master/csl-citation.json"} </w:instrText>
      </w:r>
      <w:r w:rsidR="00FF4C28" w:rsidRPr="00050F51">
        <w:rPr>
          <w:rFonts w:ascii="Arial" w:eastAsia="Arial" w:hAnsi="Arial" w:cs="Arial"/>
          <w:sz w:val="20"/>
          <w:szCs w:val="20"/>
        </w:rPr>
        <w:fldChar w:fldCharType="separate"/>
      </w:r>
      <w:r w:rsidR="00FF4C28" w:rsidRPr="00050F51">
        <w:rPr>
          <w:rFonts w:ascii="Arial" w:hAnsi="Arial" w:cs="Arial"/>
          <w:sz w:val="20"/>
          <w:vertAlign w:val="superscript"/>
          <w:lang w:val="en-US"/>
        </w:rPr>
        <w:t>2</w:t>
      </w:r>
      <w:r w:rsidR="00FF4C28" w:rsidRPr="00050F51">
        <w:rPr>
          <w:rFonts w:ascii="Arial" w:eastAsia="Arial" w:hAnsi="Arial" w:cs="Arial"/>
          <w:sz w:val="20"/>
          <w:szCs w:val="20"/>
        </w:rPr>
        <w:fldChar w:fldCharType="end"/>
      </w:r>
    </w:p>
    <w:p w14:paraId="4CB744C6" w14:textId="77777777" w:rsidR="00E578C3" w:rsidRPr="00050F51" w:rsidRDefault="00E578C3">
      <w:pPr>
        <w:rPr>
          <w:rFonts w:ascii="Arial" w:eastAsia="Arial" w:hAnsi="Arial" w:cs="Arial"/>
          <w:sz w:val="20"/>
          <w:szCs w:val="20"/>
        </w:rPr>
      </w:pPr>
      <w:r w:rsidRPr="00050F51">
        <w:rPr>
          <w:rFonts w:ascii="Arial" w:eastAsia="Arial" w:hAnsi="Arial" w:cs="Arial"/>
          <w:sz w:val="20"/>
          <w:szCs w:val="20"/>
        </w:rPr>
        <w:br w:type="page"/>
      </w:r>
    </w:p>
    <w:p w14:paraId="000000A5" w14:textId="18873F0B" w:rsidR="0041056C" w:rsidRPr="00050F51" w:rsidRDefault="00000000" w:rsidP="00355BB8">
      <w:pPr>
        <w:keepNext/>
        <w:spacing w:after="120"/>
        <w:rPr>
          <w:rFonts w:ascii="Arial" w:eastAsia="Arial" w:hAnsi="Arial" w:cs="Arial"/>
          <w:sz w:val="20"/>
          <w:szCs w:val="20"/>
        </w:rPr>
      </w:pPr>
      <w:r w:rsidRPr="00050F51">
        <w:rPr>
          <w:rFonts w:ascii="Arial" w:eastAsia="Arial" w:hAnsi="Arial" w:cs="Arial"/>
          <w:sz w:val="20"/>
          <w:szCs w:val="20"/>
        </w:rPr>
        <w:lastRenderedPageBreak/>
        <w:t>Since the goal is to understand how the range of possible climates may impact water system vulnerability, the moderate, cool scenario reflects moderate precipitation (100% of historical), historical precipitation variability (factor of 1.0), and cool temperatures (+0 to 1</w:t>
      </w:r>
      <w:r w:rsidRPr="00050F51">
        <w:rPr>
          <w:rFonts w:ascii="Cambria Math" w:eastAsia="Cambria Math" w:hAnsi="Cambria Math" w:cs="Cambria Math"/>
          <w:sz w:val="20"/>
          <w:szCs w:val="20"/>
        </w:rPr>
        <w:t>℃</w:t>
      </w:r>
      <w:r w:rsidRPr="00050F51">
        <w:rPr>
          <w:rFonts w:ascii="Arial" w:eastAsia="Arial" w:hAnsi="Arial" w:cs="Arial"/>
          <w:sz w:val="20"/>
          <w:szCs w:val="20"/>
        </w:rPr>
        <w:t>); while the dry, hot scenario reflects decreased precipitation (80-90% of historical), higher precipitation variability (factor of 1.2), and increased temperatures (+4 to +5</w:t>
      </w:r>
      <w:r w:rsidRPr="00050F51">
        <w:rPr>
          <w:rFonts w:ascii="Cambria Math" w:eastAsia="Cambria Math" w:hAnsi="Cambria Math" w:cs="Cambria Math"/>
          <w:sz w:val="20"/>
          <w:szCs w:val="20"/>
        </w:rPr>
        <w:t>℃</w:t>
      </w:r>
      <w:r w:rsidRPr="00050F51">
        <w:rPr>
          <w:rFonts w:ascii="Arial" w:eastAsia="Arial" w:hAnsi="Arial" w:cs="Arial"/>
          <w:sz w:val="20"/>
          <w:szCs w:val="20"/>
        </w:rPr>
        <w:t>). We also test the sensitivity across all climate perturbations. The full range of analysis includes average annual precipitation changes between 60 and 120%, precipitation variability between 1.0 and 1.2, and average annual temperature changes ranging from 0 to +5</w:t>
      </w:r>
      <w:r w:rsidRPr="00050F51">
        <w:rPr>
          <w:rFonts w:ascii="Cambria Math" w:eastAsia="Cambria Math" w:hAnsi="Cambria Math" w:cs="Cambria Math"/>
          <w:sz w:val="20"/>
          <w:szCs w:val="20"/>
        </w:rPr>
        <w:t>℃</w:t>
      </w:r>
      <w:r w:rsidRPr="00050F51">
        <w:rPr>
          <w:rFonts w:ascii="Arial" w:eastAsia="Arial" w:hAnsi="Arial" w:cs="Arial"/>
          <w:sz w:val="20"/>
          <w:szCs w:val="20"/>
        </w:rPr>
        <w:t>.</w:t>
      </w:r>
      <w:r w:rsidR="00FF4C28" w:rsidRPr="00050F51">
        <w:rPr>
          <w:rFonts w:ascii="Arial" w:eastAsia="Arial" w:hAnsi="Arial" w:cs="Arial"/>
          <w:sz w:val="20"/>
          <w:szCs w:val="20"/>
        </w:rPr>
        <w:fldChar w:fldCharType="begin"/>
      </w:r>
      <w:r w:rsidR="00FF4C28" w:rsidRPr="00050F51">
        <w:rPr>
          <w:rFonts w:ascii="Arial" w:eastAsia="Arial" w:hAnsi="Arial" w:cs="Arial"/>
          <w:sz w:val="20"/>
          <w:szCs w:val="20"/>
        </w:rPr>
        <w:instrText xml:space="preserve"> ADDIN ZOTERO_ITEM CSL_CITATION {"citationID":"PdNDIROi","properties":{"formattedCitation":"\\super 7\\nosupersub{}","plainCitation":"7","noteIndex":0},"citationItems":[{"id":10653,"uris":["http://zotero.org/users/3174049/items/LN7ITD2U"],"itemData":{"id":10653,"type":"report","collection-title":"Santa Cruz Water System Model (SCWSM) Long Term Vulnerability Assessment (LTVA)","publisher-place":"Santa Cruz, CA","title":"Vulnerability Assessment and Adaptation Planning for Santa Cruz Water Department","author":[{"literal":"Hydrosystems Research Group"}],"issued":{"date-parts":[["2023",6]]}}}],"schema":"https://github.com/citation-style-language/schema/raw/master/csl-citation.json"} </w:instrText>
      </w:r>
      <w:r w:rsidR="00FF4C28" w:rsidRPr="00050F51">
        <w:rPr>
          <w:rFonts w:ascii="Arial" w:eastAsia="Arial" w:hAnsi="Arial" w:cs="Arial"/>
          <w:sz w:val="20"/>
          <w:szCs w:val="20"/>
        </w:rPr>
        <w:fldChar w:fldCharType="separate"/>
      </w:r>
      <w:r w:rsidR="00FF4C28" w:rsidRPr="00050F51">
        <w:rPr>
          <w:rFonts w:ascii="Arial" w:hAnsi="Arial" w:cs="Arial"/>
          <w:sz w:val="20"/>
          <w:vertAlign w:val="superscript"/>
          <w:lang w:val="en-US"/>
        </w:rPr>
        <w:t>7</w:t>
      </w:r>
      <w:r w:rsidR="00FF4C28" w:rsidRPr="00050F51">
        <w:rPr>
          <w:rFonts w:ascii="Arial" w:eastAsia="Arial" w:hAnsi="Arial" w:cs="Arial"/>
          <w:sz w:val="20"/>
          <w:szCs w:val="20"/>
        </w:rPr>
        <w:fldChar w:fldCharType="end"/>
      </w:r>
      <w:r w:rsidRPr="00050F51">
        <w:rPr>
          <w:rFonts w:ascii="Arial" w:eastAsia="Arial" w:hAnsi="Arial" w:cs="Arial"/>
          <w:sz w:val="20"/>
          <w:szCs w:val="20"/>
        </w:rPr>
        <w:t xml:space="preserve"> Stochastic realizations are combined with climate scenarios using multiplicative and additive factors for average precipitation and temperature, respectively, and quantile mapping and downscaling for precipitation variability.</w:t>
      </w:r>
    </w:p>
    <w:p w14:paraId="000000A7" w14:textId="6448CB24" w:rsidR="0041056C" w:rsidRPr="00050F51" w:rsidRDefault="00000000" w:rsidP="00355BB8">
      <w:pPr>
        <w:spacing w:after="120"/>
        <w:rPr>
          <w:rFonts w:ascii="Arial" w:eastAsia="Arial" w:hAnsi="Arial" w:cs="Arial"/>
          <w:b/>
          <w:bCs/>
          <w:sz w:val="20"/>
          <w:szCs w:val="20"/>
        </w:rPr>
      </w:pPr>
      <w:r w:rsidRPr="00050F51">
        <w:rPr>
          <w:rFonts w:ascii="Arial" w:eastAsia="Arial" w:hAnsi="Arial" w:cs="Arial"/>
          <w:sz w:val="20"/>
          <w:szCs w:val="20"/>
        </w:rPr>
        <w:t>The selected simulations are run through a lumped water balance model, described in Section S1</w:t>
      </w:r>
      <w:r w:rsidR="009D34D8" w:rsidRPr="00050F51">
        <w:rPr>
          <w:rFonts w:ascii="Arial" w:eastAsia="Arial" w:hAnsi="Arial" w:cs="Arial"/>
          <w:sz w:val="20"/>
          <w:szCs w:val="20"/>
        </w:rPr>
        <w:t>0</w:t>
      </w:r>
      <w:r w:rsidRPr="00050F51">
        <w:rPr>
          <w:rFonts w:ascii="Arial" w:eastAsia="Arial" w:hAnsi="Arial" w:cs="Arial"/>
          <w:sz w:val="20"/>
          <w:szCs w:val="20"/>
        </w:rPr>
        <w:t>, to generate corresponding streamflow time series and compared to historical USGS streamflow gage data (ID: 11160500)</w:t>
      </w:r>
      <w:r w:rsidR="00FF4C28" w:rsidRPr="00050F51">
        <w:rPr>
          <w:rFonts w:ascii="Arial" w:eastAsia="Arial" w:hAnsi="Arial" w:cs="Arial"/>
          <w:sz w:val="20"/>
          <w:szCs w:val="20"/>
        </w:rPr>
        <w:fldChar w:fldCharType="begin"/>
      </w:r>
      <w:r w:rsidR="00FF4C28" w:rsidRPr="00050F51">
        <w:rPr>
          <w:rFonts w:ascii="Arial" w:eastAsia="Arial" w:hAnsi="Arial" w:cs="Arial"/>
          <w:sz w:val="20"/>
          <w:szCs w:val="20"/>
        </w:rPr>
        <w:instrText xml:space="preserve"> ADDIN ZOTERO_ITEM CSL_CITATION {"citationID":"0dGqKzUI","properties":{"formattedCitation":"\\super 8\\nosupersub{}","plainCitation":"8","noteIndex":0},"citationItems":[{"id":10757,"uris":["http://zotero.org/users/3174049/items/DC8NYM9V"],"itemData":{"id":10757,"type":"dataset","abstract":"Monitoring location 11160500 is associated with a Stream in Santa Cruz County, California. Current conditions of Discharge, Gage height, and Stream water level elevation above NAVD 1988 are available. Water data back to 1936 are available online.","language":"en","title":"San Lorenzo R a Big Trees CA","URL":"https://waterdata.usgs.gov/monitoring-location/11160500/","author":[{"literal":"United States Geological Survey"}],"accessed":{"date-parts":[["2024",12,13]]},"issued":{"date-parts":[["2024",12,13]]}}}],"schema":"https://github.com/citation-style-language/schema/raw/master/csl-citation.json"} </w:instrText>
      </w:r>
      <w:r w:rsidR="00FF4C28" w:rsidRPr="00050F51">
        <w:rPr>
          <w:rFonts w:ascii="Arial" w:eastAsia="Arial" w:hAnsi="Arial" w:cs="Arial"/>
          <w:sz w:val="20"/>
          <w:szCs w:val="20"/>
        </w:rPr>
        <w:fldChar w:fldCharType="separate"/>
      </w:r>
      <w:r w:rsidR="00FF4C28" w:rsidRPr="00050F51">
        <w:rPr>
          <w:rFonts w:ascii="Arial" w:hAnsi="Arial" w:cs="Arial"/>
          <w:sz w:val="20"/>
          <w:vertAlign w:val="superscript"/>
          <w:lang w:val="en-US"/>
        </w:rPr>
        <w:t>8</w:t>
      </w:r>
      <w:r w:rsidR="00FF4C28" w:rsidRPr="00050F51">
        <w:rPr>
          <w:rFonts w:ascii="Arial" w:eastAsia="Arial" w:hAnsi="Arial" w:cs="Arial"/>
          <w:sz w:val="20"/>
          <w:szCs w:val="20"/>
        </w:rPr>
        <w:fldChar w:fldCharType="end"/>
      </w:r>
      <w:r w:rsidRPr="00050F51">
        <w:rPr>
          <w:rFonts w:ascii="Arial" w:eastAsia="Arial" w:hAnsi="Arial" w:cs="Arial"/>
          <w:sz w:val="20"/>
          <w:szCs w:val="20"/>
        </w:rPr>
        <w:t xml:space="preserve"> to ensure performance aligns with the observed records</w:t>
      </w:r>
      <w:r w:rsidR="00FF4C28" w:rsidRPr="00050F51">
        <w:rPr>
          <w:rFonts w:ascii="Arial" w:eastAsia="Arial" w:hAnsi="Arial" w:cs="Arial"/>
          <w:sz w:val="20"/>
          <w:szCs w:val="20"/>
        </w:rPr>
        <w:t>.</w:t>
      </w:r>
      <w:r w:rsidR="00FF4C28" w:rsidRPr="00050F51">
        <w:rPr>
          <w:rFonts w:ascii="Arial" w:eastAsia="Arial" w:hAnsi="Arial" w:cs="Arial"/>
          <w:sz w:val="20"/>
          <w:szCs w:val="20"/>
        </w:rPr>
        <w:fldChar w:fldCharType="begin"/>
      </w:r>
      <w:r w:rsidR="00FF4C28" w:rsidRPr="00050F51">
        <w:rPr>
          <w:rFonts w:ascii="Arial" w:eastAsia="Arial" w:hAnsi="Arial" w:cs="Arial"/>
          <w:sz w:val="20"/>
          <w:szCs w:val="20"/>
        </w:rPr>
        <w:instrText xml:space="preserve"> ADDIN ZOTERO_ITEM CSL_CITATION {"citationID":"lr5Yz39T","properties":{"formattedCitation":"\\super 7\\nosupersub{}","plainCitation":"7","noteIndex":0},"citationItems":[{"id":10653,"uris":["http://zotero.org/users/3174049/items/LN7ITD2U"],"itemData":{"id":10653,"type":"report","collection-title":"Santa Cruz Water System Model (SCWSM) Long Term Vulnerability Assessment (LTVA)","publisher-place":"Santa Cruz, CA","title":"Vulnerability Assessment and Adaptation Planning for Santa Cruz Water Department","author":[{"literal":"Hydrosystems Research Group"}],"issued":{"date-parts":[["2023",6]]}}}],"schema":"https://github.com/citation-style-language/schema/raw/master/csl-citation.json"} </w:instrText>
      </w:r>
      <w:r w:rsidR="00FF4C28" w:rsidRPr="00050F51">
        <w:rPr>
          <w:rFonts w:ascii="Arial" w:eastAsia="Arial" w:hAnsi="Arial" w:cs="Arial"/>
          <w:sz w:val="20"/>
          <w:szCs w:val="20"/>
        </w:rPr>
        <w:fldChar w:fldCharType="separate"/>
      </w:r>
      <w:r w:rsidR="00FF4C28" w:rsidRPr="00050F51">
        <w:rPr>
          <w:rFonts w:ascii="Arial" w:hAnsi="Arial" w:cs="Arial"/>
          <w:sz w:val="20"/>
          <w:vertAlign w:val="superscript"/>
          <w:lang w:val="en-US"/>
        </w:rPr>
        <w:t>7</w:t>
      </w:r>
      <w:r w:rsidR="00FF4C28" w:rsidRPr="00050F51">
        <w:rPr>
          <w:rFonts w:ascii="Arial" w:eastAsia="Arial" w:hAnsi="Arial" w:cs="Arial"/>
          <w:sz w:val="20"/>
          <w:szCs w:val="20"/>
        </w:rPr>
        <w:fldChar w:fldCharType="end"/>
      </w:r>
    </w:p>
    <w:p w14:paraId="5D429825" w14:textId="77777777" w:rsidR="001C3F79" w:rsidRPr="00050F51" w:rsidRDefault="001C3F79">
      <w:pPr>
        <w:rPr>
          <w:rFonts w:ascii="Arial" w:eastAsia="Arial" w:hAnsi="Arial" w:cs="Arial"/>
          <w:b/>
          <w:bCs/>
          <w:sz w:val="20"/>
          <w:szCs w:val="20"/>
        </w:rPr>
      </w:pPr>
      <w:r w:rsidRPr="00050F51">
        <w:rPr>
          <w:rFonts w:ascii="Arial" w:eastAsia="Arial" w:hAnsi="Arial" w:cs="Arial"/>
          <w:b/>
          <w:bCs/>
          <w:sz w:val="20"/>
          <w:szCs w:val="20"/>
        </w:rPr>
        <w:br w:type="page"/>
      </w:r>
    </w:p>
    <w:p w14:paraId="000000A8" w14:textId="3B7A48AB" w:rsidR="0041056C" w:rsidRPr="00050F51" w:rsidRDefault="00000000" w:rsidP="00B56F00">
      <w:pPr>
        <w:pStyle w:val="SISectionHeading"/>
      </w:pPr>
      <w:r w:rsidRPr="00050F51">
        <w:lastRenderedPageBreak/>
        <w:t>Section S2. Infrastructure deployment timing and frequency under all scenarios analyzed with adaptation</w:t>
      </w:r>
    </w:p>
    <w:p w14:paraId="000000A9" w14:textId="77777777" w:rsidR="0041056C" w:rsidRPr="00050F51" w:rsidRDefault="00000000">
      <w:pPr>
        <w:spacing w:before="240" w:after="60"/>
        <w:rPr>
          <w:rFonts w:ascii="Arial" w:eastAsia="Arial" w:hAnsi="Arial" w:cs="Arial"/>
          <w:sz w:val="20"/>
          <w:szCs w:val="20"/>
        </w:rPr>
      </w:pPr>
      <w:r w:rsidRPr="00050F51">
        <w:rPr>
          <w:rFonts w:ascii="Arial" w:eastAsia="Arial" w:hAnsi="Arial" w:cs="Arial"/>
          <w:noProof/>
          <w:sz w:val="20"/>
          <w:szCs w:val="20"/>
        </w:rPr>
        <w:drawing>
          <wp:inline distT="114300" distB="114300" distL="114300" distR="114300" wp14:anchorId="46E6BF97" wp14:editId="1D50D874">
            <wp:extent cx="5486400" cy="5511800"/>
            <wp:effectExtent l="0" t="0" r="0" b="0"/>
            <wp:docPr id="212162666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
                    <a:srcRect/>
                    <a:stretch>
                      <a:fillRect/>
                    </a:stretch>
                  </pic:blipFill>
                  <pic:spPr>
                    <a:xfrm>
                      <a:off x="0" y="0"/>
                      <a:ext cx="5486400" cy="5511800"/>
                    </a:xfrm>
                    <a:prstGeom prst="rect">
                      <a:avLst/>
                    </a:prstGeom>
                    <a:ln/>
                  </pic:spPr>
                </pic:pic>
              </a:graphicData>
            </a:graphic>
          </wp:inline>
        </w:drawing>
      </w:r>
    </w:p>
    <w:p w14:paraId="000000AA" w14:textId="03693DB3" w:rsidR="0041056C" w:rsidRPr="00050F51" w:rsidRDefault="00000000" w:rsidP="004E5254">
      <w:pPr>
        <w:spacing w:after="120"/>
        <w:rPr>
          <w:rFonts w:ascii="Arial" w:eastAsia="Arial" w:hAnsi="Arial" w:cs="Arial"/>
          <w:sz w:val="16"/>
          <w:szCs w:val="16"/>
        </w:rPr>
      </w:pPr>
      <w:r w:rsidRPr="00050F51">
        <w:rPr>
          <w:rFonts w:ascii="Arial" w:eastAsia="Arial" w:hAnsi="Arial" w:cs="Arial"/>
          <w:b/>
          <w:bCs/>
          <w:sz w:val="20"/>
          <w:szCs w:val="20"/>
        </w:rPr>
        <w:t xml:space="preserve">Fig. S2. </w:t>
      </w:r>
      <w:r w:rsidRPr="00050F51">
        <w:rPr>
          <w:rFonts w:ascii="Arial" w:eastAsia="Arial" w:hAnsi="Arial" w:cs="Arial"/>
          <w:sz w:val="20"/>
          <w:szCs w:val="20"/>
        </w:rPr>
        <w:t xml:space="preserve">Time series and histograms illustrating the timing and frequency of infrastructure investment decisions under all scenarios analyzed with adaptation. Left columns: each trace represents the timing </w:t>
      </w:r>
      <w:r w:rsidR="008414D5" w:rsidRPr="00050F51">
        <w:rPr>
          <w:rFonts w:ascii="Arial" w:eastAsia="Arial" w:hAnsi="Arial" w:cs="Arial"/>
          <w:sz w:val="20"/>
          <w:szCs w:val="20"/>
        </w:rPr>
        <w:t xml:space="preserve">of </w:t>
      </w:r>
      <w:r w:rsidRPr="00050F51">
        <w:rPr>
          <w:rFonts w:ascii="Arial" w:eastAsia="Arial" w:hAnsi="Arial" w:cs="Arial"/>
          <w:sz w:val="20"/>
          <w:szCs w:val="20"/>
        </w:rPr>
        <w:t>and number of infrastructure additions over the 50-year planning period in a single simulation. Right columns: histograms showing the number of infrastructure additions across climate simulations.</w:t>
      </w:r>
    </w:p>
    <w:p w14:paraId="000000AB" w14:textId="77777777" w:rsidR="0041056C" w:rsidRPr="00050F51" w:rsidRDefault="00000000">
      <w:r w:rsidRPr="00050F51">
        <w:br w:type="page"/>
      </w:r>
    </w:p>
    <w:p w14:paraId="580FF6C7" w14:textId="2021605B" w:rsidR="001C3F79" w:rsidRPr="00050F51" w:rsidRDefault="001C3F79" w:rsidP="00B56F00">
      <w:pPr>
        <w:pStyle w:val="SISectionHeading"/>
      </w:pPr>
      <w:r w:rsidRPr="00050F51">
        <w:lastRenderedPageBreak/>
        <w:t>Section S3. Sensitivity analysis</w:t>
      </w:r>
    </w:p>
    <w:p w14:paraId="494E68D9" w14:textId="0A3A5F9C" w:rsidR="001C3F79" w:rsidRPr="00050F51" w:rsidRDefault="001C3F79" w:rsidP="00355BB8">
      <w:pPr>
        <w:spacing w:after="120"/>
        <w:rPr>
          <w:rFonts w:ascii="Arial" w:eastAsia="Arial" w:hAnsi="Arial" w:cs="Arial"/>
          <w:sz w:val="20"/>
          <w:szCs w:val="20"/>
        </w:rPr>
      </w:pPr>
      <w:r w:rsidRPr="00050F51">
        <w:rPr>
          <w:rFonts w:ascii="Arial" w:eastAsia="Arial" w:hAnsi="Arial" w:cs="Arial"/>
          <w:sz w:val="20"/>
          <w:szCs w:val="20"/>
        </w:rPr>
        <w:t xml:space="preserve">We perform sensitivity analysis on the optimization and simulation steps to understand the impacts of various assumptions, using a one-at-a-time approach for the optimization analysis for computational efficiency and a full factorial approach for the simulation analysis. </w:t>
      </w:r>
    </w:p>
    <w:p w14:paraId="60191DD4" w14:textId="40EBEBD8" w:rsidR="001C3F79" w:rsidRPr="00050F51" w:rsidRDefault="001C3F79" w:rsidP="00355BB8">
      <w:pPr>
        <w:spacing w:after="120"/>
        <w:rPr>
          <w:rFonts w:ascii="Arial" w:eastAsia="Arial" w:hAnsi="Arial" w:cs="Arial"/>
          <w:sz w:val="20"/>
          <w:szCs w:val="20"/>
        </w:rPr>
      </w:pPr>
      <w:r w:rsidRPr="00050F51">
        <w:rPr>
          <w:rFonts w:ascii="Arial" w:eastAsia="Arial" w:hAnsi="Arial" w:cs="Arial"/>
          <w:sz w:val="20"/>
          <w:szCs w:val="20"/>
        </w:rPr>
        <w:t>For the optimization, we test one uncertain parameter for each category of our model framework as shown in Table S2 below. Our results are shown in Figure S3. Here we can compare the added water supply costs and unmet demands for each optimal strategy found (each point) for each uncertainty tested (each subplot). Across all six experiments, we see that the portfolios of optimal infrastructure planning strategies remain similar across the tested uncertain parameters, as the shapes of the scatter points denoting the first infrastructure option of the strategy remain similar to the baseline scenario. In the deployment time and infrastructure cost scenarios (panels b-e), the objective values for both utility cost and unmet demand remain very close to the baseline values, also. In the high (low) demand scenarios in panel f (g), the curve shifts right (left), reflecting higher (lower) unmet demand when household demand increases (decreases). However, the impacts on cost are relatively small, reflecting that cost in our case study is more driven by supply deficits than demand.</w:t>
      </w:r>
    </w:p>
    <w:p w14:paraId="3E9A356B" w14:textId="2CB5B62E" w:rsidR="001C3F79" w:rsidRPr="00050F51" w:rsidRDefault="001C3F79" w:rsidP="00355BB8">
      <w:pPr>
        <w:spacing w:after="120"/>
        <w:rPr>
          <w:rFonts w:ascii="Arial" w:eastAsia="Arial" w:hAnsi="Arial" w:cs="Arial"/>
          <w:sz w:val="20"/>
          <w:szCs w:val="20"/>
        </w:rPr>
      </w:pPr>
      <w:r w:rsidRPr="00050F51">
        <w:rPr>
          <w:rFonts w:ascii="Arial" w:eastAsia="Arial" w:hAnsi="Arial" w:cs="Arial"/>
          <w:sz w:val="20"/>
          <w:szCs w:val="20"/>
        </w:rPr>
        <w:t>Figure S4 includes the hypervolumes for each uncertainty test to confirm the optimization was run for an adequate number of function evaluations and that the results converge.</w:t>
      </w:r>
    </w:p>
    <w:p w14:paraId="3D0016D3" w14:textId="12B986EB" w:rsidR="001C3F79" w:rsidRPr="00050F51" w:rsidRDefault="001C3F79" w:rsidP="004E5254">
      <w:pPr>
        <w:spacing w:before="120"/>
        <w:rPr>
          <w:rFonts w:ascii="Arial" w:eastAsia="Arial" w:hAnsi="Arial" w:cs="Arial"/>
          <w:sz w:val="22"/>
          <w:szCs w:val="22"/>
        </w:rPr>
      </w:pPr>
      <w:r w:rsidRPr="00050F51">
        <w:rPr>
          <w:rFonts w:ascii="Arial" w:eastAsia="Arial" w:hAnsi="Arial" w:cs="Arial"/>
          <w:b/>
          <w:bCs/>
          <w:sz w:val="20"/>
          <w:szCs w:val="20"/>
        </w:rPr>
        <w:t>Table S2.</w:t>
      </w:r>
      <w:r w:rsidRPr="00050F51">
        <w:rPr>
          <w:rFonts w:ascii="Arial" w:eastAsia="Arial" w:hAnsi="Arial" w:cs="Arial"/>
          <w:sz w:val="20"/>
          <w:szCs w:val="20"/>
        </w:rPr>
        <w:t xml:space="preserve"> Model uncertainties tested in optimization sensitivity analysis</w:t>
      </w:r>
    </w:p>
    <w:tbl>
      <w:tblPr>
        <w:tblStyle w:val="TableGrid"/>
        <w:tblW w:w="0" w:type="auto"/>
        <w:tblLook w:val="04A0" w:firstRow="1" w:lastRow="0" w:firstColumn="1" w:lastColumn="0" w:noHBand="0" w:noVBand="1"/>
      </w:tblPr>
      <w:tblGrid>
        <w:gridCol w:w="2245"/>
        <w:gridCol w:w="3690"/>
      </w:tblGrid>
      <w:tr w:rsidR="002A3F71" w:rsidRPr="00050F51" w14:paraId="5C800F90" w14:textId="77777777" w:rsidTr="00E3741C">
        <w:trPr>
          <w:trHeight w:val="20"/>
        </w:trPr>
        <w:tc>
          <w:tcPr>
            <w:tcW w:w="2245" w:type="dxa"/>
          </w:tcPr>
          <w:p w14:paraId="1294D297" w14:textId="58901181" w:rsidR="002A3F71" w:rsidRPr="00050F51" w:rsidRDefault="002A3F71" w:rsidP="002A3F71">
            <w:pPr>
              <w:spacing w:line="276" w:lineRule="auto"/>
              <w:rPr>
                <w:rFonts w:ascii="Arial" w:eastAsia="Arial" w:hAnsi="Arial" w:cs="Arial"/>
                <w:sz w:val="20"/>
                <w:szCs w:val="20"/>
              </w:rPr>
            </w:pPr>
            <w:r w:rsidRPr="00050F51">
              <w:rPr>
                <w:rFonts w:ascii="Arial" w:eastAsia="Arial" w:hAnsi="Arial" w:cs="Arial"/>
                <w:b/>
                <w:bCs/>
                <w:sz w:val="17"/>
                <w:szCs w:val="17"/>
              </w:rPr>
              <w:t>Module</w:t>
            </w:r>
          </w:p>
        </w:tc>
        <w:tc>
          <w:tcPr>
            <w:tcW w:w="3690" w:type="dxa"/>
          </w:tcPr>
          <w:p w14:paraId="725FB3C2" w14:textId="29FC78C7" w:rsidR="002A3F71" w:rsidRPr="00050F51" w:rsidRDefault="002A3F71" w:rsidP="002A3F71">
            <w:pPr>
              <w:spacing w:line="276" w:lineRule="auto"/>
              <w:rPr>
                <w:rFonts w:ascii="Arial" w:eastAsia="Arial" w:hAnsi="Arial" w:cs="Arial"/>
                <w:sz w:val="20"/>
                <w:szCs w:val="20"/>
              </w:rPr>
            </w:pPr>
            <w:r w:rsidRPr="00050F51">
              <w:rPr>
                <w:rFonts w:ascii="Arial" w:eastAsia="Arial" w:hAnsi="Arial" w:cs="Arial"/>
                <w:b/>
                <w:bCs/>
                <w:sz w:val="17"/>
                <w:szCs w:val="17"/>
              </w:rPr>
              <w:t>Uncertainties to test</w:t>
            </w:r>
          </w:p>
        </w:tc>
      </w:tr>
      <w:tr w:rsidR="002A3F71" w:rsidRPr="00050F51" w14:paraId="4DE960A0" w14:textId="77777777" w:rsidTr="00E3741C">
        <w:trPr>
          <w:trHeight w:val="20"/>
        </w:trPr>
        <w:tc>
          <w:tcPr>
            <w:tcW w:w="2245" w:type="dxa"/>
          </w:tcPr>
          <w:p w14:paraId="37E1EB58" w14:textId="55B227E2" w:rsidR="002A3F71" w:rsidRPr="00050F51" w:rsidRDefault="002A3F71" w:rsidP="002A3F71">
            <w:pPr>
              <w:spacing w:line="276" w:lineRule="auto"/>
              <w:rPr>
                <w:rFonts w:ascii="Arial" w:eastAsia="Arial" w:hAnsi="Arial" w:cs="Arial"/>
                <w:sz w:val="20"/>
                <w:szCs w:val="20"/>
              </w:rPr>
            </w:pPr>
            <w:r w:rsidRPr="00050F51">
              <w:rPr>
                <w:rFonts w:ascii="Arial" w:eastAsia="Arial" w:hAnsi="Arial" w:cs="Arial"/>
                <w:sz w:val="17"/>
                <w:szCs w:val="17"/>
              </w:rPr>
              <w:t>Water supply balance</w:t>
            </w:r>
          </w:p>
        </w:tc>
        <w:tc>
          <w:tcPr>
            <w:tcW w:w="3690" w:type="dxa"/>
          </w:tcPr>
          <w:p w14:paraId="710E5540" w14:textId="2EB0EEC8" w:rsidR="002A3F71" w:rsidRPr="00050F51" w:rsidRDefault="002A3F71" w:rsidP="002A3F71">
            <w:pPr>
              <w:spacing w:line="276" w:lineRule="auto"/>
              <w:rPr>
                <w:rFonts w:ascii="Arial" w:eastAsia="Arial" w:hAnsi="Arial" w:cs="Arial"/>
                <w:sz w:val="20"/>
                <w:szCs w:val="20"/>
              </w:rPr>
            </w:pPr>
            <w:r w:rsidRPr="00050F51">
              <w:rPr>
                <w:rFonts w:ascii="Arial" w:eastAsia="Arial" w:hAnsi="Arial" w:cs="Arial"/>
                <w:sz w:val="17"/>
                <w:szCs w:val="17"/>
              </w:rPr>
              <w:t>Desalination deployment time- 5, 15 years</w:t>
            </w:r>
          </w:p>
        </w:tc>
      </w:tr>
      <w:tr w:rsidR="002A3F71" w:rsidRPr="00050F51" w14:paraId="4EEDFF47" w14:textId="77777777" w:rsidTr="00E3741C">
        <w:trPr>
          <w:trHeight w:val="20"/>
        </w:trPr>
        <w:tc>
          <w:tcPr>
            <w:tcW w:w="2245" w:type="dxa"/>
          </w:tcPr>
          <w:p w14:paraId="0D2CB504" w14:textId="54C534CA" w:rsidR="002A3F71" w:rsidRPr="00050F51" w:rsidRDefault="002A3F71" w:rsidP="002A3F71">
            <w:pPr>
              <w:spacing w:line="276" w:lineRule="auto"/>
              <w:rPr>
                <w:rFonts w:ascii="Arial" w:eastAsia="Arial" w:hAnsi="Arial" w:cs="Arial"/>
                <w:sz w:val="20"/>
                <w:szCs w:val="20"/>
              </w:rPr>
            </w:pPr>
            <w:r w:rsidRPr="00050F51">
              <w:rPr>
                <w:rFonts w:ascii="Arial" w:eastAsia="Arial" w:hAnsi="Arial" w:cs="Arial"/>
                <w:sz w:val="17"/>
                <w:szCs w:val="17"/>
              </w:rPr>
              <w:t xml:space="preserve">Infrastructure financing &amp; rate designs </w:t>
            </w:r>
          </w:p>
        </w:tc>
        <w:tc>
          <w:tcPr>
            <w:tcW w:w="3690" w:type="dxa"/>
          </w:tcPr>
          <w:p w14:paraId="07291A98" w14:textId="2C8703D3" w:rsidR="002A3F71" w:rsidRPr="00050F51" w:rsidRDefault="00000000" w:rsidP="002A3F71">
            <w:pPr>
              <w:spacing w:line="276" w:lineRule="auto"/>
              <w:rPr>
                <w:rFonts w:ascii="Arial" w:eastAsia="Arial" w:hAnsi="Arial" w:cs="Arial"/>
                <w:sz w:val="20"/>
                <w:szCs w:val="20"/>
              </w:rPr>
            </w:pPr>
            <w:sdt>
              <w:sdtPr>
                <w:rPr>
                  <w:rFonts w:ascii="Arial" w:hAnsi="Arial" w:cs="Arial"/>
                  <w:sz w:val="17"/>
                  <w:szCs w:val="17"/>
                </w:rPr>
                <w:tag w:val="goog_rdk_5"/>
                <w:id w:val="1426767148"/>
              </w:sdtPr>
              <w:sdtContent/>
            </w:sdt>
            <w:sdt>
              <w:sdtPr>
                <w:rPr>
                  <w:rFonts w:ascii="Arial" w:hAnsi="Arial" w:cs="Arial"/>
                  <w:sz w:val="17"/>
                  <w:szCs w:val="17"/>
                </w:rPr>
                <w:tag w:val="goog_rdk_6"/>
                <w:id w:val="-1652440546"/>
              </w:sdtPr>
              <w:sdtContent/>
            </w:sdt>
            <w:sdt>
              <w:sdtPr>
                <w:rPr>
                  <w:rFonts w:ascii="Arial" w:hAnsi="Arial" w:cs="Arial"/>
                  <w:sz w:val="17"/>
                  <w:szCs w:val="17"/>
                </w:rPr>
                <w:tag w:val="goog_rdk_7"/>
                <w:id w:val="1905323593"/>
              </w:sdtPr>
              <w:sdtContent/>
            </w:sdt>
            <w:sdt>
              <w:sdtPr>
                <w:rPr>
                  <w:rFonts w:ascii="Arial" w:hAnsi="Arial" w:cs="Arial"/>
                  <w:sz w:val="17"/>
                  <w:szCs w:val="17"/>
                </w:rPr>
                <w:tag w:val="goog_rdk_8"/>
                <w:id w:val="-710722499"/>
              </w:sdtPr>
              <w:sdtContent/>
            </w:sdt>
            <w:r w:rsidR="002A3F71" w:rsidRPr="00050F51">
              <w:rPr>
                <w:rFonts w:ascii="Arial" w:eastAsia="Arial" w:hAnsi="Arial" w:cs="Arial"/>
                <w:sz w:val="17"/>
                <w:szCs w:val="17"/>
              </w:rPr>
              <w:t>Infrastructure option capital costs (represents future political uncertainties like permitting challenges)</w:t>
            </w:r>
          </w:p>
        </w:tc>
      </w:tr>
      <w:tr w:rsidR="002A3F71" w:rsidRPr="00050F51" w14:paraId="62619D5C" w14:textId="77777777" w:rsidTr="00E3741C">
        <w:trPr>
          <w:trHeight w:val="20"/>
        </w:trPr>
        <w:tc>
          <w:tcPr>
            <w:tcW w:w="2245" w:type="dxa"/>
          </w:tcPr>
          <w:p w14:paraId="1B671A44" w14:textId="6FF178C0" w:rsidR="002A3F71" w:rsidRPr="00050F51" w:rsidRDefault="002A3F71" w:rsidP="002A3F71">
            <w:pPr>
              <w:spacing w:line="276" w:lineRule="auto"/>
              <w:rPr>
                <w:rFonts w:ascii="Arial" w:eastAsia="Arial" w:hAnsi="Arial" w:cs="Arial"/>
                <w:sz w:val="20"/>
                <w:szCs w:val="20"/>
              </w:rPr>
            </w:pPr>
            <w:r w:rsidRPr="00050F51">
              <w:rPr>
                <w:rFonts w:ascii="Arial" w:eastAsia="Arial" w:hAnsi="Arial" w:cs="Arial"/>
                <w:sz w:val="17"/>
                <w:szCs w:val="17"/>
              </w:rPr>
              <w:t>Household water use</w:t>
            </w:r>
          </w:p>
        </w:tc>
        <w:tc>
          <w:tcPr>
            <w:tcW w:w="3690" w:type="dxa"/>
          </w:tcPr>
          <w:p w14:paraId="5D676384" w14:textId="7406234F" w:rsidR="002A3F71" w:rsidRPr="00050F51" w:rsidRDefault="002A3F71" w:rsidP="002A3F71">
            <w:pPr>
              <w:spacing w:line="276" w:lineRule="auto"/>
              <w:rPr>
                <w:rFonts w:ascii="Arial" w:eastAsia="Arial" w:hAnsi="Arial" w:cs="Arial"/>
                <w:sz w:val="20"/>
                <w:szCs w:val="20"/>
              </w:rPr>
            </w:pPr>
            <w:r w:rsidRPr="00050F51">
              <w:rPr>
                <w:rFonts w:ascii="Arial" w:eastAsia="Arial" w:hAnsi="Arial" w:cs="Arial"/>
                <w:sz w:val="17"/>
                <w:szCs w:val="17"/>
              </w:rPr>
              <w:t>Household water demands- multiplicative factors of 0.9 and 1.1</w:t>
            </w:r>
          </w:p>
        </w:tc>
      </w:tr>
    </w:tbl>
    <w:p w14:paraId="0F6FBE0B" w14:textId="77777777" w:rsidR="001C3F79" w:rsidRPr="00050F51" w:rsidRDefault="001C3F79" w:rsidP="001C3F79">
      <w:pPr>
        <w:spacing w:line="276" w:lineRule="auto"/>
        <w:rPr>
          <w:rFonts w:ascii="Arial" w:eastAsia="Arial" w:hAnsi="Arial" w:cs="Arial"/>
          <w:sz w:val="20"/>
          <w:szCs w:val="20"/>
        </w:rPr>
      </w:pPr>
    </w:p>
    <w:p w14:paraId="4CDA52E2" w14:textId="77777777" w:rsidR="001C3F79" w:rsidRPr="00050F51" w:rsidRDefault="001C3F79" w:rsidP="001C3F79">
      <w:pPr>
        <w:spacing w:line="276" w:lineRule="auto"/>
        <w:rPr>
          <w:rFonts w:ascii="Arial" w:eastAsia="Arial" w:hAnsi="Arial" w:cs="Arial"/>
          <w:sz w:val="20"/>
          <w:szCs w:val="20"/>
        </w:rPr>
      </w:pPr>
      <w:r w:rsidRPr="00050F51">
        <w:rPr>
          <w:rFonts w:ascii="Arial" w:eastAsia="Arial" w:hAnsi="Arial" w:cs="Arial"/>
          <w:noProof/>
          <w:sz w:val="20"/>
          <w:szCs w:val="20"/>
        </w:rPr>
        <w:lastRenderedPageBreak/>
        <w:drawing>
          <wp:inline distT="114300" distB="114300" distL="114300" distR="114300" wp14:anchorId="292A937F" wp14:editId="0D3A1818">
            <wp:extent cx="5394960" cy="7243233"/>
            <wp:effectExtent l="0" t="0" r="2540" b="0"/>
            <wp:docPr id="2121626666"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5394960" cy="7243233"/>
                    </a:xfrm>
                    <a:prstGeom prst="rect">
                      <a:avLst/>
                    </a:prstGeom>
                    <a:ln/>
                  </pic:spPr>
                </pic:pic>
              </a:graphicData>
            </a:graphic>
          </wp:inline>
        </w:drawing>
      </w:r>
    </w:p>
    <w:p w14:paraId="1FD75A40" w14:textId="08BAFF2E" w:rsidR="001C3F79" w:rsidRPr="00050F51" w:rsidRDefault="001C3F79" w:rsidP="004E5254">
      <w:pPr>
        <w:spacing w:after="120"/>
        <w:rPr>
          <w:rFonts w:ascii="Arial" w:eastAsia="Arial" w:hAnsi="Arial" w:cs="Arial"/>
          <w:sz w:val="20"/>
          <w:szCs w:val="20"/>
        </w:rPr>
      </w:pPr>
      <w:r w:rsidRPr="00050F51">
        <w:rPr>
          <w:rFonts w:ascii="Arial" w:eastAsia="Arial" w:hAnsi="Arial" w:cs="Arial"/>
          <w:b/>
          <w:bCs/>
          <w:sz w:val="20"/>
          <w:szCs w:val="20"/>
        </w:rPr>
        <w:t>Fig. S3.</w:t>
      </w:r>
      <w:r w:rsidRPr="00050F51">
        <w:rPr>
          <w:rFonts w:ascii="Arial" w:eastAsia="Arial" w:hAnsi="Arial" w:cs="Arial"/>
          <w:sz w:val="20"/>
          <w:szCs w:val="20"/>
        </w:rPr>
        <w:t xml:space="preserve"> Scatter plots comparing average added water supply costs and unmet demands for each optimal strategy (each point) for all tested uncertainties compared to a) the baseline, including b-c) desalination deployment time, d-e) infrastructure costs, and f-g) single-family residential demands. Shading indicates optimal risk-of-failure (ROF) threshold and shape indicates the first infrastructure option deployed. All strategies are optimized over twenty climate simulations representing the range in our analysis.</w:t>
      </w:r>
    </w:p>
    <w:p w14:paraId="23ADFEFA" w14:textId="77777777" w:rsidR="001C3F79" w:rsidRPr="00050F51" w:rsidRDefault="001C3F79" w:rsidP="001C3F79">
      <w:pPr>
        <w:spacing w:line="276" w:lineRule="auto"/>
        <w:rPr>
          <w:rFonts w:ascii="Arial" w:eastAsia="Arial" w:hAnsi="Arial" w:cs="Arial"/>
          <w:sz w:val="20"/>
          <w:szCs w:val="20"/>
        </w:rPr>
      </w:pPr>
      <w:r w:rsidRPr="00050F51">
        <w:rPr>
          <w:rFonts w:ascii="Arial" w:eastAsia="Arial" w:hAnsi="Arial" w:cs="Arial"/>
          <w:noProof/>
          <w:sz w:val="20"/>
          <w:szCs w:val="20"/>
        </w:rPr>
        <w:lastRenderedPageBreak/>
        <w:drawing>
          <wp:inline distT="114300" distB="114300" distL="114300" distR="114300" wp14:anchorId="1EAB95CC" wp14:editId="379E75A6">
            <wp:extent cx="5486400" cy="3073400"/>
            <wp:effectExtent l="0" t="0" r="0" b="0"/>
            <wp:docPr id="212162666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5486400" cy="3073400"/>
                    </a:xfrm>
                    <a:prstGeom prst="rect">
                      <a:avLst/>
                    </a:prstGeom>
                    <a:ln/>
                  </pic:spPr>
                </pic:pic>
              </a:graphicData>
            </a:graphic>
          </wp:inline>
        </w:drawing>
      </w:r>
    </w:p>
    <w:p w14:paraId="651B795C" w14:textId="05FDB5AD" w:rsidR="001C3F79" w:rsidRPr="00050F51" w:rsidRDefault="001C3F79" w:rsidP="004E5254">
      <w:pPr>
        <w:spacing w:after="120"/>
        <w:rPr>
          <w:rFonts w:ascii="Arial" w:eastAsia="Arial" w:hAnsi="Arial" w:cs="Arial"/>
          <w:sz w:val="20"/>
          <w:szCs w:val="20"/>
        </w:rPr>
      </w:pPr>
      <w:r w:rsidRPr="00050F51">
        <w:rPr>
          <w:rFonts w:ascii="Arial" w:eastAsia="Arial" w:hAnsi="Arial" w:cs="Arial"/>
          <w:b/>
          <w:bCs/>
          <w:sz w:val="20"/>
          <w:szCs w:val="20"/>
        </w:rPr>
        <w:t>Fig. S4.</w:t>
      </w:r>
      <w:r w:rsidRPr="00050F51">
        <w:rPr>
          <w:rFonts w:ascii="Arial" w:eastAsia="Arial" w:hAnsi="Arial" w:cs="Arial"/>
          <w:sz w:val="20"/>
          <w:szCs w:val="20"/>
        </w:rPr>
        <w:t xml:space="preserve"> Hypervolume vs. number of function evaluations (NFEs). Hypervolume shown for each sensitivity test converge by around 6,000 function evaluations</w:t>
      </w:r>
    </w:p>
    <w:p w14:paraId="6A0BB5A1" w14:textId="0855F4B0" w:rsidR="001C3F79" w:rsidRPr="00050F51" w:rsidRDefault="001C3F79" w:rsidP="00355BB8">
      <w:pPr>
        <w:spacing w:after="120"/>
        <w:rPr>
          <w:rFonts w:ascii="Arial" w:eastAsia="Arial" w:hAnsi="Arial" w:cs="Arial"/>
          <w:sz w:val="20"/>
          <w:szCs w:val="20"/>
        </w:rPr>
      </w:pPr>
      <w:r w:rsidRPr="00050F51">
        <w:rPr>
          <w:rFonts w:ascii="Arial" w:eastAsia="Arial" w:hAnsi="Arial" w:cs="Arial"/>
          <w:sz w:val="20"/>
          <w:szCs w:val="20"/>
        </w:rPr>
        <w:t>We conduct a more comprehensive sensitivity analysis for the simulation analysis  because these results are more sensitive to input assumptions and more computationally efficient to produce. We utilize a fractional factorial sampling approach, where each parameter is tested at a minimum of two discrete levels of values and then all parameter combinations are</w:t>
      </w:r>
      <w:sdt>
        <w:sdtPr>
          <w:rPr>
            <w:rFonts w:ascii="Arial" w:hAnsi="Arial" w:cs="Arial"/>
            <w:sz w:val="20"/>
            <w:szCs w:val="20"/>
          </w:rPr>
          <w:tag w:val="goog_rdk_10"/>
          <w:id w:val="993700634"/>
        </w:sdtPr>
        <w:sdtContent/>
      </w:sdt>
      <w:r w:rsidRPr="00050F51">
        <w:rPr>
          <w:rFonts w:ascii="Arial" w:eastAsia="Arial" w:hAnsi="Arial" w:cs="Arial"/>
          <w:sz w:val="20"/>
          <w:szCs w:val="20"/>
        </w:rPr>
        <w:t xml:space="preserve"> evaluated.</w:t>
      </w:r>
      <w:r w:rsidR="00FF4C28" w:rsidRPr="00050F51">
        <w:rPr>
          <w:rFonts w:ascii="Arial" w:eastAsia="Arial" w:hAnsi="Arial" w:cs="Arial"/>
          <w:sz w:val="20"/>
          <w:szCs w:val="20"/>
        </w:rPr>
        <w:fldChar w:fldCharType="begin"/>
      </w:r>
      <w:r w:rsidR="00FF4C28" w:rsidRPr="00050F51">
        <w:rPr>
          <w:rFonts w:ascii="Arial" w:eastAsia="Arial" w:hAnsi="Arial" w:cs="Arial"/>
          <w:sz w:val="20"/>
          <w:szCs w:val="20"/>
        </w:rPr>
        <w:instrText xml:space="preserve"> ADDIN ZOTERO_ITEM CSL_CITATION {"citationID":"lcatObo9","properties":{"formattedCitation":"\\super 9,10\\nosupersub{}","plainCitation":"9,10","noteIndex":0},"citationItems":[{"id":12047,"uris":["http://zotero.org/users/3174049/items/2S7ZEXCT"],"itemData":{"id":12047,"type":"book","abstract":"Complex mathematical and computational models are used in all areas of society and technology and yet model based science is increasingly contested or refuted, especially when models are applied to controversial themes in domains such as health, the environment or the economy. More stringent standards of proofs are demanded from model-based numbers, especially when these numbers represent potential financial losses, threats to human health or the state of the environment. Quantitative sensitivity analysis is generally agreed to be one such standard. Mathematical models are good at mapping assumptions into inferences. A modeller makes assumptions about laws pertaining to the system, about its status and a plethora of other, often arcane, system variables and internal model settings. To what extent can we rely on the model-based inference when most of these assumptions are fraught with uncertainties? Global Sensitivity Analysis offers an accessible treatment of such problems via quantitative sensitivity analysis, beginning with the first principles and guiding the reader through the full range of recommended practices with a rich set of solved exercises. The text explains the motivation for sensitivity analysis, reviews the required statistical concepts, and provides a guide to potential applications. The book:  Provides a self-contained treatment of the subject, allowing readers to learn and practice global sensitivity analysis without further materials.   Presents ways to frame the analysis, interpret its results, and avoid potential pitfalls.   Features numerous exercises and solved problems to help illustrate the applications.   Is authored by leading sensitivity analysis practitioners, combining a range of disciplinary backgrounds.  Postgraduate students and practitioners in a wide range of subjects, including statistics, mathematics, engineering, physics, chemistry, environmental sciences, biology, toxicology, actuarial sciences, and econometrics will find much of use here. This book will prove equally valuable to engineers working on risk analysis and to financial analysts concerned with pricing and hedging.","ISBN":"978-0-470-72517-7","language":"en","note":"Google-Books-ID: wAssmt2vumgC","number-of-pages":"307","publisher":"John Wiley &amp; Sons","source":"Google Books","title":"Global Sensitivity Analysis: The Primer","title-short":"Global Sensitivity Analysis","author":[{"family":"Saltelli","given":"Andrea"},{"family":"Ratto","given":"Marco"},{"family":"Andres","given":"Terry"},{"family":"Campolongo","given":"Francesca"},{"family":"Cariboni","given":"Jessica"},{"family":"Gatelli","given":"Debora"},{"family":"Saisana","given":"Michaela"},{"family":"Tarantola","given":"Stefano"}],"issued":{"date-parts":[["2008",2,28]]}}},{"id":8100,"uris":["http://zotero.org/users/3174049/items/4I2SK3EY"],"itemData":{"id":8100,"type":"book","title":"Addressing Uncertainty in MultiSector Dynamics Research — Addressing Uncertainty in MultiSector Dynamics Research documentation","URL":"https://uc-ebook.org/docs/html/index.html","author":[{"family":"Reed","given":"Patrick M."},{"family":"Hadjimichael","given":"Antonia"},{"family":"Malek","given":"Keyvan"},{"family":"Karimi","given":"Tina"},{"family":"Vernon","given":"Chris R."},{"family":"Srikrishnan","given":"Vivek"},{"family":"Gupta","given":"Rohini"},{"family":"Gold","given":"David F."},{"family":"Lee","given":"Ben"},{"family":"Keller","given":"Klaus"},{"family":"Thurber","given":"Travis B."},{"family":"Rice","given":"Jennie S."}],"accessed":{"date-parts":[["2023",3,14]]},"issued":{"date-parts":[["2022"]]}}}],"schema":"https://github.com/citation-style-language/schema/raw/master/csl-citation.json"} </w:instrText>
      </w:r>
      <w:r w:rsidR="00FF4C28" w:rsidRPr="00050F51">
        <w:rPr>
          <w:rFonts w:ascii="Arial" w:eastAsia="Arial" w:hAnsi="Arial" w:cs="Arial"/>
          <w:sz w:val="20"/>
          <w:szCs w:val="20"/>
        </w:rPr>
        <w:fldChar w:fldCharType="separate"/>
      </w:r>
      <w:r w:rsidR="00FF4C28" w:rsidRPr="00050F51">
        <w:rPr>
          <w:rFonts w:ascii="Arial" w:hAnsi="Arial" w:cs="Arial"/>
          <w:sz w:val="20"/>
          <w:vertAlign w:val="superscript"/>
          <w:lang w:val="en-US"/>
        </w:rPr>
        <w:t>9,10</w:t>
      </w:r>
      <w:r w:rsidR="00FF4C28" w:rsidRPr="00050F51">
        <w:rPr>
          <w:rFonts w:ascii="Arial" w:eastAsia="Arial" w:hAnsi="Arial" w:cs="Arial"/>
          <w:sz w:val="20"/>
          <w:szCs w:val="20"/>
        </w:rPr>
        <w:fldChar w:fldCharType="end"/>
      </w:r>
      <w:r w:rsidRPr="00050F51">
        <w:rPr>
          <w:rFonts w:ascii="Arial" w:eastAsia="Arial" w:hAnsi="Arial" w:cs="Arial"/>
          <w:sz w:val="20"/>
          <w:szCs w:val="20"/>
        </w:rPr>
        <w:t xml:space="preserve"> This approach is commonly used for extreme values to assess the best- and worst-case scenarios. </w:t>
      </w:r>
    </w:p>
    <w:p w14:paraId="5E43E150" w14:textId="644DC323" w:rsidR="001C3F79" w:rsidRPr="00050F51" w:rsidRDefault="001C3F79" w:rsidP="00355BB8">
      <w:pPr>
        <w:spacing w:after="120"/>
        <w:rPr>
          <w:rFonts w:ascii="Arial" w:eastAsia="Arial" w:hAnsi="Arial" w:cs="Arial"/>
          <w:sz w:val="20"/>
          <w:szCs w:val="20"/>
        </w:rPr>
      </w:pPr>
      <w:r w:rsidRPr="00050F51">
        <w:rPr>
          <w:rFonts w:ascii="Arial" w:eastAsia="Arial" w:hAnsi="Arial" w:cs="Arial"/>
          <w:sz w:val="20"/>
          <w:szCs w:val="20"/>
        </w:rPr>
        <w:t>We perform three separate sensitivity analyses: first, on climate scenarios, running all perturbations of temperature and precipitation impacts; second, on infrastructure financing and rate design system characteristics; and third, on demand and demographic assumptions. The climate scenarios sensitivity analysis utilizes 900 stochastic simulations with all combinations of mean temperature (six different values from 0-5</w:t>
      </w:r>
      <w:r w:rsidRPr="00050F51">
        <w:rPr>
          <w:rFonts w:ascii="Cambria Math" w:eastAsia="Arial" w:hAnsi="Cambria Math" w:cs="Cambria Math"/>
          <w:sz w:val="20"/>
          <w:szCs w:val="20"/>
        </w:rPr>
        <w:t>℃</w:t>
      </w:r>
      <w:r w:rsidRPr="00050F51">
        <w:rPr>
          <w:rFonts w:ascii="Arial" w:eastAsia="Arial" w:hAnsi="Arial" w:cs="Arial"/>
          <w:sz w:val="20"/>
          <w:szCs w:val="20"/>
        </w:rPr>
        <w:t>), mean precipitation (five different values from -20% to 20%), both shown in Figure S1, and precipitation variability (three different values from 1.0-1.2) across 10 stochastic simulations. The results are shown in Figures 2 and 3 in the main text. For the infrastructure financing/rate design and demand/demographic analyses, we utilize 20 stochastic climate simulations, from both wet and dry climate scenarios.</w:t>
      </w:r>
    </w:p>
    <w:p w14:paraId="6D27B59E" w14:textId="77777777" w:rsidR="001C3F79" w:rsidRPr="00050F51" w:rsidRDefault="001C3F79" w:rsidP="00355BB8">
      <w:pPr>
        <w:spacing w:after="120"/>
        <w:rPr>
          <w:rFonts w:ascii="Arial" w:eastAsia="Arial" w:hAnsi="Arial" w:cs="Arial"/>
          <w:sz w:val="20"/>
          <w:szCs w:val="20"/>
        </w:rPr>
      </w:pPr>
      <w:r w:rsidRPr="00050F51">
        <w:rPr>
          <w:rFonts w:ascii="Arial" w:eastAsia="Arial" w:hAnsi="Arial" w:cs="Arial"/>
          <w:sz w:val="20"/>
          <w:szCs w:val="20"/>
        </w:rPr>
        <w:t xml:space="preserve">Table S3 lists the parameter scenarios and values utilized in the infrastructure financing and rate design and demand and demographic analyses. The low and high values in the table are used in the sensitivity analysis, while the baseline values are utilized in the main results. The one exception to this is rate structure: the sensitivity analysis compares the three-tiered structure currently used in Santa Cruz and in the model with a one-tier volumetric rate. We design the single tier to produce the same total revenue under historical conditions, by simulating ten stochastic historical climate simulations and computing an equivalent single-tier rate for each scenario. The calculated rates are nearly identical across simulations; they are $8.04/CCF and $2.91/CCF for the quantity and IRF charges, respectively. </w:t>
      </w:r>
    </w:p>
    <w:p w14:paraId="276F5C65" w14:textId="4D1BE52F" w:rsidR="001C3F79" w:rsidRPr="00050F51" w:rsidRDefault="001C3F79" w:rsidP="00355BB8">
      <w:pPr>
        <w:spacing w:after="120"/>
        <w:rPr>
          <w:rFonts w:ascii="Arial" w:eastAsia="Arial" w:hAnsi="Arial" w:cs="Arial"/>
          <w:sz w:val="20"/>
          <w:szCs w:val="20"/>
        </w:rPr>
      </w:pPr>
      <w:r w:rsidRPr="00050F51">
        <w:rPr>
          <w:rFonts w:ascii="Arial" w:eastAsia="Arial" w:hAnsi="Arial" w:cs="Arial"/>
          <w:sz w:val="20"/>
          <w:szCs w:val="20"/>
        </w:rPr>
        <w:t>High and low values for the interest rate (50%), desalination deployment time (50%), single-family demands scaling factor (15%), number of single-family households (15%), and single-family income shift (20%) are determined by scaling up or down baseline values by a realistic percentage indicated in parenthesis. The infrastructure cost and multi-family demand scenarios are based on the range of values from SCWD and 2020 Urban Water Management Plan.</w:t>
      </w:r>
      <w:r w:rsidR="00FF4C28" w:rsidRPr="00050F51">
        <w:rPr>
          <w:rFonts w:ascii="Arial" w:eastAsia="Arial" w:hAnsi="Arial" w:cs="Arial"/>
          <w:sz w:val="20"/>
          <w:szCs w:val="20"/>
        </w:rPr>
        <w:fldChar w:fldCharType="begin"/>
      </w:r>
      <w:r w:rsidR="00FF4C28" w:rsidRPr="00050F51">
        <w:rPr>
          <w:rFonts w:ascii="Arial" w:eastAsia="Arial" w:hAnsi="Arial" w:cs="Arial"/>
          <w:sz w:val="20"/>
          <w:szCs w:val="20"/>
        </w:rPr>
        <w:instrText xml:space="preserve"> ADDIN ZOTERO_ITEM CSL_CITATION {"citationID":"AHcyiCja","properties":{"formattedCitation":"\\super 11\\nosupersub{}","plainCitation":"11","noteIndex":0},"citationItems":[{"id":7906,"uris":["http://zotero.org/users/3174049/items/B94P2NNH"],"itemData":{"id":7906,"type":"report","publisher":"City of Santa Cruz Water Department","publisher-place":"Santa Cruz, CA","title":"2020 Urban Water Management Plan","URL":"https://www.cityofsantacruz.com/home/showpublisheddocument/87122/637739611535800000","author":[{"family":"Perez","given":"Sarah Easley"}],"issued":{"date-parts":[["2021",11]]}}}],"schema":"https://github.com/citation-style-language/schema/raw/master/csl-citation.json"} </w:instrText>
      </w:r>
      <w:r w:rsidR="00FF4C28" w:rsidRPr="00050F51">
        <w:rPr>
          <w:rFonts w:ascii="Arial" w:eastAsia="Arial" w:hAnsi="Arial" w:cs="Arial"/>
          <w:sz w:val="20"/>
          <w:szCs w:val="20"/>
        </w:rPr>
        <w:fldChar w:fldCharType="separate"/>
      </w:r>
      <w:r w:rsidR="00FF4C28" w:rsidRPr="00050F51">
        <w:rPr>
          <w:rFonts w:ascii="Arial" w:hAnsi="Arial" w:cs="Arial"/>
          <w:sz w:val="20"/>
          <w:vertAlign w:val="superscript"/>
          <w:lang w:val="en-US"/>
        </w:rPr>
        <w:t>11</w:t>
      </w:r>
      <w:r w:rsidR="00FF4C28" w:rsidRPr="00050F51">
        <w:rPr>
          <w:rFonts w:ascii="Arial" w:eastAsia="Arial" w:hAnsi="Arial" w:cs="Arial"/>
          <w:sz w:val="20"/>
          <w:szCs w:val="20"/>
        </w:rPr>
        <w:fldChar w:fldCharType="end"/>
      </w:r>
      <w:r w:rsidRPr="00050F51">
        <w:rPr>
          <w:rFonts w:ascii="Arial" w:eastAsia="Arial" w:hAnsi="Arial" w:cs="Arial"/>
          <w:sz w:val="20"/>
          <w:szCs w:val="20"/>
        </w:rPr>
        <w:t xml:space="preserve"> The infrastructure cost ranges are listed in Table S6. The price elasticity values are based on the range of values in the literature, with -0.5 chosen as the extreme end of average values found in </w:t>
      </w:r>
      <w:sdt>
        <w:sdtPr>
          <w:rPr>
            <w:rFonts w:ascii="Arial" w:hAnsi="Arial" w:cs="Arial"/>
            <w:sz w:val="20"/>
            <w:szCs w:val="20"/>
          </w:rPr>
          <w:tag w:val="goog_rdk_11"/>
          <w:id w:val="1419140000"/>
        </w:sdtPr>
        <w:sdtContent/>
      </w:sdt>
      <w:r w:rsidRPr="00050F51">
        <w:rPr>
          <w:rFonts w:ascii="Arial" w:eastAsia="Arial" w:hAnsi="Arial" w:cs="Arial"/>
          <w:sz w:val="20"/>
          <w:szCs w:val="20"/>
        </w:rPr>
        <w:t>meta analyses and 0.0 chosen to assess the impact of no price response.</w:t>
      </w:r>
      <w:r w:rsidR="00FF4C28" w:rsidRPr="00050F51">
        <w:rPr>
          <w:rFonts w:ascii="Arial" w:eastAsia="Arial" w:hAnsi="Arial" w:cs="Arial"/>
          <w:sz w:val="20"/>
          <w:szCs w:val="20"/>
        </w:rPr>
        <w:fldChar w:fldCharType="begin"/>
      </w:r>
      <w:r w:rsidR="00FF4C28" w:rsidRPr="00050F51">
        <w:rPr>
          <w:rFonts w:ascii="Arial" w:eastAsia="Arial" w:hAnsi="Arial" w:cs="Arial"/>
          <w:sz w:val="20"/>
          <w:szCs w:val="20"/>
        </w:rPr>
        <w:instrText xml:space="preserve"> ADDIN ZOTERO_ITEM CSL_CITATION {"citationID":"jqWlDKeG","properties":{"formattedCitation":"\\super 12\\uc0\\u8211{}14\\nosupersub{}","plainCitation":"12–14","noteIndex":0},"citationItems":[{"id":11992,"uris":["http://zotero.org/users/3174049/items/GLDTUPE6"],"itemData":{"id":11992,"type":"article-journal","abstract":"Although widely studied, the residential water demand remains a controversial issue. The purpose of the current study is to investigate systematic variations across related studies using meta-analysis approach. Particularly, a meta-analytical regression is performed to assess the sensitivity of the price, income and household size elasticities to a number of characteristics including demand specification, data characteristics, price specification, tariff structure, functional form, estimation technique and location of demand. The empirical results of the study reveal that these characteristics have differing influence on the reported elasticities. Obviously, these findings lie in their importance for regulators and policy makers and for academics alike. Among others, two important conclusions emerge. First, water use in summer and winter seasons and water use for indoor and outdoor purposes are found to be important factors affecting the price elasticity. This suggests that peak-load water pricing may be an effective tool for managing water demand. Second, the three elasticities tend to be differently estimated across various regions of the world as well as between developed and developing countries. Therefore, decision makers in a given country would not rely on the findings of studies conducted on other countries in formulating their policies.","container-title":"Environment, Development and Sustainability","DOI":"10.1007/s10668-013-9490-9","ISSN":"1573-2975","issue":"3","journalAbbreviation":"Environ Dev Sustain","language":"en","page":"499-520","source":"Springer Link","title":"A meta-analysis of residential water demand studies","volume":"16","author":[{"family":"Sebri","given":"Maamar"}],"issued":{"date-parts":[["2014",6,1]]}}},{"id":4864,"uris":["http://zotero.org/users/3174049/items/H8RXUSJM"],"itemData":{"id":4864,"type":"article-journal","abstract":"This article presents a meta-analysis of variations in price and income elasticities of residential water demand. Meta-analysis constitutes an adequate tool to synthesize research results by means of an analysis of the variation in empirical estimates reported in the literature. We link the variation in estimated elasticities to differences in theoretical microeconomic choice approaches, differences in spatial and temporal dynamics, as well as differences in research design of the underlying studies. The occurrence of increasing or decreasing block rate systems turns out to be important. With respect to price elasticities, the use of the discrete-continuous choice approach is relevant in explaining observed differences.","container-title":"Land Economics","DOI":"10.2307/3146872","ISSN":"0023-7639","issue":"2","page":"292-308","publisher":"[Board of Regents of the University of Wisconsin System, University of Wisconsin Press]","source":"JSTOR","title":"Price and Income Elasticities of Residential Water Demand: A Meta-Analysis","title-short":"Price and Income Elasticities of Residential Water Demand","volume":"79","author":[{"family":"Dalhuisen","given":"Jasper M."},{"family":"Florax","given":"Raymond J. G. M."},{"family":"Groot","given":"Henri L. F.","dropping-particle":"de"},{"family":"Nijkamp","given":"Peter"}],"issued":{"date-parts":[["2003"]]}}},{"id":11958,"uris":["http://zotero.org/users/3174049/items/GESEX7SS"],"itemData":{"id":11958,"type":"article-journal","abstract":"In this review, I explore the economic dimensions of equity and affordability in urban residential water pricing. I summarize the growing literature on water affordability and discuss its relationship to more common studies of distributional issues in water demand. I also explore how utilities use various rate structures, such as increasing block rates, to address affordability concerns, emphasizing empirical evidence on the ineffectiveness of these rate structures in achieving equity goals. Moreover, I discuss the design of customer assistance programs in alleviating burdens on low-income households and summarize the scant evidence of the effectiveness of these programs. Ultimately, I highlight the need for more empirical evaluations of equity-focused programs and a greater focus on the distributional consequences of water management strategies to ensure equitable access to this essential resource.","container-title":"Water Economics and Policy","DOI":"10.1142/S2382624X25300026","ISSN":"2382-624X","issue":"02","journalAbbreviation":"Water Econs. Policy","page":"2530002","publisher":"World Scientific Publishing Co.","source":"worldscientific.com (Atypon)","title":"The Economics of Equity and Affordability in Residential Water Pricing","volume":"11","author":[{"family":"Wichman","given":"Casey J."}],"issued":{"date-parts":[["2025",6]]}}}],"schema":"https://github.com/citation-style-language/schema/raw/master/csl-citation.json"} </w:instrText>
      </w:r>
      <w:r w:rsidR="00FF4C28" w:rsidRPr="00050F51">
        <w:rPr>
          <w:rFonts w:ascii="Arial" w:eastAsia="Arial" w:hAnsi="Arial" w:cs="Arial"/>
          <w:sz w:val="20"/>
          <w:szCs w:val="20"/>
        </w:rPr>
        <w:fldChar w:fldCharType="separate"/>
      </w:r>
      <w:r w:rsidR="00FF4C28" w:rsidRPr="00050F51">
        <w:rPr>
          <w:rFonts w:ascii="Arial" w:hAnsi="Arial" w:cs="Arial"/>
          <w:sz w:val="20"/>
          <w:vertAlign w:val="superscript"/>
          <w:lang w:val="en-US"/>
        </w:rPr>
        <w:t>12–14</w:t>
      </w:r>
      <w:r w:rsidR="00FF4C28" w:rsidRPr="00050F51">
        <w:rPr>
          <w:rFonts w:ascii="Arial" w:eastAsia="Arial" w:hAnsi="Arial" w:cs="Arial"/>
          <w:sz w:val="20"/>
          <w:szCs w:val="20"/>
        </w:rPr>
        <w:fldChar w:fldCharType="end"/>
      </w:r>
      <w:r w:rsidRPr="00050F51">
        <w:rPr>
          <w:rFonts w:ascii="Arial" w:eastAsia="Arial" w:hAnsi="Arial" w:cs="Arial"/>
          <w:sz w:val="20"/>
          <w:szCs w:val="20"/>
        </w:rPr>
        <w:t xml:space="preserve"> Twenty climate </w:t>
      </w:r>
      <w:r w:rsidRPr="00050F51">
        <w:rPr>
          <w:rFonts w:ascii="Arial" w:eastAsia="Arial" w:hAnsi="Arial" w:cs="Arial"/>
          <w:sz w:val="20"/>
          <w:szCs w:val="20"/>
        </w:rPr>
        <w:lastRenderedPageBreak/>
        <w:t>simulations are used for both sensitivity analyses encompassing ten stochastic simulations at the wet and dry extremes of our climate parameter ranges.</w:t>
      </w:r>
    </w:p>
    <w:p w14:paraId="76385B0A" w14:textId="1BCE1A9D" w:rsidR="001C3F79" w:rsidRPr="00050F51" w:rsidRDefault="001C3F79" w:rsidP="004E5254">
      <w:pPr>
        <w:spacing w:before="120"/>
        <w:rPr>
          <w:rFonts w:ascii="Arial" w:eastAsia="Arial" w:hAnsi="Arial" w:cs="Arial"/>
          <w:sz w:val="20"/>
          <w:szCs w:val="20"/>
        </w:rPr>
      </w:pPr>
      <w:r w:rsidRPr="00050F51">
        <w:rPr>
          <w:rFonts w:ascii="Arial" w:eastAsia="Arial" w:hAnsi="Arial" w:cs="Arial"/>
          <w:b/>
          <w:bCs/>
          <w:sz w:val="20"/>
          <w:szCs w:val="20"/>
        </w:rPr>
        <w:t xml:space="preserve">Table S3. </w:t>
      </w:r>
      <w:r w:rsidRPr="00050F51">
        <w:rPr>
          <w:rFonts w:ascii="Arial" w:eastAsia="Arial" w:hAnsi="Arial" w:cs="Arial"/>
          <w:sz w:val="20"/>
          <w:szCs w:val="20"/>
        </w:rPr>
        <w:t>Parameter values used in infrastructure financing/rate design and demand/</w:t>
      </w:r>
      <w:r w:rsidR="004E5254" w:rsidRPr="00050F51">
        <w:rPr>
          <w:rFonts w:ascii="Arial" w:eastAsia="Arial" w:hAnsi="Arial" w:cs="Arial"/>
          <w:sz w:val="20"/>
          <w:szCs w:val="20"/>
        </w:rPr>
        <w:t xml:space="preserve"> </w:t>
      </w:r>
      <w:r w:rsidRPr="00050F51">
        <w:rPr>
          <w:rFonts w:ascii="Arial" w:eastAsia="Arial" w:hAnsi="Arial" w:cs="Arial"/>
          <w:sz w:val="20"/>
          <w:szCs w:val="20"/>
        </w:rPr>
        <w:t>demographics sensitivity analyses</w:t>
      </w:r>
    </w:p>
    <w:tbl>
      <w:tblPr>
        <w:tblStyle w:val="TableGrid"/>
        <w:tblW w:w="8095" w:type="dxa"/>
        <w:tblLook w:val="04A0" w:firstRow="1" w:lastRow="0" w:firstColumn="1" w:lastColumn="0" w:noHBand="0" w:noVBand="1"/>
      </w:tblPr>
      <w:tblGrid>
        <w:gridCol w:w="1319"/>
        <w:gridCol w:w="1369"/>
        <w:gridCol w:w="1296"/>
        <w:gridCol w:w="1296"/>
        <w:gridCol w:w="1296"/>
        <w:gridCol w:w="1519"/>
      </w:tblGrid>
      <w:tr w:rsidR="002A3F71" w:rsidRPr="00050F51" w14:paraId="3C331095" w14:textId="77777777" w:rsidTr="002A3F71">
        <w:trPr>
          <w:trHeight w:val="230"/>
        </w:trPr>
        <w:tc>
          <w:tcPr>
            <w:tcW w:w="1319" w:type="dxa"/>
            <w:vMerge w:val="restart"/>
          </w:tcPr>
          <w:p w14:paraId="4F88B2C0" w14:textId="7F0A08C2" w:rsidR="002A3F71" w:rsidRPr="00050F51" w:rsidRDefault="002A3F71" w:rsidP="002A3F71">
            <w:pPr>
              <w:jc w:val="center"/>
              <w:rPr>
                <w:rFonts w:ascii="Arial" w:eastAsia="Arial" w:hAnsi="Arial" w:cs="Arial"/>
                <w:sz w:val="17"/>
                <w:szCs w:val="17"/>
              </w:rPr>
            </w:pPr>
            <w:r w:rsidRPr="00050F51">
              <w:rPr>
                <w:rFonts w:ascii="Arial" w:eastAsia="Arial" w:hAnsi="Arial" w:cs="Arial"/>
                <w:b/>
                <w:bCs/>
                <w:sz w:val="17"/>
                <w:szCs w:val="17"/>
              </w:rPr>
              <w:t>Parameter</w:t>
            </w:r>
          </w:p>
        </w:tc>
        <w:tc>
          <w:tcPr>
            <w:tcW w:w="1369" w:type="dxa"/>
            <w:vMerge w:val="restart"/>
          </w:tcPr>
          <w:p w14:paraId="4A3E5760" w14:textId="3EFEE7F2" w:rsidR="002A3F71" w:rsidRPr="00050F51" w:rsidRDefault="002A3F71" w:rsidP="002A3F71">
            <w:pPr>
              <w:jc w:val="center"/>
              <w:rPr>
                <w:rFonts w:ascii="Arial" w:eastAsia="Arial" w:hAnsi="Arial" w:cs="Arial"/>
                <w:sz w:val="17"/>
                <w:szCs w:val="17"/>
              </w:rPr>
            </w:pPr>
            <w:r w:rsidRPr="00050F51">
              <w:rPr>
                <w:rFonts w:ascii="Arial" w:eastAsia="Arial" w:hAnsi="Arial" w:cs="Arial"/>
                <w:b/>
                <w:bCs/>
                <w:sz w:val="17"/>
                <w:szCs w:val="17"/>
              </w:rPr>
              <w:t>Sensitivity Analysis (SA)</w:t>
            </w:r>
          </w:p>
        </w:tc>
        <w:tc>
          <w:tcPr>
            <w:tcW w:w="3888" w:type="dxa"/>
            <w:gridSpan w:val="3"/>
          </w:tcPr>
          <w:p w14:paraId="0D3148DD" w14:textId="37D38777" w:rsidR="002A3F71" w:rsidRPr="00050F51" w:rsidRDefault="002A3F71" w:rsidP="002A3F71">
            <w:pPr>
              <w:jc w:val="center"/>
              <w:rPr>
                <w:rFonts w:ascii="Arial" w:eastAsia="Arial" w:hAnsi="Arial" w:cs="Arial"/>
                <w:sz w:val="17"/>
                <w:szCs w:val="17"/>
              </w:rPr>
            </w:pPr>
            <w:r w:rsidRPr="00050F51">
              <w:rPr>
                <w:rFonts w:ascii="Arial" w:eastAsia="Arial" w:hAnsi="Arial" w:cs="Arial"/>
                <w:b/>
                <w:bCs/>
                <w:sz w:val="17"/>
                <w:szCs w:val="17"/>
              </w:rPr>
              <w:t>Values/Scenarios</w:t>
            </w:r>
          </w:p>
        </w:tc>
        <w:tc>
          <w:tcPr>
            <w:tcW w:w="1519" w:type="dxa"/>
          </w:tcPr>
          <w:p w14:paraId="36C4EFDF" w14:textId="528950D9" w:rsidR="002A3F71" w:rsidRPr="00050F51" w:rsidRDefault="002A3F71" w:rsidP="002A3F71">
            <w:pPr>
              <w:jc w:val="center"/>
              <w:rPr>
                <w:rFonts w:ascii="Arial" w:eastAsia="Arial" w:hAnsi="Arial" w:cs="Arial"/>
                <w:sz w:val="17"/>
                <w:szCs w:val="17"/>
              </w:rPr>
            </w:pPr>
            <w:r w:rsidRPr="00050F51">
              <w:rPr>
                <w:rFonts w:ascii="Arial" w:eastAsia="Arial" w:hAnsi="Arial" w:cs="Arial"/>
                <w:b/>
                <w:bCs/>
                <w:sz w:val="17"/>
                <w:szCs w:val="17"/>
              </w:rPr>
              <w:t>No. of scenarios in SA</w:t>
            </w:r>
          </w:p>
        </w:tc>
      </w:tr>
      <w:tr w:rsidR="002A3F71" w:rsidRPr="00050F51" w14:paraId="748CE2BF" w14:textId="77777777" w:rsidTr="002A3F71">
        <w:trPr>
          <w:trHeight w:val="230"/>
        </w:trPr>
        <w:tc>
          <w:tcPr>
            <w:tcW w:w="1319" w:type="dxa"/>
            <w:vMerge/>
          </w:tcPr>
          <w:p w14:paraId="0E10046A" w14:textId="77777777" w:rsidR="002A3F71" w:rsidRPr="00050F51" w:rsidRDefault="002A3F71" w:rsidP="002A3F71">
            <w:pPr>
              <w:jc w:val="center"/>
              <w:rPr>
                <w:rFonts w:ascii="Arial" w:eastAsia="Arial" w:hAnsi="Arial" w:cs="Arial"/>
                <w:sz w:val="17"/>
                <w:szCs w:val="17"/>
              </w:rPr>
            </w:pPr>
          </w:p>
        </w:tc>
        <w:tc>
          <w:tcPr>
            <w:tcW w:w="1369" w:type="dxa"/>
            <w:vMerge/>
          </w:tcPr>
          <w:p w14:paraId="178619A5" w14:textId="77777777" w:rsidR="002A3F71" w:rsidRPr="00050F51" w:rsidRDefault="002A3F71" w:rsidP="002A3F71">
            <w:pPr>
              <w:jc w:val="center"/>
              <w:rPr>
                <w:rFonts w:ascii="Arial" w:eastAsia="Arial" w:hAnsi="Arial" w:cs="Arial"/>
                <w:sz w:val="17"/>
                <w:szCs w:val="17"/>
              </w:rPr>
            </w:pPr>
          </w:p>
        </w:tc>
        <w:tc>
          <w:tcPr>
            <w:tcW w:w="1296" w:type="dxa"/>
          </w:tcPr>
          <w:p w14:paraId="0E929F31" w14:textId="7285863E" w:rsidR="002A3F71" w:rsidRPr="00050F51" w:rsidRDefault="002A3F71" w:rsidP="002A3F71">
            <w:pPr>
              <w:jc w:val="center"/>
              <w:rPr>
                <w:rFonts w:ascii="Arial" w:eastAsia="Arial" w:hAnsi="Arial" w:cs="Arial"/>
                <w:sz w:val="17"/>
                <w:szCs w:val="17"/>
              </w:rPr>
            </w:pPr>
            <w:r w:rsidRPr="00050F51">
              <w:rPr>
                <w:rFonts w:ascii="Arial" w:eastAsia="Arial" w:hAnsi="Arial" w:cs="Arial"/>
                <w:b/>
                <w:bCs/>
                <w:sz w:val="17"/>
                <w:szCs w:val="17"/>
              </w:rPr>
              <w:t>Baseline</w:t>
            </w:r>
          </w:p>
        </w:tc>
        <w:tc>
          <w:tcPr>
            <w:tcW w:w="1296" w:type="dxa"/>
          </w:tcPr>
          <w:p w14:paraId="29F1E2E2" w14:textId="077BED44" w:rsidR="002A3F71" w:rsidRPr="00050F51" w:rsidRDefault="002A3F71" w:rsidP="002A3F71">
            <w:pPr>
              <w:jc w:val="center"/>
              <w:rPr>
                <w:rFonts w:ascii="Arial" w:eastAsia="Arial" w:hAnsi="Arial" w:cs="Arial"/>
                <w:sz w:val="17"/>
                <w:szCs w:val="17"/>
              </w:rPr>
            </w:pPr>
            <w:r w:rsidRPr="00050F51">
              <w:rPr>
                <w:rFonts w:ascii="Arial" w:eastAsia="Arial" w:hAnsi="Arial" w:cs="Arial"/>
                <w:b/>
                <w:bCs/>
                <w:sz w:val="17"/>
                <w:szCs w:val="17"/>
              </w:rPr>
              <w:t>Low</w:t>
            </w:r>
          </w:p>
        </w:tc>
        <w:tc>
          <w:tcPr>
            <w:tcW w:w="1296" w:type="dxa"/>
          </w:tcPr>
          <w:p w14:paraId="3F99C7E7" w14:textId="3849FD08" w:rsidR="002A3F71" w:rsidRPr="00050F51" w:rsidRDefault="002A3F71" w:rsidP="002A3F71">
            <w:pPr>
              <w:jc w:val="center"/>
              <w:rPr>
                <w:rFonts w:ascii="Arial" w:eastAsia="Arial" w:hAnsi="Arial" w:cs="Arial"/>
                <w:sz w:val="17"/>
                <w:szCs w:val="17"/>
              </w:rPr>
            </w:pPr>
            <w:r w:rsidRPr="00050F51">
              <w:rPr>
                <w:rFonts w:ascii="Arial" w:eastAsia="Arial" w:hAnsi="Arial" w:cs="Arial"/>
                <w:b/>
                <w:bCs/>
                <w:sz w:val="17"/>
                <w:szCs w:val="17"/>
              </w:rPr>
              <w:t>High</w:t>
            </w:r>
          </w:p>
        </w:tc>
        <w:tc>
          <w:tcPr>
            <w:tcW w:w="1519" w:type="dxa"/>
          </w:tcPr>
          <w:p w14:paraId="0996AD8E" w14:textId="77777777" w:rsidR="002A3F71" w:rsidRPr="00050F51" w:rsidRDefault="002A3F71" w:rsidP="002A3F71">
            <w:pPr>
              <w:jc w:val="center"/>
              <w:rPr>
                <w:rFonts w:ascii="Arial" w:eastAsia="Arial" w:hAnsi="Arial" w:cs="Arial"/>
                <w:sz w:val="17"/>
                <w:szCs w:val="17"/>
              </w:rPr>
            </w:pPr>
          </w:p>
        </w:tc>
      </w:tr>
      <w:tr w:rsidR="002A3F71" w:rsidRPr="00050F51" w14:paraId="6EEEE7A5" w14:textId="77777777" w:rsidTr="002A3F71">
        <w:trPr>
          <w:trHeight w:val="230"/>
        </w:trPr>
        <w:tc>
          <w:tcPr>
            <w:tcW w:w="1319" w:type="dxa"/>
          </w:tcPr>
          <w:p w14:paraId="5BE3A223" w14:textId="5D14EAD8"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Interest Rate (%)</w:t>
            </w:r>
          </w:p>
        </w:tc>
        <w:tc>
          <w:tcPr>
            <w:tcW w:w="1369" w:type="dxa"/>
          </w:tcPr>
          <w:p w14:paraId="46CFF002" w14:textId="06823F7B"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Inf. Financing &amp; Rate Design</w:t>
            </w:r>
          </w:p>
        </w:tc>
        <w:tc>
          <w:tcPr>
            <w:tcW w:w="1296" w:type="dxa"/>
          </w:tcPr>
          <w:p w14:paraId="323747A8" w14:textId="4DCA1172"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3</w:t>
            </w:r>
          </w:p>
        </w:tc>
        <w:tc>
          <w:tcPr>
            <w:tcW w:w="1296" w:type="dxa"/>
          </w:tcPr>
          <w:p w14:paraId="0DC4C416" w14:textId="5C0C325B"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1.5</w:t>
            </w:r>
          </w:p>
        </w:tc>
        <w:tc>
          <w:tcPr>
            <w:tcW w:w="1296" w:type="dxa"/>
          </w:tcPr>
          <w:p w14:paraId="50A3417B" w14:textId="5AF4B522"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4.5</w:t>
            </w:r>
          </w:p>
        </w:tc>
        <w:tc>
          <w:tcPr>
            <w:tcW w:w="1519" w:type="dxa"/>
          </w:tcPr>
          <w:p w14:paraId="2213DC15" w14:textId="78D5BEA7"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w:t>
            </w:r>
          </w:p>
        </w:tc>
      </w:tr>
      <w:tr w:rsidR="002A3F71" w:rsidRPr="00050F51" w14:paraId="767A5613" w14:textId="77777777" w:rsidTr="002A3F71">
        <w:trPr>
          <w:trHeight w:val="230"/>
        </w:trPr>
        <w:tc>
          <w:tcPr>
            <w:tcW w:w="1319" w:type="dxa"/>
          </w:tcPr>
          <w:p w14:paraId="5E3992DC" w14:textId="3AFFFCB0"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Desalination deployment time (years)</w:t>
            </w:r>
          </w:p>
        </w:tc>
        <w:tc>
          <w:tcPr>
            <w:tcW w:w="1369" w:type="dxa"/>
          </w:tcPr>
          <w:p w14:paraId="61C3EDBE" w14:textId="098DB4B2"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Inf. Financing &amp; Rate Design</w:t>
            </w:r>
          </w:p>
        </w:tc>
        <w:tc>
          <w:tcPr>
            <w:tcW w:w="1296" w:type="dxa"/>
          </w:tcPr>
          <w:p w14:paraId="34847A79" w14:textId="1C59D274"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10</w:t>
            </w:r>
          </w:p>
        </w:tc>
        <w:tc>
          <w:tcPr>
            <w:tcW w:w="1296" w:type="dxa"/>
          </w:tcPr>
          <w:p w14:paraId="595B55BD" w14:textId="3CEB720D"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5</w:t>
            </w:r>
          </w:p>
        </w:tc>
        <w:tc>
          <w:tcPr>
            <w:tcW w:w="1296" w:type="dxa"/>
          </w:tcPr>
          <w:p w14:paraId="1FF50F13" w14:textId="2F832242"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15</w:t>
            </w:r>
          </w:p>
        </w:tc>
        <w:tc>
          <w:tcPr>
            <w:tcW w:w="1519" w:type="dxa"/>
          </w:tcPr>
          <w:p w14:paraId="17501675" w14:textId="54C60708"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w:t>
            </w:r>
          </w:p>
        </w:tc>
      </w:tr>
      <w:tr w:rsidR="002A3F71" w:rsidRPr="00050F51" w14:paraId="36B7F511" w14:textId="77777777" w:rsidTr="002A3F71">
        <w:trPr>
          <w:trHeight w:val="230"/>
        </w:trPr>
        <w:tc>
          <w:tcPr>
            <w:tcW w:w="1319" w:type="dxa"/>
          </w:tcPr>
          <w:p w14:paraId="4E45135C" w14:textId="4C089B91"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Infrastructure Costs</w:t>
            </w:r>
          </w:p>
        </w:tc>
        <w:tc>
          <w:tcPr>
            <w:tcW w:w="1369" w:type="dxa"/>
          </w:tcPr>
          <w:p w14:paraId="4B047F05" w14:textId="0144E578"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Inf. Financing &amp; Rate Design</w:t>
            </w:r>
          </w:p>
        </w:tc>
        <w:tc>
          <w:tcPr>
            <w:tcW w:w="1296" w:type="dxa"/>
          </w:tcPr>
          <w:p w14:paraId="0689D16A" w14:textId="4B23CD43"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Average</w:t>
            </w:r>
          </w:p>
        </w:tc>
        <w:tc>
          <w:tcPr>
            <w:tcW w:w="1296" w:type="dxa"/>
          </w:tcPr>
          <w:p w14:paraId="703386E1" w14:textId="378664AC"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Low</w:t>
            </w:r>
          </w:p>
        </w:tc>
        <w:tc>
          <w:tcPr>
            <w:tcW w:w="1296" w:type="dxa"/>
          </w:tcPr>
          <w:p w14:paraId="03CA487F" w14:textId="39D0FDEA"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High</w:t>
            </w:r>
          </w:p>
        </w:tc>
        <w:tc>
          <w:tcPr>
            <w:tcW w:w="1519" w:type="dxa"/>
          </w:tcPr>
          <w:p w14:paraId="024BF30D" w14:textId="21A9D546"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w:t>
            </w:r>
          </w:p>
        </w:tc>
      </w:tr>
      <w:tr w:rsidR="002A3F71" w:rsidRPr="00050F51" w14:paraId="79C988CA" w14:textId="77777777" w:rsidTr="002A3F71">
        <w:trPr>
          <w:trHeight w:val="230"/>
        </w:trPr>
        <w:tc>
          <w:tcPr>
            <w:tcW w:w="1319" w:type="dxa"/>
          </w:tcPr>
          <w:p w14:paraId="4A41619F" w14:textId="49DFA88A"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Rate Design</w:t>
            </w:r>
          </w:p>
        </w:tc>
        <w:tc>
          <w:tcPr>
            <w:tcW w:w="1369" w:type="dxa"/>
          </w:tcPr>
          <w:p w14:paraId="494AF670" w14:textId="2451A58E"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Inf. Financing &amp; Rate Design</w:t>
            </w:r>
          </w:p>
        </w:tc>
        <w:tc>
          <w:tcPr>
            <w:tcW w:w="1296" w:type="dxa"/>
          </w:tcPr>
          <w:p w14:paraId="5BDD132F" w14:textId="6B48EFE1"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3 tiers</w:t>
            </w:r>
          </w:p>
        </w:tc>
        <w:tc>
          <w:tcPr>
            <w:tcW w:w="2592" w:type="dxa"/>
            <w:gridSpan w:val="2"/>
          </w:tcPr>
          <w:p w14:paraId="62EB7ED5" w14:textId="141F38A6"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1 tier</w:t>
            </w:r>
          </w:p>
        </w:tc>
        <w:tc>
          <w:tcPr>
            <w:tcW w:w="1519" w:type="dxa"/>
          </w:tcPr>
          <w:p w14:paraId="4266B8BA" w14:textId="57C2B01F"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w:t>
            </w:r>
          </w:p>
        </w:tc>
      </w:tr>
      <w:tr w:rsidR="002A3F71" w:rsidRPr="00050F51" w14:paraId="0F7A80AA" w14:textId="77777777" w:rsidTr="002A3F71">
        <w:trPr>
          <w:trHeight w:val="230"/>
        </w:trPr>
        <w:tc>
          <w:tcPr>
            <w:tcW w:w="1319" w:type="dxa"/>
          </w:tcPr>
          <w:p w14:paraId="4391A9B0" w14:textId="4F15CCB0"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Price elasticity</w:t>
            </w:r>
          </w:p>
        </w:tc>
        <w:tc>
          <w:tcPr>
            <w:tcW w:w="1369" w:type="dxa"/>
          </w:tcPr>
          <w:p w14:paraId="4627ABF7" w14:textId="5054CDEF"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Demand &amp; Demographics</w:t>
            </w:r>
          </w:p>
        </w:tc>
        <w:tc>
          <w:tcPr>
            <w:tcW w:w="1296" w:type="dxa"/>
          </w:tcPr>
          <w:p w14:paraId="7AFCF333" w14:textId="606D321F"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-0.246</w:t>
            </w:r>
          </w:p>
        </w:tc>
        <w:tc>
          <w:tcPr>
            <w:tcW w:w="1296" w:type="dxa"/>
          </w:tcPr>
          <w:p w14:paraId="550AEEE0" w14:textId="3FC69816"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0</w:t>
            </w:r>
          </w:p>
        </w:tc>
        <w:tc>
          <w:tcPr>
            <w:tcW w:w="1296" w:type="dxa"/>
          </w:tcPr>
          <w:p w14:paraId="1F7AF140" w14:textId="40C55F68"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-0.5</w:t>
            </w:r>
          </w:p>
        </w:tc>
        <w:tc>
          <w:tcPr>
            <w:tcW w:w="1519" w:type="dxa"/>
          </w:tcPr>
          <w:p w14:paraId="4A85F0FA" w14:textId="6EE9E355"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w:t>
            </w:r>
          </w:p>
        </w:tc>
      </w:tr>
      <w:tr w:rsidR="002A3F71" w:rsidRPr="00050F51" w14:paraId="5230E245" w14:textId="77777777" w:rsidTr="002A3F71">
        <w:trPr>
          <w:trHeight w:val="230"/>
        </w:trPr>
        <w:tc>
          <w:tcPr>
            <w:tcW w:w="1319" w:type="dxa"/>
          </w:tcPr>
          <w:p w14:paraId="69A6A510" w14:textId="5828C978"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Multi-family demands</w:t>
            </w:r>
          </w:p>
        </w:tc>
        <w:tc>
          <w:tcPr>
            <w:tcW w:w="1369" w:type="dxa"/>
          </w:tcPr>
          <w:p w14:paraId="39175691" w14:textId="2FC5E440"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Demand &amp; Demographics</w:t>
            </w:r>
          </w:p>
        </w:tc>
        <w:tc>
          <w:tcPr>
            <w:tcW w:w="1296" w:type="dxa"/>
          </w:tcPr>
          <w:p w14:paraId="4F60C6E6" w14:textId="55D2350E"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Moderate</w:t>
            </w:r>
          </w:p>
        </w:tc>
        <w:tc>
          <w:tcPr>
            <w:tcW w:w="1296" w:type="dxa"/>
          </w:tcPr>
          <w:p w14:paraId="4EBB57AB" w14:textId="1DC329D2"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Low</w:t>
            </w:r>
          </w:p>
        </w:tc>
        <w:tc>
          <w:tcPr>
            <w:tcW w:w="1296" w:type="dxa"/>
          </w:tcPr>
          <w:p w14:paraId="041F2D77" w14:textId="63280D04"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High</w:t>
            </w:r>
          </w:p>
        </w:tc>
        <w:tc>
          <w:tcPr>
            <w:tcW w:w="1519" w:type="dxa"/>
          </w:tcPr>
          <w:p w14:paraId="3B1FE8C0" w14:textId="12884758"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w:t>
            </w:r>
          </w:p>
        </w:tc>
      </w:tr>
      <w:tr w:rsidR="002A3F71" w:rsidRPr="00050F51" w14:paraId="5894B01F" w14:textId="77777777" w:rsidTr="002A3F71">
        <w:trPr>
          <w:trHeight w:val="230"/>
        </w:trPr>
        <w:tc>
          <w:tcPr>
            <w:tcW w:w="1319" w:type="dxa"/>
          </w:tcPr>
          <w:p w14:paraId="386546B6" w14:textId="7C4A30B3"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Single-family demands (scaling factor)</w:t>
            </w:r>
          </w:p>
        </w:tc>
        <w:tc>
          <w:tcPr>
            <w:tcW w:w="1369" w:type="dxa"/>
          </w:tcPr>
          <w:p w14:paraId="20567F33" w14:textId="453B4255"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Demand &amp; Demographics</w:t>
            </w:r>
          </w:p>
        </w:tc>
        <w:tc>
          <w:tcPr>
            <w:tcW w:w="1296" w:type="dxa"/>
          </w:tcPr>
          <w:p w14:paraId="315A7B27" w14:textId="0D6C81BC"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1</w:t>
            </w:r>
          </w:p>
        </w:tc>
        <w:tc>
          <w:tcPr>
            <w:tcW w:w="1296" w:type="dxa"/>
          </w:tcPr>
          <w:p w14:paraId="773366C6" w14:textId="1125BC3C"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0.85</w:t>
            </w:r>
          </w:p>
        </w:tc>
        <w:tc>
          <w:tcPr>
            <w:tcW w:w="1296" w:type="dxa"/>
          </w:tcPr>
          <w:p w14:paraId="09FAB172" w14:textId="6FB3054A"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1.15</w:t>
            </w:r>
          </w:p>
        </w:tc>
        <w:tc>
          <w:tcPr>
            <w:tcW w:w="1519" w:type="dxa"/>
          </w:tcPr>
          <w:p w14:paraId="71760B19" w14:textId="41DECA44"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w:t>
            </w:r>
          </w:p>
        </w:tc>
      </w:tr>
      <w:tr w:rsidR="002A3F71" w:rsidRPr="00050F51" w14:paraId="6FC9A5ED" w14:textId="77777777" w:rsidTr="002A3F71">
        <w:trPr>
          <w:trHeight w:val="230"/>
        </w:trPr>
        <w:tc>
          <w:tcPr>
            <w:tcW w:w="1319" w:type="dxa"/>
          </w:tcPr>
          <w:p w14:paraId="16B9CE62" w14:textId="77777777" w:rsidR="002A3F71" w:rsidRPr="00050F51" w:rsidRDefault="002A3F71" w:rsidP="002A3F71">
            <w:pPr>
              <w:widowControl w:val="0"/>
              <w:jc w:val="center"/>
              <w:rPr>
                <w:rFonts w:ascii="Arial" w:eastAsia="Arial" w:hAnsi="Arial" w:cs="Arial"/>
                <w:sz w:val="17"/>
                <w:szCs w:val="17"/>
              </w:rPr>
            </w:pPr>
            <w:r w:rsidRPr="00050F51">
              <w:rPr>
                <w:rFonts w:ascii="Arial" w:eastAsia="Arial" w:hAnsi="Arial" w:cs="Arial"/>
                <w:sz w:val="17"/>
                <w:szCs w:val="17"/>
              </w:rPr>
              <w:t>Number of single-family households</w:t>
            </w:r>
          </w:p>
          <w:p w14:paraId="5B3580A2" w14:textId="712F4B35"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 households)</w:t>
            </w:r>
          </w:p>
        </w:tc>
        <w:tc>
          <w:tcPr>
            <w:tcW w:w="1369" w:type="dxa"/>
          </w:tcPr>
          <w:p w14:paraId="2E94ABDB" w14:textId="3E6526A4"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Demand &amp; Demographics</w:t>
            </w:r>
          </w:p>
        </w:tc>
        <w:tc>
          <w:tcPr>
            <w:tcW w:w="1296" w:type="dxa"/>
          </w:tcPr>
          <w:p w14:paraId="1891C4B5" w14:textId="49883B1E"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21,370</w:t>
            </w:r>
          </w:p>
        </w:tc>
        <w:tc>
          <w:tcPr>
            <w:tcW w:w="1296" w:type="dxa"/>
          </w:tcPr>
          <w:p w14:paraId="2B34068F" w14:textId="1B025937"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18,164</w:t>
            </w:r>
          </w:p>
        </w:tc>
        <w:tc>
          <w:tcPr>
            <w:tcW w:w="1296" w:type="dxa"/>
          </w:tcPr>
          <w:p w14:paraId="05EC5546" w14:textId="44254389"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24,575</w:t>
            </w:r>
          </w:p>
        </w:tc>
        <w:tc>
          <w:tcPr>
            <w:tcW w:w="1519" w:type="dxa"/>
          </w:tcPr>
          <w:p w14:paraId="5690102E" w14:textId="649CAD38"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w:t>
            </w:r>
          </w:p>
        </w:tc>
      </w:tr>
      <w:tr w:rsidR="002A3F71" w:rsidRPr="00050F51" w14:paraId="0F1121FC" w14:textId="77777777" w:rsidTr="002A3F71">
        <w:trPr>
          <w:trHeight w:val="230"/>
        </w:trPr>
        <w:tc>
          <w:tcPr>
            <w:tcW w:w="1319" w:type="dxa"/>
          </w:tcPr>
          <w:p w14:paraId="25EF608C" w14:textId="0A50CA10"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Single-family income shift (more low-/high-income households) (%)</w:t>
            </w:r>
          </w:p>
        </w:tc>
        <w:tc>
          <w:tcPr>
            <w:tcW w:w="1369" w:type="dxa"/>
          </w:tcPr>
          <w:p w14:paraId="6B57A077" w14:textId="58648B52"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Demand &amp; Demographics</w:t>
            </w:r>
          </w:p>
        </w:tc>
        <w:tc>
          <w:tcPr>
            <w:tcW w:w="1296" w:type="dxa"/>
          </w:tcPr>
          <w:p w14:paraId="1BB3EB9F" w14:textId="2441BBE2"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23% LI, 30% HI</w:t>
            </w:r>
          </w:p>
        </w:tc>
        <w:tc>
          <w:tcPr>
            <w:tcW w:w="1296" w:type="dxa"/>
          </w:tcPr>
          <w:p w14:paraId="6062E5F0" w14:textId="69AE1E00"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28% LI</w:t>
            </w:r>
          </w:p>
        </w:tc>
        <w:tc>
          <w:tcPr>
            <w:tcW w:w="1296" w:type="dxa"/>
          </w:tcPr>
          <w:p w14:paraId="4D1C0459" w14:textId="57C1CBFA"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36% HI</w:t>
            </w:r>
          </w:p>
        </w:tc>
        <w:tc>
          <w:tcPr>
            <w:tcW w:w="1519" w:type="dxa"/>
          </w:tcPr>
          <w:p w14:paraId="46DFB435" w14:textId="40BB17D4"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w:t>
            </w:r>
          </w:p>
        </w:tc>
      </w:tr>
      <w:tr w:rsidR="002A3F71" w:rsidRPr="00050F51" w14:paraId="782D1CB3" w14:textId="77777777" w:rsidTr="002A3F71">
        <w:trPr>
          <w:trHeight w:val="230"/>
        </w:trPr>
        <w:tc>
          <w:tcPr>
            <w:tcW w:w="1319" w:type="dxa"/>
          </w:tcPr>
          <w:p w14:paraId="1F517406" w14:textId="08D18095"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Climate scenarios</w:t>
            </w:r>
          </w:p>
        </w:tc>
        <w:tc>
          <w:tcPr>
            <w:tcW w:w="1369" w:type="dxa"/>
          </w:tcPr>
          <w:p w14:paraId="12DCDBDB" w14:textId="683E7F6F"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Both</w:t>
            </w:r>
          </w:p>
        </w:tc>
        <w:tc>
          <w:tcPr>
            <w:tcW w:w="1296" w:type="dxa"/>
          </w:tcPr>
          <w:p w14:paraId="3DEB1396" w14:textId="40ABC514"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Multiple</w:t>
            </w:r>
          </w:p>
        </w:tc>
        <w:tc>
          <w:tcPr>
            <w:tcW w:w="1296" w:type="dxa"/>
          </w:tcPr>
          <w:p w14:paraId="7E5B2FB7" w14:textId="648DE9F8"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P=120%, T=0</w:t>
            </w:r>
            <w:r w:rsidRPr="00050F51">
              <w:rPr>
                <w:rFonts w:ascii="Cambria Math" w:eastAsia="Arial" w:hAnsi="Cambria Math" w:cs="Cambria Math"/>
                <w:sz w:val="17"/>
                <w:szCs w:val="17"/>
              </w:rPr>
              <w:t>℃</w:t>
            </w:r>
            <w:r w:rsidRPr="00050F51">
              <w:rPr>
                <w:rFonts w:ascii="Arial" w:eastAsia="Arial" w:hAnsi="Arial" w:cs="Arial"/>
                <w:sz w:val="17"/>
                <w:szCs w:val="17"/>
              </w:rPr>
              <w:t>, CV=1.0, real=10</w:t>
            </w:r>
          </w:p>
        </w:tc>
        <w:tc>
          <w:tcPr>
            <w:tcW w:w="1296" w:type="dxa"/>
          </w:tcPr>
          <w:p w14:paraId="0B42719A" w14:textId="3355B3A6"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P=80%, T=5</w:t>
            </w:r>
            <w:r w:rsidRPr="00050F51">
              <w:rPr>
                <w:rFonts w:ascii="Cambria Math" w:eastAsia="Arial" w:hAnsi="Cambria Math" w:cs="Cambria Math"/>
                <w:sz w:val="17"/>
                <w:szCs w:val="17"/>
              </w:rPr>
              <w:t>℃</w:t>
            </w:r>
            <w:r w:rsidRPr="00050F51">
              <w:rPr>
                <w:rFonts w:ascii="Arial" w:eastAsia="Arial" w:hAnsi="Arial" w:cs="Arial"/>
                <w:sz w:val="17"/>
                <w:szCs w:val="17"/>
              </w:rPr>
              <w:t>, CV=1.2, real=10</w:t>
            </w:r>
          </w:p>
        </w:tc>
        <w:tc>
          <w:tcPr>
            <w:tcW w:w="1519" w:type="dxa"/>
          </w:tcPr>
          <w:p w14:paraId="0F0CC6A3" w14:textId="79D9B800" w:rsidR="002A3F71" w:rsidRPr="00050F51" w:rsidRDefault="002A3F71" w:rsidP="002A3F71">
            <w:pPr>
              <w:jc w:val="center"/>
              <w:rPr>
                <w:rFonts w:ascii="Arial" w:eastAsia="Arial" w:hAnsi="Arial" w:cs="Arial"/>
                <w:sz w:val="17"/>
                <w:szCs w:val="17"/>
              </w:rPr>
            </w:pPr>
            <w:r w:rsidRPr="00050F51">
              <w:rPr>
                <w:rFonts w:ascii="Arial" w:eastAsia="Arial" w:hAnsi="Arial" w:cs="Arial"/>
                <w:sz w:val="17"/>
                <w:szCs w:val="17"/>
              </w:rPr>
              <w:t>20</w:t>
            </w:r>
          </w:p>
        </w:tc>
      </w:tr>
    </w:tbl>
    <w:p w14:paraId="7AD2D0B0" w14:textId="77777777" w:rsidR="002A3F71" w:rsidRPr="00050F51" w:rsidRDefault="002A3F71" w:rsidP="004E5254">
      <w:pPr>
        <w:spacing w:before="120"/>
        <w:rPr>
          <w:rFonts w:ascii="Arial" w:eastAsia="Arial" w:hAnsi="Arial" w:cs="Arial"/>
          <w:sz w:val="20"/>
          <w:szCs w:val="20"/>
        </w:rPr>
      </w:pPr>
    </w:p>
    <w:p w14:paraId="0FA47CD1" w14:textId="7769F1C8" w:rsidR="001C3F79" w:rsidRPr="00050F51" w:rsidRDefault="001C3F79" w:rsidP="00355BB8">
      <w:pPr>
        <w:spacing w:after="120"/>
        <w:rPr>
          <w:rFonts w:ascii="Arial" w:eastAsia="Arial" w:hAnsi="Arial" w:cs="Arial"/>
          <w:sz w:val="20"/>
          <w:szCs w:val="20"/>
        </w:rPr>
      </w:pPr>
      <w:r w:rsidRPr="00050F51">
        <w:rPr>
          <w:rFonts w:ascii="Arial" w:eastAsia="Arial" w:hAnsi="Arial" w:cs="Arial"/>
          <w:sz w:val="20"/>
          <w:szCs w:val="20"/>
        </w:rPr>
        <w:t xml:space="preserve">The simulation sensitivity results are shown in Figures S5 and S6. In both figures, we can see the full distributions of reservoir storage levels, new water supply costs, household water bills, and household affordability ratios. For both analyses, we include best and worst extreme scenarios that combine combinations of parameters likely contributing to the best or worst outcomes. For the infrastructure financing and rate design analysis, the extreme worst (best) scenario includes a high (low) interest rate, high (low) infrastructure costs, and dry (wet) climate simulations. For the demand and demographics analysis, the extreme worst (best) scenario includes low (high) price elasticity, high (low) multi-family demands, high (low) single-family demands, a high (low) number of single-family households, more low (high) income households, and dry (wet) climate simulations. </w:t>
      </w:r>
    </w:p>
    <w:p w14:paraId="34551094" w14:textId="6A293806" w:rsidR="001C3F79" w:rsidRPr="00050F51" w:rsidRDefault="001C3F79" w:rsidP="00355BB8">
      <w:pPr>
        <w:spacing w:after="120"/>
        <w:rPr>
          <w:rFonts w:ascii="Arial" w:eastAsia="Arial" w:hAnsi="Arial" w:cs="Arial"/>
          <w:sz w:val="20"/>
          <w:szCs w:val="20"/>
        </w:rPr>
      </w:pPr>
      <w:r w:rsidRPr="00050F51">
        <w:rPr>
          <w:rFonts w:ascii="Arial" w:eastAsia="Arial" w:hAnsi="Arial" w:cs="Arial"/>
          <w:sz w:val="20"/>
          <w:szCs w:val="20"/>
        </w:rPr>
        <w:t>In the infrastructure financing analysis (Figure S5), high infrastructure costs have the largest impact on higher water bills and affordability ratios, comparable to the range of the across the climate scenarios, through increasing the required revenue. When comparing rate structures, although the rates are revenue-neutral, the single-tiered structure leads to higher bills and affordability impacts. Other infrastructure financing factors have minimal impacts on bill and affordability.</w:t>
      </w:r>
    </w:p>
    <w:p w14:paraId="3E69CF83" w14:textId="0B7BCBB3" w:rsidR="001C3F79" w:rsidRPr="00050F51" w:rsidRDefault="001C3F79" w:rsidP="00355BB8">
      <w:pPr>
        <w:spacing w:after="120"/>
        <w:rPr>
          <w:rFonts w:ascii="Arial" w:eastAsia="Arial" w:hAnsi="Arial" w:cs="Arial"/>
          <w:sz w:val="20"/>
          <w:szCs w:val="20"/>
        </w:rPr>
      </w:pPr>
      <w:r w:rsidRPr="00050F51">
        <w:rPr>
          <w:rFonts w:ascii="Arial" w:eastAsia="Arial" w:hAnsi="Arial" w:cs="Arial"/>
          <w:sz w:val="20"/>
          <w:szCs w:val="20"/>
        </w:rPr>
        <w:t xml:space="preserve">In the demand and demographics analysis (Figure S6), we can see that the price elasticity scenario has the largest changes. When households are more sensitive to price changes (high </w:t>
      </w:r>
      <w:r w:rsidRPr="00050F51">
        <w:rPr>
          <w:rFonts w:ascii="Arial" w:eastAsia="Arial" w:hAnsi="Arial" w:cs="Arial"/>
          <w:sz w:val="20"/>
          <w:szCs w:val="20"/>
        </w:rPr>
        <w:lastRenderedPageBreak/>
        <w:t>scenario), demands decrease significantly, leading to less necessary infrastructure, mitigating affordability impacts. In contrast, when households are not sensitive to price changes (low scenario), the impacts on reservoir storage and required infrastructure investments are as large as under the dry climate scenario. However, we note that the input ranges are much larger than the other parameters: the high price elasticity is 100% greater than the baseline, while other parameters are varied 15-20%. We chose this wide range to reflect the wide range of values found in the literature, but the comparison shown here does not necessarily mean the model is more sensitive to price elasticity than other drivers of demand change. Looking at the other parameters, we see that greater multi-family and single-family demands slightly worsen affordability impacts, mainly due to higher revenue requirements and more infrastructure. However, more single-family households, although also increasing infrastructure needs, allow the costs to be spread more broadly, actually decreasing affordability impacts. Overall, with the exception of price elasticity which used a very wide range, changes in the demand parameters have a relatively small impact on model results compared to climate parameters. This demonstrates that in our case study, infrastructure development is primarily driven by supply deficits rather than changes in demand.</w:t>
      </w:r>
    </w:p>
    <w:p w14:paraId="7C4AB4F2" w14:textId="77777777" w:rsidR="001C3F79" w:rsidRPr="00050F51" w:rsidRDefault="001C3F79" w:rsidP="001C3F79">
      <w:pPr>
        <w:spacing w:before="240" w:after="60"/>
        <w:rPr>
          <w:rFonts w:ascii="Arial" w:eastAsia="Arial" w:hAnsi="Arial" w:cs="Arial"/>
          <w:sz w:val="20"/>
          <w:szCs w:val="20"/>
        </w:rPr>
      </w:pPr>
      <w:r w:rsidRPr="00050F51">
        <w:rPr>
          <w:rFonts w:ascii="Arial" w:eastAsia="Arial" w:hAnsi="Arial" w:cs="Arial"/>
          <w:noProof/>
          <w:sz w:val="20"/>
          <w:szCs w:val="20"/>
        </w:rPr>
        <w:lastRenderedPageBreak/>
        <w:drawing>
          <wp:inline distT="114300" distB="114300" distL="114300" distR="114300" wp14:anchorId="5514202B" wp14:editId="75C6D413">
            <wp:extent cx="5303520" cy="7315200"/>
            <wp:effectExtent l="0" t="0" r="5080" b="0"/>
            <wp:docPr id="2121626664" name="image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5303520" cy="7315200"/>
                    </a:xfrm>
                    <a:prstGeom prst="rect">
                      <a:avLst/>
                    </a:prstGeom>
                    <a:ln/>
                  </pic:spPr>
                </pic:pic>
              </a:graphicData>
            </a:graphic>
          </wp:inline>
        </w:drawing>
      </w:r>
    </w:p>
    <w:p w14:paraId="590C9861" w14:textId="5B181247" w:rsidR="001C3F79" w:rsidRPr="00050F51" w:rsidRDefault="001C3F79" w:rsidP="004E5254">
      <w:pPr>
        <w:spacing w:after="120"/>
        <w:rPr>
          <w:rFonts w:ascii="Arial" w:eastAsia="Arial" w:hAnsi="Arial" w:cs="Arial"/>
          <w:sz w:val="20"/>
          <w:szCs w:val="20"/>
        </w:rPr>
      </w:pPr>
      <w:r w:rsidRPr="00050F51">
        <w:rPr>
          <w:rFonts w:ascii="Arial" w:eastAsia="Arial" w:hAnsi="Arial" w:cs="Arial"/>
          <w:b/>
          <w:bCs/>
          <w:sz w:val="20"/>
          <w:szCs w:val="20"/>
        </w:rPr>
        <w:t xml:space="preserve">Fig. S5. </w:t>
      </w:r>
      <w:r w:rsidRPr="00050F51">
        <w:rPr>
          <w:rFonts w:ascii="Arial" w:eastAsia="Arial" w:hAnsi="Arial" w:cs="Arial"/>
          <w:sz w:val="20"/>
          <w:szCs w:val="20"/>
        </w:rPr>
        <w:t xml:space="preserve">Boxplots comparing infrastructure financing and rate design sensitivity analysis scenarios for all metrics in Figure 2, including (a) Loch Lomond Reservoir storage levels, (b) revenue needed for added infrastructure, (c) water bills, and (d) affordability ratios. </w:t>
      </w:r>
    </w:p>
    <w:p w14:paraId="533EB3CE" w14:textId="77777777" w:rsidR="001C3F79" w:rsidRPr="00050F51" w:rsidRDefault="001C3F79" w:rsidP="001C3F79">
      <w:pPr>
        <w:spacing w:before="240" w:after="60"/>
        <w:rPr>
          <w:rFonts w:ascii="Arial" w:eastAsia="Arial" w:hAnsi="Arial" w:cs="Arial"/>
          <w:sz w:val="20"/>
          <w:szCs w:val="20"/>
        </w:rPr>
      </w:pPr>
      <w:r w:rsidRPr="00050F51">
        <w:rPr>
          <w:rFonts w:ascii="Arial" w:eastAsia="Arial" w:hAnsi="Arial" w:cs="Arial"/>
          <w:noProof/>
          <w:sz w:val="20"/>
          <w:szCs w:val="20"/>
        </w:rPr>
        <w:lastRenderedPageBreak/>
        <w:drawing>
          <wp:inline distT="114300" distB="114300" distL="114300" distR="114300" wp14:anchorId="58F76549" wp14:editId="58BE0536">
            <wp:extent cx="5303520" cy="7315200"/>
            <wp:effectExtent l="0" t="0" r="5080" b="0"/>
            <wp:docPr id="2121626659" name="image2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
                    <a:srcRect/>
                    <a:stretch>
                      <a:fillRect/>
                    </a:stretch>
                  </pic:blipFill>
                  <pic:spPr>
                    <a:xfrm>
                      <a:off x="0" y="0"/>
                      <a:ext cx="5303520" cy="7315200"/>
                    </a:xfrm>
                    <a:prstGeom prst="rect">
                      <a:avLst/>
                    </a:prstGeom>
                    <a:ln/>
                  </pic:spPr>
                </pic:pic>
              </a:graphicData>
            </a:graphic>
          </wp:inline>
        </w:drawing>
      </w:r>
    </w:p>
    <w:p w14:paraId="2784B543" w14:textId="18849CD9" w:rsidR="001C3F79" w:rsidRPr="00050F51" w:rsidRDefault="001C3F79" w:rsidP="004E5254">
      <w:pPr>
        <w:spacing w:after="120"/>
        <w:rPr>
          <w:rFonts w:ascii="Arial" w:eastAsia="Arial" w:hAnsi="Arial" w:cs="Arial"/>
          <w:sz w:val="20"/>
          <w:szCs w:val="20"/>
        </w:rPr>
      </w:pPr>
      <w:r w:rsidRPr="00050F51">
        <w:rPr>
          <w:rFonts w:ascii="Arial" w:eastAsia="Arial" w:hAnsi="Arial" w:cs="Arial"/>
          <w:b/>
          <w:bCs/>
          <w:sz w:val="20"/>
          <w:szCs w:val="20"/>
        </w:rPr>
        <w:t>Fig. S6.</w:t>
      </w:r>
      <w:r w:rsidRPr="00050F51">
        <w:rPr>
          <w:rFonts w:ascii="Arial" w:eastAsia="Arial" w:hAnsi="Arial" w:cs="Arial"/>
          <w:sz w:val="20"/>
          <w:szCs w:val="20"/>
        </w:rPr>
        <w:t xml:space="preserve"> Boxplots comparing demand and demographic sensitivity analysis scenarios for all metrics in Figure 2, including (a) Loch Lomond Reservoir storage levels, (b) revenue needed for added infrastructure, (c) water bills, and (d) affordability ratios. </w:t>
      </w:r>
    </w:p>
    <w:p w14:paraId="2851755B" w14:textId="77777777" w:rsidR="001C3F79" w:rsidRPr="00050F51" w:rsidRDefault="001C3F79">
      <w:pPr>
        <w:rPr>
          <w:rFonts w:ascii="Arial" w:eastAsia="Arial" w:hAnsi="Arial" w:cs="Arial"/>
          <w:b/>
          <w:bCs/>
          <w:sz w:val="20"/>
          <w:szCs w:val="20"/>
        </w:rPr>
      </w:pPr>
    </w:p>
    <w:p w14:paraId="000000AC" w14:textId="008B415D" w:rsidR="0041056C" w:rsidRPr="00050F51" w:rsidRDefault="00000000" w:rsidP="00B56F00">
      <w:pPr>
        <w:pStyle w:val="SISectionHeading"/>
      </w:pPr>
      <w:r w:rsidRPr="00050F51">
        <w:lastRenderedPageBreak/>
        <w:t>Section S</w:t>
      </w:r>
      <w:r w:rsidR="001C3F79" w:rsidRPr="00050F51">
        <w:t>4</w:t>
      </w:r>
      <w:r w:rsidRPr="00050F51">
        <w:t>. Boxplots highlighting water supplies, demands, and bills under individual climate impacts</w:t>
      </w:r>
    </w:p>
    <w:p w14:paraId="000000AD" w14:textId="77777777" w:rsidR="0041056C" w:rsidRPr="00050F51" w:rsidRDefault="00000000" w:rsidP="00355BB8">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color w:val="000000"/>
          <w:sz w:val="20"/>
          <w:szCs w:val="20"/>
        </w:rPr>
        <w:t>The two figures below compare the distributions of water supplies, demands, and bills under the baseline scenario vs varying climate impacts with adaptation to provide additional context for Figure 4 in the text.</w:t>
      </w:r>
      <w:r w:rsidRPr="00050F51">
        <w:rPr>
          <w:rFonts w:ascii="Arial" w:eastAsia="Arial" w:hAnsi="Arial" w:cs="Arial"/>
          <w:sz w:val="20"/>
          <w:szCs w:val="20"/>
        </w:rPr>
        <w:t xml:space="preserve"> </w:t>
      </w:r>
    </w:p>
    <w:p w14:paraId="000000AE" w14:textId="77777777" w:rsidR="0041056C" w:rsidRPr="00050F51" w:rsidRDefault="00000000">
      <w:pPr>
        <w:pBdr>
          <w:top w:val="nil"/>
          <w:left w:val="nil"/>
          <w:bottom w:val="nil"/>
          <w:right w:val="nil"/>
          <w:between w:val="nil"/>
        </w:pBdr>
        <w:rPr>
          <w:rFonts w:ascii="Arial" w:eastAsia="Arial" w:hAnsi="Arial" w:cs="Arial"/>
          <w:color w:val="000000"/>
          <w:sz w:val="20"/>
          <w:szCs w:val="20"/>
        </w:rPr>
      </w:pPr>
      <w:r w:rsidRPr="00050F51">
        <w:rPr>
          <w:rFonts w:ascii="Arial" w:eastAsia="Arial" w:hAnsi="Arial" w:cs="Arial"/>
          <w:b/>
          <w:bCs/>
          <w:noProof/>
          <w:sz w:val="22"/>
          <w:szCs w:val="22"/>
        </w:rPr>
        <w:drawing>
          <wp:inline distT="114300" distB="114300" distL="114300" distR="114300" wp14:anchorId="418C9064" wp14:editId="488C1349">
            <wp:extent cx="5486400" cy="4038600"/>
            <wp:effectExtent l="0" t="0" r="0" b="0"/>
            <wp:docPr id="212162666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6"/>
                    <a:srcRect/>
                    <a:stretch>
                      <a:fillRect/>
                    </a:stretch>
                  </pic:blipFill>
                  <pic:spPr>
                    <a:xfrm>
                      <a:off x="0" y="0"/>
                      <a:ext cx="5486400" cy="4038600"/>
                    </a:xfrm>
                    <a:prstGeom prst="rect">
                      <a:avLst/>
                    </a:prstGeom>
                    <a:ln/>
                  </pic:spPr>
                </pic:pic>
              </a:graphicData>
            </a:graphic>
          </wp:inline>
        </w:drawing>
      </w:r>
    </w:p>
    <w:p w14:paraId="000000AF" w14:textId="705FEC81" w:rsidR="0041056C" w:rsidRPr="00050F51" w:rsidRDefault="00000000" w:rsidP="004E5254">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b/>
          <w:bCs/>
          <w:color w:val="000000"/>
          <w:sz w:val="20"/>
          <w:szCs w:val="20"/>
        </w:rPr>
        <w:t>Fig. S</w:t>
      </w:r>
      <w:r w:rsidR="001C3F79" w:rsidRPr="00050F51">
        <w:rPr>
          <w:rFonts w:ascii="Arial" w:eastAsia="Arial" w:hAnsi="Arial" w:cs="Arial"/>
          <w:b/>
          <w:bCs/>
          <w:sz w:val="20"/>
          <w:szCs w:val="20"/>
        </w:rPr>
        <w:t>7</w:t>
      </w:r>
      <w:r w:rsidRPr="00050F51">
        <w:rPr>
          <w:rFonts w:ascii="Arial" w:eastAsia="Arial" w:hAnsi="Arial" w:cs="Arial"/>
          <w:b/>
          <w:bCs/>
          <w:color w:val="000000"/>
          <w:sz w:val="20"/>
          <w:szCs w:val="20"/>
        </w:rPr>
        <w:t>.</w:t>
      </w:r>
      <w:r w:rsidRPr="00050F51">
        <w:rPr>
          <w:rFonts w:ascii="Arial" w:eastAsia="Arial" w:hAnsi="Arial" w:cs="Arial"/>
          <w:color w:val="000000"/>
          <w:sz w:val="20"/>
          <w:szCs w:val="20"/>
        </w:rPr>
        <w:t xml:space="preserve"> Boxplots comparing the distribution of a) available inflows to the Graham Hill Water Treatment Plant and b) total water demands under the baseline scenario vs varying climate impacts with adaptation. Climate impacts include: average precipitation (percentage of historical average), precipitation variability (multiplier relative to historical average), and temperature (change from historical average in degrees Celsius). Distributions show monthly values across each subset of sampled climate simulations.</w:t>
      </w:r>
    </w:p>
    <w:p w14:paraId="000000B0" w14:textId="77777777" w:rsidR="0041056C" w:rsidRPr="00050F51" w:rsidRDefault="00000000">
      <w:pPr>
        <w:keepNext/>
        <w:pBdr>
          <w:top w:val="nil"/>
          <w:left w:val="nil"/>
          <w:bottom w:val="nil"/>
          <w:right w:val="nil"/>
          <w:between w:val="nil"/>
        </w:pBdr>
        <w:spacing w:before="240" w:after="60"/>
        <w:rPr>
          <w:rFonts w:ascii="Arial" w:eastAsia="Arial" w:hAnsi="Arial" w:cs="Arial"/>
          <w:b/>
          <w:bCs/>
          <w:color w:val="000000"/>
          <w:sz w:val="20"/>
          <w:szCs w:val="20"/>
        </w:rPr>
      </w:pPr>
      <w:r w:rsidRPr="00050F51">
        <w:rPr>
          <w:rFonts w:ascii="Arial" w:eastAsia="Arial" w:hAnsi="Arial" w:cs="Arial"/>
          <w:b/>
          <w:bCs/>
          <w:noProof/>
          <w:sz w:val="20"/>
          <w:szCs w:val="20"/>
        </w:rPr>
        <w:lastRenderedPageBreak/>
        <w:drawing>
          <wp:inline distT="114300" distB="114300" distL="114300" distR="114300" wp14:anchorId="40CCB1E2" wp14:editId="07D10731">
            <wp:extent cx="5486400" cy="2159000"/>
            <wp:effectExtent l="0" t="0" r="0" b="0"/>
            <wp:docPr id="212162666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5486400" cy="2159000"/>
                    </a:xfrm>
                    <a:prstGeom prst="rect">
                      <a:avLst/>
                    </a:prstGeom>
                    <a:ln/>
                  </pic:spPr>
                </pic:pic>
              </a:graphicData>
            </a:graphic>
          </wp:inline>
        </w:drawing>
      </w:r>
    </w:p>
    <w:p w14:paraId="000000B2" w14:textId="410F9BC3" w:rsidR="0041056C" w:rsidRPr="00050F51" w:rsidRDefault="00000000" w:rsidP="004E5254">
      <w:pPr>
        <w:keepNext/>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b/>
          <w:bCs/>
          <w:color w:val="000000"/>
          <w:sz w:val="20"/>
          <w:szCs w:val="20"/>
        </w:rPr>
        <w:t>Fig. S</w:t>
      </w:r>
      <w:r w:rsidR="001C3F79" w:rsidRPr="00050F51">
        <w:rPr>
          <w:rFonts w:ascii="Arial" w:eastAsia="Arial" w:hAnsi="Arial" w:cs="Arial"/>
          <w:b/>
          <w:bCs/>
          <w:sz w:val="20"/>
          <w:szCs w:val="20"/>
        </w:rPr>
        <w:t>8.</w:t>
      </w:r>
      <w:r w:rsidRPr="00050F51">
        <w:rPr>
          <w:rFonts w:ascii="Arial" w:eastAsia="Arial" w:hAnsi="Arial" w:cs="Arial"/>
          <w:b/>
          <w:bCs/>
          <w:color w:val="000000"/>
          <w:sz w:val="20"/>
          <w:szCs w:val="20"/>
        </w:rPr>
        <w:t xml:space="preserve"> </w:t>
      </w:r>
      <w:r w:rsidRPr="00050F51">
        <w:rPr>
          <w:rFonts w:ascii="Arial" w:eastAsia="Arial" w:hAnsi="Arial" w:cs="Arial"/>
          <w:color w:val="000000"/>
          <w:sz w:val="20"/>
          <w:szCs w:val="20"/>
        </w:rPr>
        <w:t>Boxplots comparing the distribution of monthly water bills between the baseline scenario vs varying climate impacts with adaptation. Climate impacts include: average precipitation (percentage of historical average), precipitation variability (multiplier relative to historical average), and temperature (change from historical average in degrees Celsius). Distributions show monthly values for all households across each subset of sampled climate simulations.</w:t>
      </w:r>
    </w:p>
    <w:p w14:paraId="000000B3" w14:textId="5B677007" w:rsidR="0041056C" w:rsidRPr="00050F51" w:rsidRDefault="00000000" w:rsidP="00B56F00">
      <w:pPr>
        <w:pStyle w:val="SISectionHeading"/>
      </w:pPr>
      <w:r w:rsidRPr="00050F51">
        <w:t>Section S</w:t>
      </w:r>
      <w:r w:rsidR="001C3F79" w:rsidRPr="00050F51">
        <w:t>5</w:t>
      </w:r>
      <w:r w:rsidRPr="00050F51">
        <w:t>. Details on choosing the baseline infrastructure investment planning strategy</w:t>
      </w:r>
    </w:p>
    <w:p w14:paraId="000000B4" w14:textId="12FA5257" w:rsidR="0041056C" w:rsidRPr="00050F51" w:rsidRDefault="00000000" w:rsidP="00355BB8">
      <w:pPr>
        <w:spacing w:after="120"/>
        <w:rPr>
          <w:rFonts w:ascii="Arial" w:eastAsia="Arial" w:hAnsi="Arial" w:cs="Arial"/>
          <w:sz w:val="20"/>
          <w:szCs w:val="20"/>
        </w:rPr>
      </w:pPr>
      <w:r w:rsidRPr="00050F51">
        <w:rPr>
          <w:rFonts w:ascii="Arial" w:eastAsia="Arial" w:hAnsi="Arial" w:cs="Arial"/>
          <w:sz w:val="20"/>
          <w:szCs w:val="20"/>
        </w:rPr>
        <w:t xml:space="preserve">As discussed in the </w:t>
      </w:r>
      <w:r w:rsidRPr="00050F51">
        <w:rPr>
          <w:rFonts w:ascii="Arial" w:eastAsia="Arial" w:hAnsi="Arial" w:cs="Arial"/>
          <w:i/>
          <w:iCs/>
          <w:sz w:val="20"/>
          <w:szCs w:val="20"/>
        </w:rPr>
        <w:t>Results</w:t>
      </w:r>
      <w:r w:rsidRPr="00050F51">
        <w:rPr>
          <w:rFonts w:ascii="Arial" w:eastAsia="Arial" w:hAnsi="Arial" w:cs="Arial"/>
          <w:sz w:val="20"/>
          <w:szCs w:val="20"/>
        </w:rPr>
        <w:t>, our findings are dependent on the infrastructure investment strategy used to determine what new infrastructure is built and when we build it. We choose a baseline planning strategy (“Strategy A” in Figure 5) where a 4-MGD desalination plant is built first with a moderate risk-of-failure threshold value, as detailed in Table S</w:t>
      </w:r>
      <w:r w:rsidR="001C3F79" w:rsidRPr="00050F51">
        <w:rPr>
          <w:rFonts w:ascii="Arial" w:eastAsia="Arial" w:hAnsi="Arial" w:cs="Arial"/>
          <w:sz w:val="20"/>
          <w:szCs w:val="20"/>
        </w:rPr>
        <w:t>4</w:t>
      </w:r>
      <w:r w:rsidRPr="00050F51">
        <w:rPr>
          <w:rFonts w:ascii="Arial" w:eastAsia="Arial" w:hAnsi="Arial" w:cs="Arial"/>
          <w:sz w:val="20"/>
          <w:szCs w:val="20"/>
        </w:rPr>
        <w:t xml:space="preserve">. While building a desalination plant may </w:t>
      </w:r>
      <w:r w:rsidR="0034345C" w:rsidRPr="00050F51">
        <w:rPr>
          <w:rFonts w:ascii="Arial" w:eastAsia="Arial" w:hAnsi="Arial" w:cs="Arial"/>
          <w:sz w:val="20"/>
          <w:szCs w:val="20"/>
        </w:rPr>
        <w:t>face</w:t>
      </w:r>
      <w:r w:rsidRPr="00050F51">
        <w:rPr>
          <w:rFonts w:ascii="Arial" w:eastAsia="Arial" w:hAnsi="Arial" w:cs="Arial"/>
          <w:sz w:val="20"/>
          <w:szCs w:val="20"/>
        </w:rPr>
        <w:t xml:space="preserve"> social acceptance concerns, we use this baseline investment strategy for three reasons.</w:t>
      </w:r>
    </w:p>
    <w:p w14:paraId="000000B5" w14:textId="74A36638" w:rsidR="0041056C" w:rsidRPr="00050F51" w:rsidRDefault="00000000" w:rsidP="004E5254">
      <w:pPr>
        <w:spacing w:before="120"/>
        <w:rPr>
          <w:rFonts w:ascii="Arial" w:eastAsia="Arial" w:hAnsi="Arial" w:cs="Arial"/>
          <w:sz w:val="20"/>
          <w:szCs w:val="20"/>
        </w:rPr>
      </w:pPr>
      <w:r w:rsidRPr="00050F51">
        <w:rPr>
          <w:rFonts w:ascii="Arial" w:eastAsia="Arial" w:hAnsi="Arial" w:cs="Arial"/>
          <w:b/>
          <w:bCs/>
          <w:sz w:val="20"/>
          <w:szCs w:val="20"/>
        </w:rPr>
        <w:t>Table S</w:t>
      </w:r>
      <w:r w:rsidR="001C3F79" w:rsidRPr="00050F51">
        <w:rPr>
          <w:rFonts w:ascii="Arial" w:eastAsia="Arial" w:hAnsi="Arial" w:cs="Arial"/>
          <w:b/>
          <w:bCs/>
          <w:sz w:val="20"/>
          <w:szCs w:val="20"/>
        </w:rPr>
        <w:t>4</w:t>
      </w:r>
      <w:r w:rsidRPr="00050F51">
        <w:rPr>
          <w:rFonts w:ascii="Arial" w:eastAsia="Arial" w:hAnsi="Arial" w:cs="Arial"/>
          <w:b/>
          <w:bCs/>
          <w:sz w:val="20"/>
          <w:szCs w:val="20"/>
        </w:rPr>
        <w:t>.</w:t>
      </w:r>
      <w:r w:rsidRPr="00050F51">
        <w:rPr>
          <w:rFonts w:ascii="Arial" w:eastAsia="Arial" w:hAnsi="Arial" w:cs="Arial"/>
          <w:sz w:val="20"/>
          <w:szCs w:val="20"/>
        </w:rPr>
        <w:t xml:space="preserve"> Infrastructure planning strategy parameters</w:t>
      </w:r>
    </w:p>
    <w:tbl>
      <w:tblPr>
        <w:tblStyle w:val="a9"/>
        <w:tblW w:w="91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40"/>
        <w:gridCol w:w="1785"/>
        <w:gridCol w:w="1191"/>
        <w:gridCol w:w="1191"/>
        <w:gridCol w:w="1191"/>
        <w:gridCol w:w="1191"/>
        <w:gridCol w:w="1191"/>
      </w:tblGrid>
      <w:tr w:rsidR="0041056C" w:rsidRPr="00050F51" w14:paraId="65C11E68" w14:textId="77777777" w:rsidTr="002A3F71">
        <w:trPr>
          <w:trHeight w:val="20"/>
        </w:trPr>
        <w:tc>
          <w:tcPr>
            <w:tcW w:w="1440" w:type="dxa"/>
            <w:vMerge w:val="restart"/>
            <w:tcMar>
              <w:top w:w="100" w:type="dxa"/>
              <w:left w:w="100" w:type="dxa"/>
              <w:bottom w:w="100" w:type="dxa"/>
              <w:right w:w="100" w:type="dxa"/>
            </w:tcMar>
          </w:tcPr>
          <w:p w14:paraId="000000B6" w14:textId="5F483DA2" w:rsidR="0041056C" w:rsidRPr="00050F51" w:rsidRDefault="00000000" w:rsidP="002A3F71">
            <w:pPr>
              <w:widowControl w:val="0"/>
              <w:jc w:val="center"/>
              <w:rPr>
                <w:rFonts w:ascii="Arial" w:eastAsia="Arial" w:hAnsi="Arial" w:cs="Arial"/>
                <w:b/>
                <w:bCs/>
                <w:sz w:val="17"/>
                <w:szCs w:val="17"/>
              </w:rPr>
            </w:pPr>
            <w:r w:rsidRPr="00050F51">
              <w:rPr>
                <w:rFonts w:ascii="Arial" w:eastAsia="Arial" w:hAnsi="Arial" w:cs="Arial"/>
                <w:b/>
                <w:bCs/>
                <w:sz w:val="17"/>
                <w:szCs w:val="17"/>
              </w:rPr>
              <w:t>Strategy Name</w:t>
            </w:r>
          </w:p>
        </w:tc>
        <w:tc>
          <w:tcPr>
            <w:tcW w:w="1785" w:type="dxa"/>
            <w:vMerge w:val="restart"/>
            <w:tcMar>
              <w:top w:w="100" w:type="dxa"/>
              <w:left w:w="100" w:type="dxa"/>
              <w:bottom w:w="100" w:type="dxa"/>
              <w:right w:w="100" w:type="dxa"/>
            </w:tcMar>
          </w:tcPr>
          <w:p w14:paraId="000000B7" w14:textId="77777777" w:rsidR="0041056C" w:rsidRPr="00050F51" w:rsidRDefault="00000000" w:rsidP="002A3F71">
            <w:pPr>
              <w:widowControl w:val="0"/>
              <w:jc w:val="center"/>
              <w:rPr>
                <w:rFonts w:ascii="Arial" w:eastAsia="Arial" w:hAnsi="Arial" w:cs="Arial"/>
                <w:b/>
                <w:bCs/>
                <w:sz w:val="17"/>
                <w:szCs w:val="17"/>
              </w:rPr>
            </w:pPr>
            <w:r w:rsidRPr="00050F51">
              <w:rPr>
                <w:rFonts w:ascii="Arial" w:eastAsia="Arial" w:hAnsi="Arial" w:cs="Arial"/>
                <w:b/>
                <w:bCs/>
                <w:sz w:val="17"/>
                <w:szCs w:val="17"/>
              </w:rPr>
              <w:t>ROF Value (between 0 and 1)</w:t>
            </w:r>
          </w:p>
        </w:tc>
        <w:tc>
          <w:tcPr>
            <w:tcW w:w="5955" w:type="dxa"/>
            <w:gridSpan w:val="5"/>
            <w:tcMar>
              <w:top w:w="100" w:type="dxa"/>
              <w:left w:w="100" w:type="dxa"/>
              <w:bottom w:w="100" w:type="dxa"/>
              <w:right w:w="100" w:type="dxa"/>
            </w:tcMar>
          </w:tcPr>
          <w:p w14:paraId="000000B8" w14:textId="77777777" w:rsidR="0041056C" w:rsidRPr="00050F51" w:rsidRDefault="00000000" w:rsidP="002A3F71">
            <w:pPr>
              <w:widowControl w:val="0"/>
              <w:jc w:val="center"/>
              <w:rPr>
                <w:rFonts w:ascii="Arial" w:eastAsia="Arial" w:hAnsi="Arial" w:cs="Arial"/>
                <w:b/>
                <w:bCs/>
                <w:sz w:val="17"/>
                <w:szCs w:val="17"/>
              </w:rPr>
            </w:pPr>
            <w:r w:rsidRPr="00050F51">
              <w:rPr>
                <w:rFonts w:ascii="Arial" w:eastAsia="Arial" w:hAnsi="Arial" w:cs="Arial"/>
                <w:b/>
                <w:bCs/>
                <w:sz w:val="17"/>
                <w:szCs w:val="17"/>
              </w:rPr>
              <w:t>Infrastructure Deployment Order</w:t>
            </w:r>
          </w:p>
        </w:tc>
      </w:tr>
      <w:tr w:rsidR="0041056C" w:rsidRPr="00050F51" w14:paraId="3CB868BA" w14:textId="77777777" w:rsidTr="002A3F71">
        <w:trPr>
          <w:trHeight w:val="20"/>
        </w:trPr>
        <w:tc>
          <w:tcPr>
            <w:tcW w:w="1440" w:type="dxa"/>
            <w:vMerge/>
            <w:tcMar>
              <w:top w:w="100" w:type="dxa"/>
              <w:left w:w="100" w:type="dxa"/>
              <w:bottom w:w="100" w:type="dxa"/>
              <w:right w:w="100" w:type="dxa"/>
            </w:tcMar>
          </w:tcPr>
          <w:p w14:paraId="000000BD" w14:textId="77777777" w:rsidR="0041056C" w:rsidRPr="00050F51" w:rsidRDefault="0041056C" w:rsidP="002A3F71">
            <w:pPr>
              <w:widowControl w:val="0"/>
              <w:rPr>
                <w:rFonts w:ascii="Arial" w:eastAsia="Arial" w:hAnsi="Arial" w:cs="Arial"/>
                <w:b/>
                <w:bCs/>
                <w:sz w:val="17"/>
                <w:szCs w:val="17"/>
              </w:rPr>
            </w:pPr>
          </w:p>
        </w:tc>
        <w:tc>
          <w:tcPr>
            <w:tcW w:w="1785" w:type="dxa"/>
            <w:vMerge/>
            <w:tcMar>
              <w:top w:w="100" w:type="dxa"/>
              <w:left w:w="100" w:type="dxa"/>
              <w:bottom w:w="100" w:type="dxa"/>
              <w:right w:w="100" w:type="dxa"/>
            </w:tcMar>
          </w:tcPr>
          <w:p w14:paraId="000000BE" w14:textId="77777777" w:rsidR="0041056C" w:rsidRPr="00050F51" w:rsidRDefault="0041056C" w:rsidP="002A3F71">
            <w:pPr>
              <w:widowControl w:val="0"/>
              <w:rPr>
                <w:rFonts w:ascii="Arial" w:eastAsia="Arial" w:hAnsi="Arial" w:cs="Arial"/>
                <w:b/>
                <w:bCs/>
                <w:sz w:val="17"/>
                <w:szCs w:val="17"/>
              </w:rPr>
            </w:pPr>
          </w:p>
        </w:tc>
        <w:tc>
          <w:tcPr>
            <w:tcW w:w="1191" w:type="dxa"/>
            <w:tcMar>
              <w:top w:w="100" w:type="dxa"/>
              <w:left w:w="100" w:type="dxa"/>
              <w:bottom w:w="100" w:type="dxa"/>
              <w:right w:w="100" w:type="dxa"/>
            </w:tcMar>
          </w:tcPr>
          <w:p w14:paraId="000000BF" w14:textId="77777777" w:rsidR="0041056C" w:rsidRPr="00050F51" w:rsidRDefault="00000000" w:rsidP="002A3F71">
            <w:pPr>
              <w:widowControl w:val="0"/>
              <w:jc w:val="center"/>
              <w:rPr>
                <w:rFonts w:ascii="Arial" w:eastAsia="Arial" w:hAnsi="Arial" w:cs="Arial"/>
                <w:b/>
                <w:bCs/>
                <w:sz w:val="17"/>
                <w:szCs w:val="17"/>
              </w:rPr>
            </w:pPr>
            <w:r w:rsidRPr="00050F51">
              <w:rPr>
                <w:rFonts w:ascii="Arial" w:eastAsia="Arial" w:hAnsi="Arial" w:cs="Arial"/>
                <w:b/>
                <w:bCs/>
                <w:sz w:val="17"/>
                <w:szCs w:val="17"/>
              </w:rPr>
              <w:t>First</w:t>
            </w:r>
          </w:p>
        </w:tc>
        <w:tc>
          <w:tcPr>
            <w:tcW w:w="1191" w:type="dxa"/>
            <w:tcMar>
              <w:top w:w="100" w:type="dxa"/>
              <w:left w:w="100" w:type="dxa"/>
              <w:bottom w:w="100" w:type="dxa"/>
              <w:right w:w="100" w:type="dxa"/>
            </w:tcMar>
          </w:tcPr>
          <w:p w14:paraId="000000C0" w14:textId="77777777" w:rsidR="0041056C" w:rsidRPr="00050F51" w:rsidRDefault="00000000" w:rsidP="002A3F71">
            <w:pPr>
              <w:widowControl w:val="0"/>
              <w:jc w:val="center"/>
              <w:rPr>
                <w:rFonts w:ascii="Arial" w:eastAsia="Arial" w:hAnsi="Arial" w:cs="Arial"/>
                <w:b/>
                <w:bCs/>
                <w:sz w:val="17"/>
                <w:szCs w:val="17"/>
              </w:rPr>
            </w:pPr>
            <w:r w:rsidRPr="00050F51">
              <w:rPr>
                <w:rFonts w:ascii="Arial" w:eastAsia="Arial" w:hAnsi="Arial" w:cs="Arial"/>
                <w:b/>
                <w:bCs/>
                <w:sz w:val="17"/>
                <w:szCs w:val="17"/>
              </w:rPr>
              <w:t>Second</w:t>
            </w:r>
          </w:p>
        </w:tc>
        <w:tc>
          <w:tcPr>
            <w:tcW w:w="1191" w:type="dxa"/>
            <w:tcMar>
              <w:top w:w="100" w:type="dxa"/>
              <w:left w:w="100" w:type="dxa"/>
              <w:bottom w:w="100" w:type="dxa"/>
              <w:right w:w="100" w:type="dxa"/>
            </w:tcMar>
          </w:tcPr>
          <w:p w14:paraId="000000C1" w14:textId="77777777" w:rsidR="0041056C" w:rsidRPr="00050F51" w:rsidRDefault="00000000" w:rsidP="002A3F71">
            <w:pPr>
              <w:widowControl w:val="0"/>
              <w:jc w:val="center"/>
              <w:rPr>
                <w:rFonts w:ascii="Arial" w:eastAsia="Arial" w:hAnsi="Arial" w:cs="Arial"/>
                <w:b/>
                <w:bCs/>
                <w:sz w:val="17"/>
                <w:szCs w:val="17"/>
              </w:rPr>
            </w:pPr>
            <w:r w:rsidRPr="00050F51">
              <w:rPr>
                <w:rFonts w:ascii="Arial" w:eastAsia="Arial" w:hAnsi="Arial" w:cs="Arial"/>
                <w:b/>
                <w:bCs/>
                <w:sz w:val="17"/>
                <w:szCs w:val="17"/>
              </w:rPr>
              <w:t>Third</w:t>
            </w:r>
          </w:p>
        </w:tc>
        <w:tc>
          <w:tcPr>
            <w:tcW w:w="1191" w:type="dxa"/>
            <w:tcMar>
              <w:top w:w="100" w:type="dxa"/>
              <w:left w:w="100" w:type="dxa"/>
              <w:bottom w:w="100" w:type="dxa"/>
              <w:right w:w="100" w:type="dxa"/>
            </w:tcMar>
          </w:tcPr>
          <w:p w14:paraId="000000C2" w14:textId="77777777" w:rsidR="0041056C" w:rsidRPr="00050F51" w:rsidRDefault="00000000" w:rsidP="002A3F71">
            <w:pPr>
              <w:widowControl w:val="0"/>
              <w:jc w:val="center"/>
              <w:rPr>
                <w:rFonts w:ascii="Arial" w:eastAsia="Arial" w:hAnsi="Arial" w:cs="Arial"/>
                <w:b/>
                <w:bCs/>
                <w:sz w:val="17"/>
                <w:szCs w:val="17"/>
              </w:rPr>
            </w:pPr>
            <w:r w:rsidRPr="00050F51">
              <w:rPr>
                <w:rFonts w:ascii="Arial" w:eastAsia="Arial" w:hAnsi="Arial" w:cs="Arial"/>
                <w:b/>
                <w:bCs/>
                <w:sz w:val="17"/>
                <w:szCs w:val="17"/>
              </w:rPr>
              <w:t>Fourth</w:t>
            </w:r>
          </w:p>
        </w:tc>
        <w:tc>
          <w:tcPr>
            <w:tcW w:w="1191" w:type="dxa"/>
            <w:tcMar>
              <w:top w:w="100" w:type="dxa"/>
              <w:left w:w="100" w:type="dxa"/>
              <w:bottom w:w="100" w:type="dxa"/>
              <w:right w:w="100" w:type="dxa"/>
            </w:tcMar>
          </w:tcPr>
          <w:p w14:paraId="000000C3" w14:textId="77777777" w:rsidR="0041056C" w:rsidRPr="00050F51" w:rsidRDefault="00000000" w:rsidP="002A3F71">
            <w:pPr>
              <w:widowControl w:val="0"/>
              <w:jc w:val="center"/>
              <w:rPr>
                <w:rFonts w:ascii="Arial" w:eastAsia="Arial" w:hAnsi="Arial" w:cs="Arial"/>
                <w:b/>
                <w:bCs/>
                <w:sz w:val="17"/>
                <w:szCs w:val="17"/>
              </w:rPr>
            </w:pPr>
            <w:r w:rsidRPr="00050F51">
              <w:rPr>
                <w:rFonts w:ascii="Arial" w:eastAsia="Arial" w:hAnsi="Arial" w:cs="Arial"/>
                <w:b/>
                <w:bCs/>
                <w:sz w:val="17"/>
                <w:szCs w:val="17"/>
              </w:rPr>
              <w:t>Fifth</w:t>
            </w:r>
          </w:p>
        </w:tc>
      </w:tr>
      <w:tr w:rsidR="0041056C" w:rsidRPr="00050F51" w14:paraId="09968576" w14:textId="77777777" w:rsidTr="002A3F71">
        <w:trPr>
          <w:trHeight w:val="20"/>
        </w:trPr>
        <w:tc>
          <w:tcPr>
            <w:tcW w:w="1440" w:type="dxa"/>
            <w:tcMar>
              <w:top w:w="100" w:type="dxa"/>
              <w:left w:w="100" w:type="dxa"/>
              <w:bottom w:w="100" w:type="dxa"/>
              <w:right w:w="100" w:type="dxa"/>
            </w:tcMar>
          </w:tcPr>
          <w:p w14:paraId="000000C4"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Strategy A: Baseline</w:t>
            </w:r>
          </w:p>
        </w:tc>
        <w:tc>
          <w:tcPr>
            <w:tcW w:w="1785" w:type="dxa"/>
            <w:tcMar>
              <w:top w:w="100" w:type="dxa"/>
              <w:left w:w="100" w:type="dxa"/>
              <w:bottom w:w="100" w:type="dxa"/>
              <w:right w:w="100" w:type="dxa"/>
            </w:tcMar>
          </w:tcPr>
          <w:p w14:paraId="000000C5"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0.65</w:t>
            </w:r>
          </w:p>
        </w:tc>
        <w:tc>
          <w:tcPr>
            <w:tcW w:w="1191" w:type="dxa"/>
            <w:tcMar>
              <w:top w:w="100" w:type="dxa"/>
              <w:left w:w="100" w:type="dxa"/>
              <w:bottom w:w="100" w:type="dxa"/>
              <w:right w:w="100" w:type="dxa"/>
            </w:tcMar>
          </w:tcPr>
          <w:p w14:paraId="000000C6"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Desalination</w:t>
            </w:r>
          </w:p>
        </w:tc>
        <w:tc>
          <w:tcPr>
            <w:tcW w:w="1191" w:type="dxa"/>
            <w:tcMar>
              <w:top w:w="100" w:type="dxa"/>
              <w:left w:w="100" w:type="dxa"/>
              <w:bottom w:w="100" w:type="dxa"/>
              <w:right w:w="100" w:type="dxa"/>
            </w:tcMar>
          </w:tcPr>
          <w:p w14:paraId="000000C7"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Direct potable reuse (DPR)</w:t>
            </w:r>
          </w:p>
        </w:tc>
        <w:tc>
          <w:tcPr>
            <w:tcW w:w="1191" w:type="dxa"/>
            <w:tcMar>
              <w:top w:w="100" w:type="dxa"/>
              <w:left w:w="100" w:type="dxa"/>
              <w:bottom w:w="100" w:type="dxa"/>
              <w:right w:w="100" w:type="dxa"/>
            </w:tcMar>
          </w:tcPr>
          <w:p w14:paraId="000000C8"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Aquifer Storage &amp; Recharge (ASR)</w:t>
            </w:r>
          </w:p>
        </w:tc>
        <w:tc>
          <w:tcPr>
            <w:tcW w:w="1191" w:type="dxa"/>
            <w:tcMar>
              <w:top w:w="100" w:type="dxa"/>
              <w:left w:w="100" w:type="dxa"/>
              <w:bottom w:w="100" w:type="dxa"/>
              <w:right w:w="100" w:type="dxa"/>
            </w:tcMar>
          </w:tcPr>
          <w:p w14:paraId="000000C9"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Transfer option 1</w:t>
            </w:r>
          </w:p>
        </w:tc>
        <w:tc>
          <w:tcPr>
            <w:tcW w:w="1191" w:type="dxa"/>
            <w:tcMar>
              <w:top w:w="100" w:type="dxa"/>
              <w:left w:w="100" w:type="dxa"/>
              <w:bottom w:w="100" w:type="dxa"/>
              <w:right w:w="100" w:type="dxa"/>
            </w:tcMar>
          </w:tcPr>
          <w:p w14:paraId="000000CA"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Transfer option 2</w:t>
            </w:r>
          </w:p>
        </w:tc>
      </w:tr>
      <w:tr w:rsidR="0041056C" w:rsidRPr="00050F51" w14:paraId="6E8AA3D5" w14:textId="77777777" w:rsidTr="002A3F71">
        <w:trPr>
          <w:trHeight w:val="20"/>
        </w:trPr>
        <w:tc>
          <w:tcPr>
            <w:tcW w:w="1440" w:type="dxa"/>
            <w:tcMar>
              <w:top w:w="100" w:type="dxa"/>
              <w:left w:w="100" w:type="dxa"/>
              <w:bottom w:w="100" w:type="dxa"/>
              <w:right w:w="100" w:type="dxa"/>
            </w:tcMar>
          </w:tcPr>
          <w:p w14:paraId="000000CB"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Strategy B: Risk-averse</w:t>
            </w:r>
          </w:p>
        </w:tc>
        <w:tc>
          <w:tcPr>
            <w:tcW w:w="1785" w:type="dxa"/>
            <w:tcMar>
              <w:top w:w="100" w:type="dxa"/>
              <w:left w:w="100" w:type="dxa"/>
              <w:bottom w:w="100" w:type="dxa"/>
              <w:right w:w="100" w:type="dxa"/>
            </w:tcMar>
          </w:tcPr>
          <w:p w14:paraId="000000CC"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0.05</w:t>
            </w:r>
          </w:p>
        </w:tc>
        <w:tc>
          <w:tcPr>
            <w:tcW w:w="1191" w:type="dxa"/>
            <w:tcMar>
              <w:top w:w="100" w:type="dxa"/>
              <w:left w:w="100" w:type="dxa"/>
              <w:bottom w:w="100" w:type="dxa"/>
              <w:right w:w="100" w:type="dxa"/>
            </w:tcMar>
          </w:tcPr>
          <w:p w14:paraId="000000CD"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Desalination</w:t>
            </w:r>
          </w:p>
        </w:tc>
        <w:tc>
          <w:tcPr>
            <w:tcW w:w="1191" w:type="dxa"/>
            <w:tcMar>
              <w:top w:w="100" w:type="dxa"/>
              <w:left w:w="100" w:type="dxa"/>
              <w:bottom w:w="100" w:type="dxa"/>
              <w:right w:w="100" w:type="dxa"/>
            </w:tcMar>
          </w:tcPr>
          <w:p w14:paraId="000000CE"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Transfer option 1</w:t>
            </w:r>
          </w:p>
        </w:tc>
        <w:tc>
          <w:tcPr>
            <w:tcW w:w="1191" w:type="dxa"/>
            <w:tcMar>
              <w:top w:w="100" w:type="dxa"/>
              <w:left w:w="100" w:type="dxa"/>
              <w:bottom w:w="100" w:type="dxa"/>
              <w:right w:w="100" w:type="dxa"/>
            </w:tcMar>
          </w:tcPr>
          <w:p w14:paraId="000000CF"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DPR</w:t>
            </w:r>
          </w:p>
        </w:tc>
        <w:tc>
          <w:tcPr>
            <w:tcW w:w="1191" w:type="dxa"/>
            <w:tcMar>
              <w:top w:w="100" w:type="dxa"/>
              <w:left w:w="100" w:type="dxa"/>
              <w:bottom w:w="100" w:type="dxa"/>
              <w:right w:w="100" w:type="dxa"/>
            </w:tcMar>
          </w:tcPr>
          <w:p w14:paraId="000000D0"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ASR</w:t>
            </w:r>
          </w:p>
        </w:tc>
        <w:tc>
          <w:tcPr>
            <w:tcW w:w="1191" w:type="dxa"/>
            <w:tcMar>
              <w:top w:w="100" w:type="dxa"/>
              <w:left w:w="100" w:type="dxa"/>
              <w:bottom w:w="100" w:type="dxa"/>
              <w:right w:w="100" w:type="dxa"/>
            </w:tcMar>
          </w:tcPr>
          <w:p w14:paraId="000000D1"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Transfer option 2</w:t>
            </w:r>
          </w:p>
        </w:tc>
      </w:tr>
      <w:tr w:rsidR="0041056C" w:rsidRPr="00050F51" w14:paraId="57BC0369" w14:textId="77777777" w:rsidTr="002A3F71">
        <w:trPr>
          <w:trHeight w:val="20"/>
        </w:trPr>
        <w:tc>
          <w:tcPr>
            <w:tcW w:w="1440" w:type="dxa"/>
            <w:tcMar>
              <w:top w:w="100" w:type="dxa"/>
              <w:left w:w="100" w:type="dxa"/>
              <w:bottom w:w="100" w:type="dxa"/>
              <w:right w:w="100" w:type="dxa"/>
            </w:tcMar>
          </w:tcPr>
          <w:p w14:paraId="000000D2"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Strategy C: Risk-tolerant</w:t>
            </w:r>
          </w:p>
        </w:tc>
        <w:tc>
          <w:tcPr>
            <w:tcW w:w="1785" w:type="dxa"/>
            <w:tcMar>
              <w:top w:w="100" w:type="dxa"/>
              <w:left w:w="100" w:type="dxa"/>
              <w:bottom w:w="100" w:type="dxa"/>
              <w:right w:w="100" w:type="dxa"/>
            </w:tcMar>
          </w:tcPr>
          <w:p w14:paraId="000000D3"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0.89</w:t>
            </w:r>
          </w:p>
        </w:tc>
        <w:tc>
          <w:tcPr>
            <w:tcW w:w="1191" w:type="dxa"/>
            <w:tcMar>
              <w:top w:w="100" w:type="dxa"/>
              <w:left w:w="100" w:type="dxa"/>
              <w:bottom w:w="100" w:type="dxa"/>
              <w:right w:w="100" w:type="dxa"/>
            </w:tcMar>
          </w:tcPr>
          <w:p w14:paraId="000000D4"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ASR</w:t>
            </w:r>
          </w:p>
        </w:tc>
        <w:tc>
          <w:tcPr>
            <w:tcW w:w="1191" w:type="dxa"/>
            <w:tcMar>
              <w:top w:w="100" w:type="dxa"/>
              <w:left w:w="100" w:type="dxa"/>
              <w:bottom w:w="100" w:type="dxa"/>
              <w:right w:w="100" w:type="dxa"/>
            </w:tcMar>
          </w:tcPr>
          <w:p w14:paraId="000000D5"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Transfer option 2</w:t>
            </w:r>
          </w:p>
        </w:tc>
        <w:tc>
          <w:tcPr>
            <w:tcW w:w="1191" w:type="dxa"/>
            <w:tcMar>
              <w:top w:w="100" w:type="dxa"/>
              <w:left w:w="100" w:type="dxa"/>
              <w:bottom w:w="100" w:type="dxa"/>
              <w:right w:w="100" w:type="dxa"/>
            </w:tcMar>
          </w:tcPr>
          <w:p w14:paraId="000000D6"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DPR</w:t>
            </w:r>
          </w:p>
        </w:tc>
        <w:tc>
          <w:tcPr>
            <w:tcW w:w="1191" w:type="dxa"/>
            <w:tcMar>
              <w:top w:w="100" w:type="dxa"/>
              <w:left w:w="100" w:type="dxa"/>
              <w:bottom w:w="100" w:type="dxa"/>
              <w:right w:w="100" w:type="dxa"/>
            </w:tcMar>
          </w:tcPr>
          <w:p w14:paraId="000000D7" w14:textId="77777777"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Desalination</w:t>
            </w:r>
          </w:p>
        </w:tc>
        <w:tc>
          <w:tcPr>
            <w:tcW w:w="1191" w:type="dxa"/>
            <w:tcMar>
              <w:top w:w="100" w:type="dxa"/>
              <w:left w:w="100" w:type="dxa"/>
              <w:bottom w:w="100" w:type="dxa"/>
              <w:right w:w="100" w:type="dxa"/>
            </w:tcMar>
          </w:tcPr>
          <w:p w14:paraId="000000D8" w14:textId="2BBF2702" w:rsidR="0041056C" w:rsidRPr="00050F51" w:rsidRDefault="00000000" w:rsidP="002A3F71">
            <w:pPr>
              <w:widowControl w:val="0"/>
              <w:rPr>
                <w:rFonts w:ascii="Arial" w:eastAsia="Arial" w:hAnsi="Arial" w:cs="Arial"/>
                <w:sz w:val="17"/>
                <w:szCs w:val="17"/>
              </w:rPr>
            </w:pPr>
            <w:r w:rsidRPr="00050F51">
              <w:rPr>
                <w:rFonts w:ascii="Arial" w:eastAsia="Arial" w:hAnsi="Arial" w:cs="Arial"/>
                <w:sz w:val="17"/>
                <w:szCs w:val="17"/>
              </w:rPr>
              <w:t>Transfer option 1</w:t>
            </w:r>
          </w:p>
        </w:tc>
      </w:tr>
    </w:tbl>
    <w:p w14:paraId="000000D9" w14:textId="77777777" w:rsidR="0041056C" w:rsidRPr="00050F51" w:rsidRDefault="0041056C">
      <w:pPr>
        <w:rPr>
          <w:rFonts w:ascii="Arial" w:eastAsia="Arial" w:hAnsi="Arial" w:cs="Arial"/>
          <w:sz w:val="20"/>
          <w:szCs w:val="20"/>
        </w:rPr>
      </w:pPr>
    </w:p>
    <w:p w14:paraId="000000DB" w14:textId="07123F31" w:rsidR="0041056C" w:rsidRPr="00050F51" w:rsidRDefault="00000000" w:rsidP="00355BB8">
      <w:pPr>
        <w:spacing w:after="120"/>
        <w:rPr>
          <w:rFonts w:ascii="Arial" w:eastAsia="Arial" w:hAnsi="Arial" w:cs="Arial"/>
          <w:sz w:val="20"/>
          <w:szCs w:val="20"/>
        </w:rPr>
      </w:pPr>
      <w:r w:rsidRPr="00050F51">
        <w:rPr>
          <w:rFonts w:ascii="Arial" w:eastAsia="Arial" w:hAnsi="Arial" w:cs="Arial"/>
          <w:sz w:val="20"/>
          <w:szCs w:val="20"/>
        </w:rPr>
        <w:t>First, the desalination plant is the only single infrastructure option that avoids large deficits in some climate scenarios. We model and assess this by checking the reservoir storage, total water demands, unmet demands, and reliability under ten climate simulations with historical climate characteristics (Figure S</w:t>
      </w:r>
      <w:r w:rsidR="001C3F79" w:rsidRPr="00050F51">
        <w:rPr>
          <w:rFonts w:ascii="Arial" w:eastAsia="Arial" w:hAnsi="Arial" w:cs="Arial"/>
          <w:sz w:val="20"/>
          <w:szCs w:val="20"/>
        </w:rPr>
        <w:t>9</w:t>
      </w:r>
      <w:r w:rsidRPr="00050F51">
        <w:rPr>
          <w:rFonts w:ascii="Arial" w:eastAsia="Arial" w:hAnsi="Arial" w:cs="Arial"/>
          <w:sz w:val="20"/>
          <w:szCs w:val="20"/>
        </w:rPr>
        <w:t>). We find that this planning strategy matches historic water reliability levels in Santa Cruz, where reliability almost always stays near or above 70%, consistent with reliability levels during the 2013 California drought.</w:t>
      </w:r>
      <w:r w:rsidR="0022316E" w:rsidRPr="00050F51">
        <w:rPr>
          <w:rFonts w:ascii="Arial" w:eastAsia="Arial" w:hAnsi="Arial" w:cs="Arial"/>
          <w:sz w:val="20"/>
          <w:szCs w:val="20"/>
        </w:rPr>
        <w:fldChar w:fldCharType="begin"/>
      </w:r>
      <w:r w:rsidR="0022316E" w:rsidRPr="00050F51">
        <w:rPr>
          <w:rFonts w:ascii="Arial" w:eastAsia="Arial" w:hAnsi="Arial" w:cs="Arial"/>
          <w:sz w:val="20"/>
          <w:szCs w:val="20"/>
        </w:rPr>
        <w:instrText xml:space="preserve"> ADDIN ZOTERO_ITEM CSL_CITATION {"citationID":"3RS0EiMz","properties":{"formattedCitation":"\\super 11\\nosupersub{}","plainCitation":"11","noteIndex":0},"citationItems":[{"id":7906,"uris":["http://zotero.org/users/3174049/items/B94P2NNH"],"itemData":{"id":7906,"type":"report","publisher":"City of Santa Cruz Water Department","publisher-place":"Santa Cruz, CA","title":"2020 Urban Water Management Plan","URL":"https://www.cityofsantacruz.com/home/showpublisheddocument/87122/637739611535800000","author":[{"family":"Perez","given":"Sarah Easley"}],"issued":{"date-parts":[["2021",11]]}}}],"schema":"https://github.com/citation-style-language/schema/raw/master/csl-citation.json"} </w:instrText>
      </w:r>
      <w:r w:rsidR="0022316E" w:rsidRPr="00050F51">
        <w:rPr>
          <w:rFonts w:ascii="Arial" w:eastAsia="Arial" w:hAnsi="Arial" w:cs="Arial"/>
          <w:sz w:val="20"/>
          <w:szCs w:val="20"/>
        </w:rPr>
        <w:fldChar w:fldCharType="separate"/>
      </w:r>
      <w:r w:rsidR="0022316E" w:rsidRPr="00050F51">
        <w:rPr>
          <w:rFonts w:ascii="Arial" w:hAnsi="Arial" w:cs="Arial"/>
          <w:sz w:val="20"/>
          <w:vertAlign w:val="superscript"/>
          <w:lang w:val="en-US"/>
        </w:rPr>
        <w:t>11</w:t>
      </w:r>
      <w:r w:rsidR="0022316E" w:rsidRPr="00050F51">
        <w:rPr>
          <w:rFonts w:ascii="Arial" w:eastAsia="Arial" w:hAnsi="Arial" w:cs="Arial"/>
          <w:sz w:val="20"/>
          <w:szCs w:val="20"/>
        </w:rPr>
        <w:fldChar w:fldCharType="end"/>
      </w:r>
      <w:r w:rsidRPr="00050F51">
        <w:rPr>
          <w:rFonts w:ascii="Arial" w:eastAsia="Arial" w:hAnsi="Arial" w:cs="Arial"/>
          <w:sz w:val="20"/>
          <w:szCs w:val="20"/>
        </w:rPr>
        <w:t xml:space="preserve"> Other infrastructure options with similar reliability deploy infrastructure multiple times (e.g., DPR and then desalination), leading to even higher costs and worse affordability outcomes. This is shown in Figure S</w:t>
      </w:r>
      <w:r w:rsidR="001C3F79" w:rsidRPr="00050F51">
        <w:rPr>
          <w:rFonts w:ascii="Arial" w:eastAsia="Arial" w:hAnsi="Arial" w:cs="Arial"/>
          <w:sz w:val="20"/>
          <w:szCs w:val="20"/>
        </w:rPr>
        <w:t>10</w:t>
      </w:r>
      <w:r w:rsidRPr="00050F51">
        <w:rPr>
          <w:rFonts w:ascii="Arial" w:eastAsia="Arial" w:hAnsi="Arial" w:cs="Arial"/>
          <w:sz w:val="20"/>
          <w:szCs w:val="20"/>
        </w:rPr>
        <w:t>, where, since the DPR plant has a smaller capacity, more infrastructure is likely to be triggered, increasing utility costs and hence, household water bills and affordability outcomes.</w:t>
      </w:r>
    </w:p>
    <w:p w14:paraId="000000DC" w14:textId="77777777" w:rsidR="0041056C" w:rsidRPr="00050F51" w:rsidRDefault="00000000" w:rsidP="00355BB8">
      <w:pPr>
        <w:spacing w:after="120"/>
        <w:rPr>
          <w:rFonts w:ascii="Arial" w:eastAsia="Arial" w:hAnsi="Arial" w:cs="Arial"/>
          <w:sz w:val="20"/>
          <w:szCs w:val="20"/>
        </w:rPr>
      </w:pPr>
      <w:r w:rsidRPr="00050F51">
        <w:rPr>
          <w:rFonts w:ascii="Arial" w:eastAsia="Arial" w:hAnsi="Arial" w:cs="Arial"/>
          <w:sz w:val="20"/>
          <w:szCs w:val="20"/>
        </w:rPr>
        <w:lastRenderedPageBreak/>
        <w:t>Second, given that we use a multi-objective optimization approach to explore infrastructure options that give different priorities to reliability and cost, the two objectives we optimize for, we wanted to choose a baseline that roughly prioritizes these objectives equally. This infrastructure option does exactly that: its risk-of-failure threshold is close to the median of all the optimized thresholds, and its simulated reliability and cost values are close to the median across all simulated portfolios of infrastructure options. Third, the Santa Cruz Water Department has identified desalination as a preferred option for the same reason that our analysis identified: it is the most cost effective way to ensure long-term climate resilience. So while public acceptance is a potential concern, it is something the city government is actively addressing.</w:t>
      </w:r>
    </w:p>
    <w:p w14:paraId="000000DD" w14:textId="77777777" w:rsidR="0041056C" w:rsidRPr="00050F51" w:rsidRDefault="0041056C">
      <w:pPr>
        <w:ind w:left="720"/>
        <w:rPr>
          <w:rFonts w:ascii="Arial" w:eastAsia="Arial" w:hAnsi="Arial" w:cs="Arial"/>
          <w:color w:val="38761D"/>
        </w:rPr>
      </w:pPr>
    </w:p>
    <w:p w14:paraId="000000DE" w14:textId="77777777" w:rsidR="0041056C" w:rsidRPr="00050F51" w:rsidRDefault="00000000">
      <w:pPr>
        <w:ind w:left="720"/>
        <w:rPr>
          <w:rFonts w:ascii="Arial" w:eastAsia="Arial" w:hAnsi="Arial" w:cs="Arial"/>
          <w:color w:val="0432FF"/>
        </w:rPr>
      </w:pPr>
      <w:r w:rsidRPr="00050F51">
        <w:rPr>
          <w:rFonts w:ascii="Arial" w:eastAsia="Arial" w:hAnsi="Arial" w:cs="Arial"/>
          <w:noProof/>
          <w:color w:val="0432FF"/>
        </w:rPr>
        <w:drawing>
          <wp:inline distT="0" distB="0" distL="0" distR="0" wp14:anchorId="790D9F57" wp14:editId="1AA6C3D2">
            <wp:extent cx="4864831" cy="4746588"/>
            <wp:effectExtent l="0" t="0" r="0" b="0"/>
            <wp:docPr id="212162667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a:stretch>
                      <a:fillRect/>
                    </a:stretch>
                  </pic:blipFill>
                  <pic:spPr>
                    <a:xfrm>
                      <a:off x="0" y="0"/>
                      <a:ext cx="4864831" cy="4746588"/>
                    </a:xfrm>
                    <a:prstGeom prst="rect">
                      <a:avLst/>
                    </a:prstGeom>
                    <a:ln/>
                  </pic:spPr>
                </pic:pic>
              </a:graphicData>
            </a:graphic>
          </wp:inline>
        </w:drawing>
      </w:r>
    </w:p>
    <w:p w14:paraId="000000DF" w14:textId="6F77D215" w:rsidR="0041056C" w:rsidRPr="00050F51" w:rsidRDefault="00000000" w:rsidP="004E5254">
      <w:pPr>
        <w:spacing w:after="120"/>
        <w:rPr>
          <w:rFonts w:ascii="Arial" w:eastAsia="Arial" w:hAnsi="Arial" w:cs="Arial"/>
          <w:sz w:val="20"/>
          <w:szCs w:val="20"/>
        </w:rPr>
      </w:pPr>
      <w:r w:rsidRPr="00050F51">
        <w:rPr>
          <w:rFonts w:ascii="Arial" w:eastAsia="Arial" w:hAnsi="Arial" w:cs="Arial"/>
          <w:b/>
          <w:bCs/>
          <w:sz w:val="20"/>
          <w:szCs w:val="20"/>
        </w:rPr>
        <w:t>Fig. S</w:t>
      </w:r>
      <w:r w:rsidR="001C3F79" w:rsidRPr="00050F51">
        <w:rPr>
          <w:rFonts w:ascii="Arial" w:eastAsia="Arial" w:hAnsi="Arial" w:cs="Arial"/>
          <w:b/>
          <w:bCs/>
          <w:sz w:val="20"/>
          <w:szCs w:val="20"/>
        </w:rPr>
        <w:t>9</w:t>
      </w:r>
      <w:r w:rsidRPr="00050F51">
        <w:rPr>
          <w:rFonts w:ascii="Arial" w:eastAsia="Arial" w:hAnsi="Arial" w:cs="Arial"/>
          <w:b/>
          <w:bCs/>
          <w:sz w:val="20"/>
          <w:szCs w:val="20"/>
        </w:rPr>
        <w:t>.</w:t>
      </w:r>
      <w:r w:rsidRPr="00050F51">
        <w:rPr>
          <w:rFonts w:ascii="Arial" w:eastAsia="Arial" w:hAnsi="Arial" w:cs="Arial"/>
          <w:sz w:val="20"/>
          <w:szCs w:val="20"/>
        </w:rPr>
        <w:t xml:space="preserve"> Baseline infrastructure planning strategy water supply results. The baseline infrastructure planning strategy utilizes an ROF threshold of 0.65 and deploys the desalination plant first. Includes reservoir storage, total water demands, unmet demands, and reliability under historical climate characteristics. Each color represents a different realization reflecting short-term stochastic variability. The black dashed line indicates a reliability level of 70%, which is consistent with reliability levels during the 2013 California drought.</w:t>
      </w:r>
      <w:r w:rsidR="0022316E" w:rsidRPr="00050F51">
        <w:rPr>
          <w:rFonts w:ascii="Arial" w:eastAsia="Arial" w:hAnsi="Arial" w:cs="Arial"/>
          <w:sz w:val="20"/>
          <w:szCs w:val="20"/>
        </w:rPr>
        <w:fldChar w:fldCharType="begin"/>
      </w:r>
      <w:r w:rsidR="0022316E" w:rsidRPr="00050F51">
        <w:rPr>
          <w:rFonts w:ascii="Arial" w:eastAsia="Arial" w:hAnsi="Arial" w:cs="Arial"/>
          <w:sz w:val="20"/>
          <w:szCs w:val="20"/>
        </w:rPr>
        <w:instrText xml:space="preserve"> ADDIN ZOTERO_ITEM CSL_CITATION {"citationID":"hpsjss0k","properties":{"formattedCitation":"\\super 11,15\\nosupersub{}","plainCitation":"11,15","noteIndex":0},"citationItems":[{"id":7906,"uris":["http://zotero.org/users/3174049/items/B94P2NNH"],"itemData":{"id":7906,"type":"report","publisher":"City of Santa Cruz Water Department","publisher-place":"Santa Cruz, CA","title":"2020 Urban Water Management Plan","URL":"https://www.cityofsantacruz.com/home/showpublisheddocument/87122/637739611535800000","author":[{"family":"Perez","given":"Sarah Easley"}],"issued":{"date-parts":[["2021",11]]}}},{"id":10089,"uris":["http://zotero.org/users/3174049/items/Y3YQQ7DW"],"itemData":{"id":10089,"type":"article-journal","abstract":"Rising water prices threaten affordable access to basic water service in the U.S., especially in low-income communities. Faced with unaffordable water bills, households may use less water than is healthy, forgo other essential services, or fall behind on water bill payments, risking water shutoffs. Affordability ratios (ARs), which express water bills as a fraction of income, are the most common measure of water affordability. However, ARs can underestimate unaffordability due to both spatial aggregation bias and their reliance on indirect proxies for ability to pay. New metrics are needed to identify households at risk of water insecurity due to affordability challenges. Here we investigate alternative water affordability metrics that use water bill late payments and debt to track actual payment behavior at the household level. We define metrics that capture the frequency, duration, and severity of water bill delinquency. We apply these metrics to a case study in Santa Cruz, California, using monthly billing data for approximately 40 000 households from 2009 through 2021. We find large variation in delinquency across households and over time, with higher delinquency linked to proxies for low wealth such as lower assessed home value. Census blocks with similar ARs often have distinct patterns of delinquency behavior, suggesting that block-level median affordability estimates may be masking sub-populations facing affordability challenges. These results highlight the benefits of using multiple, household-level metrics to capture the role affordability plays in household water security.","container-title":"Environmental Research Letters","DOI":"10.1088/1748-9326/ad5609","ISSN":"1748-9326","issue":"7","journalAbbreviation":"Environ. Res. Lett.","language":"en","page":"074036","publisher":"IOP Publishing","source":"Institute of Physics","title":"Alternative household water affordability metrics using water bill delinquency behavior","volume":"19","author":[{"family":"Skerker","given":"Jennifer B."},{"family":"Verma","given":"Aniket"},{"family":"Edwards","given":"Morgan"},{"family":"Rachunok","given":"Benjamin"},{"family":"Fletcher","given":"Sarah"}],"issued":{"date-parts":[["2024",6]]}}}],"schema":"https://github.com/citation-style-language/schema/raw/master/csl-citation.json"} </w:instrText>
      </w:r>
      <w:r w:rsidR="0022316E" w:rsidRPr="00050F51">
        <w:rPr>
          <w:rFonts w:ascii="Arial" w:eastAsia="Arial" w:hAnsi="Arial" w:cs="Arial"/>
          <w:sz w:val="20"/>
          <w:szCs w:val="20"/>
        </w:rPr>
        <w:fldChar w:fldCharType="separate"/>
      </w:r>
      <w:r w:rsidR="0022316E" w:rsidRPr="00050F51">
        <w:rPr>
          <w:rFonts w:ascii="Arial" w:hAnsi="Arial" w:cs="Arial"/>
          <w:sz w:val="20"/>
          <w:vertAlign w:val="superscript"/>
          <w:lang w:val="en-US"/>
        </w:rPr>
        <w:t>11,15</w:t>
      </w:r>
      <w:r w:rsidR="0022316E" w:rsidRPr="00050F51">
        <w:rPr>
          <w:rFonts w:ascii="Arial" w:eastAsia="Arial" w:hAnsi="Arial" w:cs="Arial"/>
          <w:sz w:val="20"/>
          <w:szCs w:val="20"/>
        </w:rPr>
        <w:fldChar w:fldCharType="end"/>
      </w:r>
    </w:p>
    <w:p w14:paraId="000000E0" w14:textId="77777777" w:rsidR="0041056C" w:rsidRPr="00050F51" w:rsidRDefault="00000000">
      <w:pPr>
        <w:spacing w:before="240" w:after="60"/>
        <w:ind w:left="720"/>
        <w:rPr>
          <w:rFonts w:ascii="Arial" w:eastAsia="Arial" w:hAnsi="Arial" w:cs="Arial"/>
          <w:color w:val="0432FF"/>
        </w:rPr>
      </w:pPr>
      <w:r w:rsidRPr="00050F51">
        <w:rPr>
          <w:rFonts w:ascii="Arial" w:eastAsia="Arial" w:hAnsi="Arial" w:cs="Arial"/>
          <w:noProof/>
          <w:color w:val="0432FF"/>
        </w:rPr>
        <w:lastRenderedPageBreak/>
        <w:drawing>
          <wp:inline distT="114300" distB="114300" distL="114300" distR="114300" wp14:anchorId="0AB30278" wp14:editId="10726B65">
            <wp:extent cx="5486400" cy="2514600"/>
            <wp:effectExtent l="0" t="0" r="0" b="0"/>
            <wp:docPr id="212162665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a:stretch>
                      <a:fillRect/>
                    </a:stretch>
                  </pic:blipFill>
                  <pic:spPr>
                    <a:xfrm>
                      <a:off x="0" y="0"/>
                      <a:ext cx="5486400" cy="2514600"/>
                    </a:xfrm>
                    <a:prstGeom prst="rect">
                      <a:avLst/>
                    </a:prstGeom>
                    <a:ln/>
                  </pic:spPr>
                </pic:pic>
              </a:graphicData>
            </a:graphic>
          </wp:inline>
        </w:drawing>
      </w:r>
    </w:p>
    <w:p w14:paraId="000000E1" w14:textId="26292E87" w:rsidR="0041056C" w:rsidRPr="00050F51" w:rsidRDefault="00000000" w:rsidP="004E5254">
      <w:pPr>
        <w:spacing w:after="120"/>
        <w:rPr>
          <w:rFonts w:ascii="Arial" w:eastAsia="Arial" w:hAnsi="Arial" w:cs="Arial"/>
          <w:sz w:val="20"/>
          <w:szCs w:val="20"/>
        </w:rPr>
      </w:pPr>
      <w:r w:rsidRPr="00050F51">
        <w:rPr>
          <w:rFonts w:ascii="Arial" w:eastAsia="Arial" w:hAnsi="Arial" w:cs="Arial"/>
          <w:b/>
          <w:bCs/>
          <w:sz w:val="20"/>
          <w:szCs w:val="20"/>
        </w:rPr>
        <w:t>Fig. S</w:t>
      </w:r>
      <w:r w:rsidR="001C3F79" w:rsidRPr="00050F51">
        <w:rPr>
          <w:rFonts w:ascii="Arial" w:eastAsia="Arial" w:hAnsi="Arial" w:cs="Arial"/>
          <w:b/>
          <w:bCs/>
          <w:sz w:val="20"/>
          <w:szCs w:val="20"/>
        </w:rPr>
        <w:t>10</w:t>
      </w:r>
      <w:r w:rsidRPr="00050F51">
        <w:rPr>
          <w:rFonts w:ascii="Arial" w:eastAsia="Arial" w:hAnsi="Arial" w:cs="Arial"/>
          <w:b/>
          <w:bCs/>
          <w:sz w:val="20"/>
          <w:szCs w:val="20"/>
        </w:rPr>
        <w:t>.</w:t>
      </w:r>
      <w:r w:rsidRPr="00050F51">
        <w:rPr>
          <w:rFonts w:ascii="Arial" w:eastAsia="Arial" w:hAnsi="Arial" w:cs="Arial"/>
          <w:sz w:val="20"/>
          <w:szCs w:val="20"/>
        </w:rPr>
        <w:t xml:space="preserve"> Cumulative distribution functions comparing the number of infrastructure options triggered under (a) moderate, cool and (b) dry, hot climate scenarios, for desalination first (blue) and DPR first (orange) planning strategies.</w:t>
      </w:r>
    </w:p>
    <w:p w14:paraId="000000E2" w14:textId="7B4C9FA3" w:rsidR="0041056C" w:rsidRPr="00050F51" w:rsidRDefault="00000000" w:rsidP="00B56F00">
      <w:pPr>
        <w:pStyle w:val="SISectionHeading"/>
      </w:pPr>
      <w:r w:rsidRPr="00050F51">
        <w:t>Section S</w:t>
      </w:r>
      <w:r w:rsidR="001C3F79" w:rsidRPr="00050F51">
        <w:t>6</w:t>
      </w:r>
      <w:r w:rsidRPr="00050F51">
        <w:t>. Comparison of minimum annual reliability levels across infrastructure planning strategies</w:t>
      </w:r>
    </w:p>
    <w:p w14:paraId="000000E3" w14:textId="77777777" w:rsidR="0041056C" w:rsidRPr="00050F51" w:rsidRDefault="00000000" w:rsidP="00967318">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color w:val="000000"/>
          <w:sz w:val="20"/>
          <w:szCs w:val="20"/>
        </w:rPr>
        <w:t>The below figure compares the distribution of minimum annual reliability levels across the three infrastructure planning strategies compared in Figure 5.</w:t>
      </w:r>
    </w:p>
    <w:p w14:paraId="000000E4" w14:textId="77777777" w:rsidR="0041056C" w:rsidRPr="00050F51" w:rsidRDefault="00000000">
      <w:pPr>
        <w:spacing w:before="240" w:after="60"/>
        <w:rPr>
          <w:rFonts w:ascii="Arial" w:eastAsia="Arial" w:hAnsi="Arial" w:cs="Arial"/>
          <w:color w:val="000000"/>
          <w:sz w:val="20"/>
          <w:szCs w:val="20"/>
        </w:rPr>
      </w:pPr>
      <w:r w:rsidRPr="00050F51">
        <w:rPr>
          <w:rFonts w:ascii="Arial" w:eastAsia="Arial" w:hAnsi="Arial" w:cs="Arial"/>
          <w:noProof/>
          <w:sz w:val="20"/>
          <w:szCs w:val="20"/>
        </w:rPr>
        <w:drawing>
          <wp:inline distT="114300" distB="114300" distL="114300" distR="114300" wp14:anchorId="108EC534" wp14:editId="5030289E">
            <wp:extent cx="5357813" cy="3450952"/>
            <wp:effectExtent l="0" t="0" r="0" b="0"/>
            <wp:docPr id="212162665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5357813" cy="3450952"/>
                    </a:xfrm>
                    <a:prstGeom prst="rect">
                      <a:avLst/>
                    </a:prstGeom>
                    <a:ln/>
                  </pic:spPr>
                </pic:pic>
              </a:graphicData>
            </a:graphic>
          </wp:inline>
        </w:drawing>
      </w:r>
    </w:p>
    <w:p w14:paraId="000000E5" w14:textId="1E209359" w:rsidR="0041056C" w:rsidRPr="00050F51" w:rsidRDefault="00000000" w:rsidP="004E5254">
      <w:pPr>
        <w:pBdr>
          <w:top w:val="nil"/>
          <w:left w:val="nil"/>
          <w:bottom w:val="nil"/>
          <w:right w:val="nil"/>
          <w:between w:val="nil"/>
        </w:pBdr>
        <w:spacing w:after="120"/>
        <w:rPr>
          <w:rFonts w:ascii="Arial" w:eastAsia="Arial" w:hAnsi="Arial" w:cs="Arial"/>
          <w:sz w:val="20"/>
          <w:szCs w:val="20"/>
        </w:rPr>
      </w:pPr>
      <w:r w:rsidRPr="00050F51">
        <w:rPr>
          <w:rFonts w:ascii="Arial" w:eastAsia="Arial" w:hAnsi="Arial" w:cs="Arial"/>
          <w:b/>
          <w:bCs/>
          <w:color w:val="000000"/>
          <w:sz w:val="20"/>
          <w:szCs w:val="20"/>
        </w:rPr>
        <w:t>Fig. S</w:t>
      </w:r>
      <w:r w:rsidR="001C3F79" w:rsidRPr="00050F51">
        <w:rPr>
          <w:rFonts w:ascii="Arial" w:eastAsia="Arial" w:hAnsi="Arial" w:cs="Arial"/>
          <w:b/>
          <w:bCs/>
          <w:sz w:val="20"/>
          <w:szCs w:val="20"/>
        </w:rPr>
        <w:t>11</w:t>
      </w:r>
      <w:r w:rsidRPr="00050F51">
        <w:rPr>
          <w:rFonts w:ascii="Arial" w:eastAsia="Arial" w:hAnsi="Arial" w:cs="Arial"/>
          <w:b/>
          <w:bCs/>
          <w:color w:val="000000"/>
          <w:sz w:val="20"/>
          <w:szCs w:val="20"/>
        </w:rPr>
        <w:t>.</w:t>
      </w:r>
      <w:r w:rsidRPr="00050F51">
        <w:rPr>
          <w:rFonts w:ascii="Arial" w:eastAsia="Arial" w:hAnsi="Arial" w:cs="Arial"/>
          <w:color w:val="000000"/>
          <w:sz w:val="20"/>
          <w:szCs w:val="20"/>
        </w:rPr>
        <w:t xml:space="preserve"> Histogram of minimum annual reliability levels. Plotted across 500 climate simulations for three infrastructure planning strategies. Dashed lines indicate the average minimum annual reliability level for each planning strategy.</w:t>
      </w:r>
    </w:p>
    <w:p w14:paraId="5198EF8B" w14:textId="77777777" w:rsidR="00E3741C" w:rsidRPr="00050F51" w:rsidRDefault="00E3741C">
      <w:pPr>
        <w:rPr>
          <w:rFonts w:ascii="Arial" w:eastAsia="Arial" w:hAnsi="Arial" w:cs="Arial"/>
          <w:b/>
          <w:bCs/>
          <w:sz w:val="20"/>
          <w:szCs w:val="20"/>
        </w:rPr>
      </w:pPr>
      <w:r w:rsidRPr="00050F51">
        <w:br w:type="page"/>
      </w:r>
    </w:p>
    <w:p w14:paraId="4D61E7C3" w14:textId="3BF2183F" w:rsidR="00D11DB3" w:rsidRPr="00050F51" w:rsidRDefault="00D11DB3" w:rsidP="00B56F00">
      <w:pPr>
        <w:pStyle w:val="SISectionHeading"/>
      </w:pPr>
      <w:r w:rsidRPr="00050F51">
        <w:lastRenderedPageBreak/>
        <w:t>Section S7. Watershed map for study area</w:t>
      </w:r>
    </w:p>
    <w:p w14:paraId="40050339" w14:textId="77777777" w:rsidR="00D11DB3" w:rsidRPr="00050F51" w:rsidRDefault="00D11DB3" w:rsidP="00D11DB3">
      <w:pPr>
        <w:keepNext/>
        <w:pBdr>
          <w:top w:val="nil"/>
          <w:left w:val="nil"/>
          <w:bottom w:val="nil"/>
          <w:right w:val="nil"/>
          <w:between w:val="nil"/>
        </w:pBdr>
        <w:spacing w:before="240" w:after="60"/>
        <w:rPr>
          <w:rFonts w:ascii="Arial" w:eastAsia="Arial" w:hAnsi="Arial" w:cs="Arial"/>
          <w:b/>
          <w:bCs/>
          <w:color w:val="000000"/>
          <w:sz w:val="20"/>
          <w:szCs w:val="20"/>
        </w:rPr>
      </w:pPr>
      <w:r w:rsidRPr="00050F51">
        <w:rPr>
          <w:rFonts w:ascii="Arial" w:eastAsia="Arial" w:hAnsi="Arial" w:cs="Arial"/>
          <w:noProof/>
          <w:color w:val="000000"/>
          <w:sz w:val="22"/>
          <w:szCs w:val="22"/>
        </w:rPr>
        <w:drawing>
          <wp:inline distT="0" distB="0" distL="0" distR="0" wp14:anchorId="5435CC66" wp14:editId="2EEF4F01">
            <wp:extent cx="4669806" cy="3113204"/>
            <wp:effectExtent l="0" t="0" r="0" b="0"/>
            <wp:docPr id="212162667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1"/>
                    <a:srcRect/>
                    <a:stretch>
                      <a:fillRect/>
                    </a:stretch>
                  </pic:blipFill>
                  <pic:spPr>
                    <a:xfrm>
                      <a:off x="0" y="0"/>
                      <a:ext cx="4669806" cy="3113204"/>
                    </a:xfrm>
                    <a:prstGeom prst="rect">
                      <a:avLst/>
                    </a:prstGeom>
                    <a:ln/>
                  </pic:spPr>
                </pic:pic>
              </a:graphicData>
            </a:graphic>
          </wp:inline>
        </w:drawing>
      </w:r>
    </w:p>
    <w:p w14:paraId="1B598451" w14:textId="5076CDC5" w:rsidR="00D11DB3" w:rsidRPr="00050F51" w:rsidRDefault="00D11DB3" w:rsidP="004E5254">
      <w:pPr>
        <w:keepNext/>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b/>
          <w:bCs/>
          <w:color w:val="000000"/>
          <w:sz w:val="20"/>
          <w:szCs w:val="20"/>
        </w:rPr>
        <w:t>Fig. S</w:t>
      </w:r>
      <w:r w:rsidRPr="00050F51">
        <w:rPr>
          <w:rFonts w:ascii="Arial" w:eastAsia="Arial" w:hAnsi="Arial" w:cs="Arial"/>
          <w:b/>
          <w:bCs/>
          <w:sz w:val="20"/>
          <w:szCs w:val="20"/>
        </w:rPr>
        <w:t>12</w:t>
      </w:r>
      <w:r w:rsidRPr="00050F51">
        <w:rPr>
          <w:rFonts w:ascii="Arial" w:eastAsia="Arial" w:hAnsi="Arial" w:cs="Arial"/>
          <w:b/>
          <w:bCs/>
          <w:color w:val="000000"/>
          <w:sz w:val="20"/>
          <w:szCs w:val="20"/>
        </w:rPr>
        <w:t xml:space="preserve">. </w:t>
      </w:r>
      <w:r w:rsidRPr="00050F51">
        <w:rPr>
          <w:rFonts w:ascii="Arial" w:eastAsia="Arial" w:hAnsi="Arial" w:cs="Arial"/>
          <w:color w:val="000000"/>
          <w:sz w:val="20"/>
          <w:szCs w:val="20"/>
        </w:rPr>
        <w:t xml:space="preserve">Watershed map for study area in Santa Cruz, California. Reproduced from </w:t>
      </w:r>
      <w:r w:rsidRPr="00050F51">
        <w:rPr>
          <w:rFonts w:ascii="Arial" w:eastAsia="Arial" w:hAnsi="Arial" w:cs="Arial"/>
          <w:sz w:val="20"/>
          <w:szCs w:val="20"/>
        </w:rPr>
        <w:t>a previous study</w:t>
      </w:r>
      <w:r w:rsidRPr="00050F51">
        <w:rPr>
          <w:rFonts w:ascii="Arial" w:eastAsia="Arial" w:hAnsi="Arial" w:cs="Arial"/>
          <w:color w:val="000000"/>
          <w:sz w:val="20"/>
          <w:szCs w:val="20"/>
        </w:rPr>
        <w:t>.</w:t>
      </w:r>
      <w:r w:rsidR="0022316E" w:rsidRPr="00050F51">
        <w:rPr>
          <w:rFonts w:ascii="Arial" w:eastAsia="Arial" w:hAnsi="Arial" w:cs="Arial"/>
          <w:color w:val="000000"/>
          <w:sz w:val="20"/>
          <w:szCs w:val="20"/>
        </w:rPr>
        <w:fldChar w:fldCharType="begin"/>
      </w:r>
      <w:r w:rsidR="0022316E" w:rsidRPr="00050F51">
        <w:rPr>
          <w:rFonts w:ascii="Arial" w:eastAsia="Arial" w:hAnsi="Arial" w:cs="Arial"/>
          <w:color w:val="000000"/>
          <w:sz w:val="20"/>
          <w:szCs w:val="20"/>
        </w:rPr>
        <w:instrText xml:space="preserve"> ADDIN ZOTERO_ITEM CSL_CITATION {"citationID":"dEpLcdyL","properties":{"formattedCitation":"\\super 16\\nosupersub{}","plainCitation":"16","noteIndex":0},"citationItems":[{"id":10604,"uris":["http://zotero.org/users/3174049/items/RF7TNW67"],"itemData":{"id":10604,"type":"article-journal","abstract":"In water-stressed regions, droughts pose a critical challenge to urban water security for low-income households. Droughts reduce water availability, forcing water providers to invest in additional supplies or enact expensive, short-term emergency measures. These costs are frequently passed on to households through increased rates and surcharges, driving up water bills for low-income households and altering patterns of water consumption. Here we have developed a socio-hydrological modelling approach that integrates hydrology, water infrastructure, utility decision-making and household behaviour to understand the impacts of droughts on household water affordability. We present here an application based on Santa Cruz, California and show that many drought resilience strategies raise water bills for low-income households and lower them for high-income households. We also found that low-income households are most vulnerable to both changing drought characteristics and infrastructure lock-in. Unaffordable water prices pose a threat to human health and well-being. A socio-hydrological modelling approach that integrates hydrology, water infrastructure, utility decision-making and household behaviour can be used to understand the impacts of droughts on household water affordability","container-title":"Nature Water","DOI":"10.1038/s44221-022-00009-w","issue":"1","note":"DOI: 10.1038/s44221-022-00009-w\nMAG ID: 4317433864\nS2ID: bf7869f5770d8483ef1a8f0698d6986617578248","page":"83-94","title":"Socio-hydrological drought impacts on urban water affordability","volume":"1","author":[{"literal":"Benjamin Rachunok"},{"literal":"Sarah Fletcher"}],"issued":{"date-parts":[["2023",1,19]]}}}],"schema":"https://github.com/citation-style-language/schema/raw/master/csl-citation.json"} </w:instrText>
      </w:r>
      <w:r w:rsidR="0022316E" w:rsidRPr="00050F51">
        <w:rPr>
          <w:rFonts w:ascii="Arial" w:eastAsia="Arial" w:hAnsi="Arial" w:cs="Arial"/>
          <w:color w:val="000000"/>
          <w:sz w:val="20"/>
          <w:szCs w:val="20"/>
        </w:rPr>
        <w:fldChar w:fldCharType="separate"/>
      </w:r>
      <w:r w:rsidR="0022316E" w:rsidRPr="00050F51">
        <w:rPr>
          <w:rFonts w:ascii="Arial" w:hAnsi="Arial" w:cs="Arial"/>
          <w:color w:val="000000"/>
          <w:sz w:val="20"/>
          <w:vertAlign w:val="superscript"/>
          <w:lang w:val="en-US"/>
        </w:rPr>
        <w:t>16</w:t>
      </w:r>
      <w:r w:rsidR="0022316E" w:rsidRPr="00050F51">
        <w:rPr>
          <w:rFonts w:ascii="Arial" w:eastAsia="Arial" w:hAnsi="Arial" w:cs="Arial"/>
          <w:color w:val="000000"/>
          <w:sz w:val="20"/>
          <w:szCs w:val="20"/>
        </w:rPr>
        <w:fldChar w:fldCharType="end"/>
      </w:r>
    </w:p>
    <w:p w14:paraId="6FC522B6" w14:textId="3DC58F7C" w:rsidR="00D11DB3" w:rsidRPr="00050F51" w:rsidRDefault="00D11DB3" w:rsidP="00B56F00">
      <w:pPr>
        <w:pStyle w:val="SISectionHeading"/>
      </w:pPr>
      <w:r w:rsidRPr="00050F51">
        <w:t>Section S8. Details on water billing dataset processing and model data</w:t>
      </w:r>
    </w:p>
    <w:p w14:paraId="188565FE" w14:textId="7685D042" w:rsidR="00D11DB3" w:rsidRPr="00050F51" w:rsidRDefault="00D11DB3" w:rsidP="00967318">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color w:val="000000"/>
          <w:sz w:val="20"/>
          <w:szCs w:val="20"/>
        </w:rPr>
        <w:t xml:space="preserve">We use a subset of accounts for household water demand model parameterization based on data quality. We use only single-family dwellings, as the majority of multi-family units are not submetered and do not pay their own bills. We remove outliers in water use including bills and water use below zero and use above 55 ccf/month (the 99.9th percentile). We only use bills with lengths between 28 and 31 days to more accurately capture monthly usage patterns. We merge </w:t>
      </w:r>
      <w:r w:rsidRPr="00050F51">
        <w:rPr>
          <w:rFonts w:ascii="Arial" w:eastAsia="Arial" w:hAnsi="Arial" w:cs="Arial"/>
          <w:sz w:val="20"/>
          <w:szCs w:val="20"/>
        </w:rPr>
        <w:t xml:space="preserve">water billing data with housing characteristics from the tax assessors’ database and sociodemographic information from the American Community Survey, as listed in Table S5. Since the tax assessor database was not designed for geospatial analysis, we occasionally encounter edge cases, mainly related to recently developed multi-family properties classified as single-family. These instances only comprise about 1% of households and do not materially affect our results. </w:t>
      </w:r>
      <w:r w:rsidRPr="00050F51">
        <w:rPr>
          <w:rFonts w:ascii="Arial" w:eastAsia="Arial" w:hAnsi="Arial" w:cs="Arial"/>
          <w:color w:val="000000"/>
          <w:sz w:val="20"/>
          <w:szCs w:val="20"/>
        </w:rPr>
        <w:t>We remove duplicate bills and accounts with incomplete or outlier housing characteristics data, such as values less than zero or having greater than ten bathrooms. We deidentify account holder names, as well as billing and service addresses. </w:t>
      </w:r>
    </w:p>
    <w:p w14:paraId="50A68562" w14:textId="1CF5A13B" w:rsidR="00D11DB3" w:rsidRPr="00050F51" w:rsidRDefault="00D11DB3" w:rsidP="00967318">
      <w:pPr>
        <w:pBdr>
          <w:top w:val="nil"/>
          <w:left w:val="nil"/>
          <w:bottom w:val="nil"/>
          <w:right w:val="nil"/>
          <w:between w:val="nil"/>
        </w:pBdr>
        <w:spacing w:after="120"/>
        <w:rPr>
          <w:rFonts w:ascii="Arial" w:eastAsia="Arial" w:hAnsi="Arial" w:cs="Arial"/>
          <w:b/>
          <w:bCs/>
          <w:sz w:val="20"/>
          <w:szCs w:val="20"/>
        </w:rPr>
      </w:pPr>
      <w:r w:rsidRPr="00050F51">
        <w:rPr>
          <w:rFonts w:ascii="Arial" w:eastAsia="Arial" w:hAnsi="Arial" w:cs="Arial"/>
          <w:color w:val="000000"/>
          <w:sz w:val="20"/>
          <w:szCs w:val="20"/>
        </w:rPr>
        <w:t>For developing a set of accounts to use in the household water demand component of the simulation model, we use a similar process to that for parameterization with one exception: we only keep households with at least 12 bills to ensure we capture seasonal variability in computing each household’s direct bias correction factor. We compute the direct bias correction factor as the average difference between measured and modeled water use (in real scale) for each household. When we merge accounts with complete housing characteristics and at least 12 bills, we obtain 12,685 single-family households from 56,613. The water billing dataset is included in our list of all data sources in Table S5.</w:t>
      </w:r>
    </w:p>
    <w:p w14:paraId="2B280521" w14:textId="77777777" w:rsidR="00D11DB3" w:rsidRPr="00050F51" w:rsidRDefault="00D11DB3">
      <w:pPr>
        <w:rPr>
          <w:rFonts w:ascii="Arial" w:eastAsia="Arial" w:hAnsi="Arial" w:cs="Arial"/>
          <w:b/>
          <w:bCs/>
          <w:color w:val="000000"/>
          <w:sz w:val="20"/>
          <w:szCs w:val="20"/>
        </w:rPr>
      </w:pPr>
      <w:r w:rsidRPr="00050F51">
        <w:rPr>
          <w:rFonts w:ascii="Arial" w:eastAsia="Arial" w:hAnsi="Arial" w:cs="Arial"/>
          <w:b/>
          <w:bCs/>
          <w:color w:val="000000"/>
          <w:sz w:val="20"/>
          <w:szCs w:val="20"/>
        </w:rPr>
        <w:br w:type="page"/>
      </w:r>
    </w:p>
    <w:p w14:paraId="1F57DEB7" w14:textId="593CDB8C" w:rsidR="00D11DB3" w:rsidRPr="00050F51" w:rsidRDefault="00D11DB3" w:rsidP="004E5254">
      <w:pPr>
        <w:pBdr>
          <w:top w:val="nil"/>
          <w:left w:val="nil"/>
          <w:bottom w:val="nil"/>
          <w:right w:val="nil"/>
          <w:between w:val="nil"/>
        </w:pBdr>
        <w:spacing w:before="120"/>
        <w:rPr>
          <w:rFonts w:ascii="Arial" w:eastAsia="Arial" w:hAnsi="Arial" w:cs="Arial"/>
          <w:color w:val="000000"/>
          <w:sz w:val="20"/>
          <w:szCs w:val="20"/>
        </w:rPr>
      </w:pPr>
      <w:r w:rsidRPr="00050F51">
        <w:rPr>
          <w:rFonts w:ascii="Arial" w:eastAsia="Arial" w:hAnsi="Arial" w:cs="Arial"/>
          <w:b/>
          <w:bCs/>
          <w:color w:val="000000"/>
          <w:sz w:val="20"/>
          <w:szCs w:val="20"/>
        </w:rPr>
        <w:lastRenderedPageBreak/>
        <w:t>Table S</w:t>
      </w:r>
      <w:r w:rsidRPr="00050F51">
        <w:rPr>
          <w:rFonts w:ascii="Arial" w:eastAsia="Arial" w:hAnsi="Arial" w:cs="Arial"/>
          <w:b/>
          <w:bCs/>
          <w:sz w:val="20"/>
          <w:szCs w:val="20"/>
        </w:rPr>
        <w:t>5</w:t>
      </w:r>
      <w:r w:rsidRPr="00050F51">
        <w:rPr>
          <w:rFonts w:ascii="Arial" w:eastAsia="Arial" w:hAnsi="Arial" w:cs="Arial"/>
          <w:b/>
          <w:bCs/>
          <w:color w:val="000000"/>
          <w:sz w:val="20"/>
          <w:szCs w:val="20"/>
        </w:rPr>
        <w:t>.</w:t>
      </w:r>
      <w:r w:rsidRPr="00050F51">
        <w:rPr>
          <w:rFonts w:ascii="Arial" w:eastAsia="Arial" w:hAnsi="Arial" w:cs="Arial"/>
          <w:color w:val="000000"/>
          <w:sz w:val="20"/>
          <w:szCs w:val="20"/>
        </w:rPr>
        <w:t xml:space="preserve"> A list of data sources and attributes</w:t>
      </w:r>
    </w:p>
    <w:tbl>
      <w:tblPr>
        <w:tblStyle w:val="ad"/>
        <w:tblW w:w="8624" w:type="dxa"/>
        <w:tblLayout w:type="fixed"/>
        <w:tblLook w:val="0400" w:firstRow="0" w:lastRow="0" w:firstColumn="0" w:lastColumn="0" w:noHBand="0" w:noVBand="1"/>
      </w:tblPr>
      <w:tblGrid>
        <w:gridCol w:w="1699"/>
        <w:gridCol w:w="1266"/>
        <w:gridCol w:w="2434"/>
        <w:gridCol w:w="1276"/>
        <w:gridCol w:w="1949"/>
      </w:tblGrid>
      <w:tr w:rsidR="00D11DB3" w:rsidRPr="00050F51" w14:paraId="0D36F617" w14:textId="77777777" w:rsidTr="002A3F71">
        <w:trPr>
          <w:trHeight w:val="20"/>
        </w:trPr>
        <w:tc>
          <w:tcPr>
            <w:tcW w:w="1699"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907CB5B" w14:textId="77777777" w:rsidR="00D11DB3" w:rsidRPr="00050F51" w:rsidRDefault="00D11DB3" w:rsidP="002A3F71">
            <w:pPr>
              <w:jc w:val="center"/>
              <w:rPr>
                <w:rFonts w:ascii="Arial" w:hAnsi="Arial" w:cs="Arial"/>
                <w:sz w:val="17"/>
                <w:szCs w:val="17"/>
              </w:rPr>
            </w:pPr>
            <w:r w:rsidRPr="00050F51">
              <w:rPr>
                <w:rFonts w:ascii="Arial" w:eastAsia="Arial" w:hAnsi="Arial" w:cs="Arial"/>
                <w:b/>
                <w:bCs/>
                <w:color w:val="000000"/>
                <w:sz w:val="17"/>
                <w:szCs w:val="17"/>
              </w:rPr>
              <w:t>Data Sources</w:t>
            </w:r>
          </w:p>
        </w:tc>
        <w:tc>
          <w:tcPr>
            <w:tcW w:w="126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B11105E" w14:textId="77777777" w:rsidR="00D11DB3" w:rsidRPr="00050F51" w:rsidRDefault="00D11DB3" w:rsidP="002A3F71">
            <w:pPr>
              <w:jc w:val="center"/>
              <w:rPr>
                <w:rFonts w:ascii="Arial" w:hAnsi="Arial" w:cs="Arial"/>
                <w:sz w:val="17"/>
                <w:szCs w:val="17"/>
              </w:rPr>
            </w:pPr>
            <w:r w:rsidRPr="00050F51">
              <w:rPr>
                <w:rFonts w:ascii="Arial" w:eastAsia="Arial" w:hAnsi="Arial" w:cs="Arial"/>
                <w:b/>
                <w:bCs/>
                <w:color w:val="000000"/>
                <w:sz w:val="17"/>
                <w:szCs w:val="17"/>
              </w:rPr>
              <w:t>Purpose</w:t>
            </w: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8ADA35E" w14:textId="77777777" w:rsidR="00D11DB3" w:rsidRPr="00050F51" w:rsidRDefault="00D11DB3" w:rsidP="002A3F71">
            <w:pPr>
              <w:jc w:val="center"/>
              <w:rPr>
                <w:rFonts w:ascii="Arial" w:hAnsi="Arial" w:cs="Arial"/>
                <w:sz w:val="17"/>
                <w:szCs w:val="17"/>
              </w:rPr>
            </w:pPr>
            <w:r w:rsidRPr="00050F51">
              <w:rPr>
                <w:rFonts w:ascii="Arial" w:eastAsia="Arial" w:hAnsi="Arial" w:cs="Arial"/>
                <w:b/>
                <w:bCs/>
                <w:color w:val="000000"/>
                <w:sz w:val="17"/>
                <w:szCs w:val="17"/>
              </w:rPr>
              <w:t>Attributes</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8610FFC" w14:textId="77777777" w:rsidR="00D11DB3" w:rsidRPr="00050F51" w:rsidRDefault="00D11DB3" w:rsidP="002A3F71">
            <w:pPr>
              <w:jc w:val="center"/>
              <w:rPr>
                <w:rFonts w:ascii="Arial" w:hAnsi="Arial" w:cs="Arial"/>
                <w:sz w:val="17"/>
                <w:szCs w:val="17"/>
              </w:rPr>
            </w:pPr>
            <w:r w:rsidRPr="00050F51">
              <w:rPr>
                <w:rFonts w:ascii="Arial" w:eastAsia="Arial" w:hAnsi="Arial" w:cs="Arial"/>
                <w:b/>
                <w:bCs/>
                <w:color w:val="000000"/>
                <w:sz w:val="17"/>
                <w:szCs w:val="17"/>
              </w:rPr>
              <w:t>Units</w:t>
            </w:r>
          </w:p>
        </w:tc>
        <w:tc>
          <w:tcPr>
            <w:tcW w:w="1949"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EAF1149" w14:textId="77777777" w:rsidR="00D11DB3" w:rsidRPr="00050F51" w:rsidRDefault="00D11DB3" w:rsidP="002A3F71">
            <w:pPr>
              <w:jc w:val="center"/>
              <w:rPr>
                <w:rFonts w:ascii="Arial" w:hAnsi="Arial" w:cs="Arial"/>
                <w:sz w:val="17"/>
                <w:szCs w:val="17"/>
              </w:rPr>
            </w:pPr>
            <w:r w:rsidRPr="00050F51">
              <w:rPr>
                <w:rFonts w:ascii="Arial" w:eastAsia="Arial" w:hAnsi="Arial" w:cs="Arial"/>
                <w:b/>
                <w:bCs/>
                <w:color w:val="000000"/>
                <w:sz w:val="17"/>
                <w:szCs w:val="17"/>
              </w:rPr>
              <w:t>Source</w:t>
            </w:r>
          </w:p>
        </w:tc>
      </w:tr>
      <w:tr w:rsidR="00D11DB3" w:rsidRPr="00050F51" w14:paraId="4597449B" w14:textId="77777777" w:rsidTr="002A3F71">
        <w:trPr>
          <w:trHeight w:val="20"/>
        </w:trPr>
        <w:tc>
          <w:tcPr>
            <w:tcW w:w="169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08B784C"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Water Billing Dataset</w:t>
            </w:r>
          </w:p>
        </w:tc>
        <w:tc>
          <w:tcPr>
            <w:tcW w:w="1266"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192A7F7"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Household water demand model</w:t>
            </w: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2429CF4"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Bill start and end dates</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08BF789"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Date</w:t>
            </w:r>
          </w:p>
        </w:tc>
        <w:tc>
          <w:tcPr>
            <w:tcW w:w="194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4A413C5"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Santa Cruz Water Department</w:t>
            </w:r>
          </w:p>
        </w:tc>
      </w:tr>
      <w:tr w:rsidR="00D11DB3" w:rsidRPr="00050F51" w14:paraId="4AE644A4"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72FD88E"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193AF27"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9B356C3"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Water quantity consumed by tier</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01470BF"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CCF</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B363D9B"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3223409B"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EE41F8A"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09AFAC8"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49371B2"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Volumetric costs, including consumption, infrastructure reinvestment, rate stabilization, and elevation surcharge costs</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77D857E"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$/CCF</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57705B8"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61BCEE40" w14:textId="77777777" w:rsidTr="002A3F71">
        <w:trPr>
          <w:trHeight w:val="20"/>
        </w:trPr>
        <w:tc>
          <w:tcPr>
            <w:tcW w:w="169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D724F35"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Housing Characteristics</w:t>
            </w:r>
          </w:p>
        </w:tc>
        <w:tc>
          <w:tcPr>
            <w:tcW w:w="1266"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5555002"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Household water demand model</w:t>
            </w: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4EB5FED"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Home tax value</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4CBE309"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t>
            </w:r>
          </w:p>
        </w:tc>
        <w:tc>
          <w:tcPr>
            <w:tcW w:w="194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CD1A53E"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2021 property and tax data from the County of Santa Cruz tax assessor's database</w:t>
            </w:r>
          </w:p>
        </w:tc>
      </w:tr>
      <w:tr w:rsidR="00D11DB3" w:rsidRPr="00050F51" w14:paraId="15A6DDB4"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80CE5F8"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1DF10F8"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59AC493"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Home Main Area</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D740403"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Square Feet</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6CA9AF1"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570FFAEA"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D94072D"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2E41971"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3B10AEC"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Number of bathrooms</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9FCD7C7"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3EEB12D"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560916B9"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B19CE9B"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817E3DA"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78D1057"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Number of bedrooms</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9B8B3E5"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DDA2D50"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756B31E7"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5B9AE0B"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F56B8FC"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D035EFC"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Pool presence/absence</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55FAF4D"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Boolean</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2D5214B"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44549617" w14:textId="77777777" w:rsidTr="002A3F71">
        <w:trPr>
          <w:trHeight w:val="20"/>
        </w:trPr>
        <w:tc>
          <w:tcPr>
            <w:tcW w:w="169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C666E45"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Environmental Data</w:t>
            </w:r>
          </w:p>
        </w:tc>
        <w:tc>
          <w:tcPr>
            <w:tcW w:w="1266"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0A11093"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Household water demand model</w:t>
            </w: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E05CA7D"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Monthly precipitation</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F361D9C"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mm</w:t>
            </w:r>
          </w:p>
        </w:tc>
        <w:tc>
          <w:tcPr>
            <w:tcW w:w="194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A1AE1C9"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National Land Data Assimilation System</w:t>
            </w:r>
          </w:p>
        </w:tc>
      </w:tr>
      <w:tr w:rsidR="00D11DB3" w:rsidRPr="00050F51" w14:paraId="20159972"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C0EC16D"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D1F60F7"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7D7D300"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Monthly average temperature</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DC676B9"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deg. Celsius</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1C57B3C"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4F5904EF"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7AC6C6C"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CC86C6A"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FF3D7AE"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Monthly actual evapotranspiration</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8A5F863"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mm</w:t>
            </w:r>
          </w:p>
        </w:tc>
        <w:tc>
          <w:tcPr>
            <w:tcW w:w="1949"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236E76C"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Global Land Data Assimilation System</w:t>
            </w:r>
          </w:p>
        </w:tc>
      </w:tr>
      <w:tr w:rsidR="00D11DB3" w:rsidRPr="00050F51" w14:paraId="50EE30DA" w14:textId="77777777" w:rsidTr="002A3F71">
        <w:trPr>
          <w:trHeight w:val="20"/>
        </w:trPr>
        <w:tc>
          <w:tcPr>
            <w:tcW w:w="1699"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51F117A"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Census data</w:t>
            </w:r>
          </w:p>
        </w:tc>
        <w:tc>
          <w:tcPr>
            <w:tcW w:w="126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3EE4831"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Household income estimation</w:t>
            </w: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7545598"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Block group income distributions</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964813B"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16 bins, ranging from $10,000/yr to $250,000/yr</w:t>
            </w:r>
          </w:p>
        </w:tc>
        <w:tc>
          <w:tcPr>
            <w:tcW w:w="1949"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FBEAC8A"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2019 5-year American Community (ACS) Survey Data</w:t>
            </w:r>
          </w:p>
        </w:tc>
      </w:tr>
      <w:tr w:rsidR="00D11DB3" w:rsidRPr="00050F51" w14:paraId="5E7CC1F9" w14:textId="77777777" w:rsidTr="002A3F71">
        <w:trPr>
          <w:trHeight w:val="20"/>
        </w:trPr>
        <w:tc>
          <w:tcPr>
            <w:tcW w:w="169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CD50BA9"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Public use microdata</w:t>
            </w:r>
          </w:p>
        </w:tc>
        <w:tc>
          <w:tcPr>
            <w:tcW w:w="1266"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42D44E2"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Household income estimation</w:t>
            </w: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7B880ED"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Income</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C36AA16"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t>
            </w:r>
          </w:p>
        </w:tc>
        <w:tc>
          <w:tcPr>
            <w:tcW w:w="194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827EB5A"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2019 5-year ACS Public Use Microdata Sample (PUMS) data</w:t>
            </w:r>
          </w:p>
        </w:tc>
      </w:tr>
      <w:tr w:rsidR="00D11DB3" w:rsidRPr="00050F51" w14:paraId="086DFC79"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32A44F8"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7A4E44B"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BD6D102"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Property value</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B1D29AC"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8D46D31"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634C390C"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E7B513F"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BE8CCEE"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D0AA7A5"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Number of bedrooms</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CCE2EF8"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CECCB9E"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5610A94B"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E357A97"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4ACEF02"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95A1F2E"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Annual water costs</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16B006C"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0FC31D6"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38073B70" w14:textId="77777777" w:rsidTr="002A3F71">
        <w:trPr>
          <w:trHeight w:val="20"/>
        </w:trPr>
        <w:tc>
          <w:tcPr>
            <w:tcW w:w="169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83B982F"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Utility long-range financial planning attributes</w:t>
            </w:r>
          </w:p>
        </w:tc>
        <w:tc>
          <w:tcPr>
            <w:tcW w:w="1266" w:type="dxa"/>
            <w:vMerge w:val="restart"/>
            <w:tcBorders>
              <w:top w:val="single" w:sz="6" w:space="0" w:color="000000"/>
              <w:left w:val="single" w:sz="6" w:space="0" w:color="000000"/>
              <w:right w:val="single" w:sz="6" w:space="0" w:color="000000"/>
            </w:tcBorders>
            <w:tcMar>
              <w:top w:w="20" w:type="dxa"/>
              <w:left w:w="20" w:type="dxa"/>
              <w:bottom w:w="100" w:type="dxa"/>
              <w:right w:w="20" w:type="dxa"/>
            </w:tcMar>
            <w:vAlign w:val="center"/>
          </w:tcPr>
          <w:p w14:paraId="014A192C"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Infrastructure financing and rate design</w:t>
            </w: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2B45526"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Water Rates</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B335412"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$/CCF</w:t>
            </w:r>
          </w:p>
        </w:tc>
        <w:tc>
          <w:tcPr>
            <w:tcW w:w="194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B2CFD88"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2016 and 2020 Santa Cruz Long-Range Financial Report</w:t>
            </w:r>
          </w:p>
        </w:tc>
      </w:tr>
      <w:tr w:rsidR="00D11DB3" w:rsidRPr="00050F51" w14:paraId="2416F0C0"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87FFE80"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right w:val="single" w:sz="6" w:space="0" w:color="000000"/>
            </w:tcBorders>
            <w:tcMar>
              <w:top w:w="20" w:type="dxa"/>
              <w:left w:w="20" w:type="dxa"/>
              <w:bottom w:w="100" w:type="dxa"/>
              <w:right w:w="20" w:type="dxa"/>
            </w:tcMar>
            <w:vAlign w:val="center"/>
          </w:tcPr>
          <w:p w14:paraId="31531A91"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C2EEAA4"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Operational costs</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EEC77BD"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0BA3F31"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7E802C2A"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F1EC733"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right w:val="single" w:sz="6" w:space="0" w:color="000000"/>
            </w:tcBorders>
            <w:tcMar>
              <w:top w:w="20" w:type="dxa"/>
              <w:left w:w="20" w:type="dxa"/>
              <w:bottom w:w="100" w:type="dxa"/>
              <w:right w:w="20" w:type="dxa"/>
            </w:tcMar>
            <w:vAlign w:val="center"/>
          </w:tcPr>
          <w:p w14:paraId="7ACCB402"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A22B1AE"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Loan interest rates</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0072AEA"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E063084"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22D01CB8"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62B3CF9"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right w:val="single" w:sz="6" w:space="0" w:color="000000"/>
            </w:tcBorders>
            <w:tcMar>
              <w:top w:w="20" w:type="dxa"/>
              <w:left w:w="20" w:type="dxa"/>
              <w:bottom w:w="100" w:type="dxa"/>
              <w:right w:w="20" w:type="dxa"/>
            </w:tcMar>
            <w:vAlign w:val="center"/>
          </w:tcPr>
          <w:p w14:paraId="13CEDDB9"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21CBDB4"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Loan payback periods</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3A65E69"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years</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080A894"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6188D969"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4EA885A"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right w:val="single" w:sz="6" w:space="0" w:color="000000"/>
            </w:tcBorders>
            <w:tcMar>
              <w:top w:w="20" w:type="dxa"/>
              <w:left w:w="20" w:type="dxa"/>
              <w:bottom w:w="100" w:type="dxa"/>
              <w:right w:w="20" w:type="dxa"/>
            </w:tcMar>
            <w:vAlign w:val="center"/>
          </w:tcPr>
          <w:p w14:paraId="547D9F70"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25A751C"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Loan principal amounts</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34BA2D1"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7B1F820"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642D328D" w14:textId="77777777" w:rsidTr="002A3F71">
        <w:trPr>
          <w:trHeight w:val="20"/>
        </w:trPr>
        <w:tc>
          <w:tcPr>
            <w:tcW w:w="1699"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A097FAA"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Systemwide water use data</w:t>
            </w:r>
          </w:p>
        </w:tc>
        <w:tc>
          <w:tcPr>
            <w:tcW w:w="126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9737387"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Household and other water demands</w:t>
            </w: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D23C28F"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Annual water use by user type</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FEBAA7B"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MG</w:t>
            </w:r>
          </w:p>
        </w:tc>
        <w:tc>
          <w:tcPr>
            <w:tcW w:w="1949"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EF83C47"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2020 Santa Cruz Urban Water Management Plan</w:t>
            </w:r>
          </w:p>
        </w:tc>
      </w:tr>
      <w:tr w:rsidR="00D11DB3" w:rsidRPr="00050F51" w14:paraId="0448895E" w14:textId="77777777" w:rsidTr="002A3F71">
        <w:trPr>
          <w:trHeight w:val="20"/>
        </w:trPr>
        <w:tc>
          <w:tcPr>
            <w:tcW w:w="169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4F9455B"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Gridded temperature and precipitation data for water resources model</w:t>
            </w:r>
          </w:p>
        </w:tc>
        <w:tc>
          <w:tcPr>
            <w:tcW w:w="1266"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9E690BE"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Water supply balance model</w:t>
            </w: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D4BBD4F"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Temperature daily minimum and maximum</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DAA7C4E"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deg. Celsius</w:t>
            </w:r>
          </w:p>
        </w:tc>
        <w:tc>
          <w:tcPr>
            <w:tcW w:w="194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06F98DF"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Maurer et al. 2002</w:t>
            </w:r>
          </w:p>
        </w:tc>
      </w:tr>
      <w:tr w:rsidR="00D11DB3" w:rsidRPr="00050F51" w14:paraId="5C23B354"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DCA9344"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F8099C8"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3984DB8"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Precipitation</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4EA714D"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mm</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1094834"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r w:rsidR="00D11DB3" w:rsidRPr="00050F51" w14:paraId="1C77399B" w14:textId="77777777" w:rsidTr="002A3F71">
        <w:trPr>
          <w:trHeight w:val="20"/>
        </w:trPr>
        <w:tc>
          <w:tcPr>
            <w:tcW w:w="1699"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0A37F72"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Streamflow data</w:t>
            </w:r>
          </w:p>
        </w:tc>
        <w:tc>
          <w:tcPr>
            <w:tcW w:w="126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B5D2D39"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Hydrology model</w:t>
            </w: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09CEABA"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Streamflow</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EE5C78C"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cfs</w:t>
            </w:r>
          </w:p>
        </w:tc>
        <w:tc>
          <w:tcPr>
            <w:tcW w:w="1949"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02527DE"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USGS Streamflow Gage Data</w:t>
            </w:r>
          </w:p>
        </w:tc>
      </w:tr>
      <w:tr w:rsidR="00D11DB3" w:rsidRPr="00050F51" w14:paraId="3BF0A4B5" w14:textId="77777777" w:rsidTr="002A3F71">
        <w:trPr>
          <w:trHeight w:val="20"/>
        </w:trPr>
        <w:tc>
          <w:tcPr>
            <w:tcW w:w="169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4E9AD80"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Climate projections data</w:t>
            </w:r>
          </w:p>
        </w:tc>
        <w:tc>
          <w:tcPr>
            <w:tcW w:w="1266"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3B1D833"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Climate change scenarios</w:t>
            </w: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8BFE80E"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Temperature</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5363E87"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deg. Celsius</w:t>
            </w:r>
          </w:p>
        </w:tc>
        <w:tc>
          <w:tcPr>
            <w:tcW w:w="1949"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D096191"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Cal-Adapt</w:t>
            </w:r>
          </w:p>
        </w:tc>
      </w:tr>
      <w:tr w:rsidR="00D11DB3" w:rsidRPr="00050F51" w14:paraId="37ADE1C6" w14:textId="77777777" w:rsidTr="002A3F71">
        <w:trPr>
          <w:trHeight w:val="20"/>
        </w:trPr>
        <w:tc>
          <w:tcPr>
            <w:tcW w:w="169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9EB93F7"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1266"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D9826E5"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c>
          <w:tcPr>
            <w:tcW w:w="2434"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11919EC"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Precipitation</w:t>
            </w:r>
          </w:p>
        </w:tc>
        <w:tc>
          <w:tcPr>
            <w:tcW w:w="1276"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B0460CE" w14:textId="77777777" w:rsidR="00D11DB3" w:rsidRPr="00050F51" w:rsidRDefault="00D11DB3" w:rsidP="002A3F71">
            <w:pPr>
              <w:jc w:val="center"/>
              <w:rPr>
                <w:rFonts w:ascii="Arial" w:hAnsi="Arial" w:cs="Arial"/>
                <w:sz w:val="17"/>
                <w:szCs w:val="17"/>
              </w:rPr>
            </w:pPr>
            <w:r w:rsidRPr="00050F51">
              <w:rPr>
                <w:rFonts w:ascii="Arial" w:eastAsia="Arial" w:hAnsi="Arial" w:cs="Arial"/>
                <w:color w:val="000000"/>
                <w:sz w:val="17"/>
                <w:szCs w:val="17"/>
              </w:rPr>
              <w:t>% difference</w:t>
            </w:r>
          </w:p>
        </w:tc>
        <w:tc>
          <w:tcPr>
            <w:tcW w:w="1949"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2029229" w14:textId="77777777" w:rsidR="00D11DB3" w:rsidRPr="00050F51" w:rsidRDefault="00D11DB3" w:rsidP="002A3F71">
            <w:pPr>
              <w:widowControl w:val="0"/>
              <w:pBdr>
                <w:top w:val="nil"/>
                <w:left w:val="nil"/>
                <w:bottom w:val="nil"/>
                <w:right w:val="nil"/>
                <w:between w:val="nil"/>
              </w:pBdr>
              <w:spacing w:line="276" w:lineRule="auto"/>
              <w:jc w:val="center"/>
              <w:rPr>
                <w:rFonts w:ascii="Arial" w:hAnsi="Arial" w:cs="Arial"/>
                <w:sz w:val="17"/>
                <w:szCs w:val="17"/>
              </w:rPr>
            </w:pPr>
          </w:p>
        </w:tc>
      </w:tr>
    </w:tbl>
    <w:p w14:paraId="24BB2939" w14:textId="77777777" w:rsidR="00D11DB3" w:rsidRPr="00050F51" w:rsidRDefault="00D11DB3" w:rsidP="00D11DB3"/>
    <w:p w14:paraId="42571EE7" w14:textId="77777777" w:rsidR="00E3741C" w:rsidRPr="00050F51" w:rsidRDefault="00E3741C">
      <w:pPr>
        <w:rPr>
          <w:rFonts w:ascii="Arial" w:eastAsia="Arial" w:hAnsi="Arial" w:cs="Arial"/>
          <w:b/>
          <w:bCs/>
          <w:sz w:val="20"/>
          <w:szCs w:val="20"/>
        </w:rPr>
      </w:pPr>
      <w:r w:rsidRPr="00050F51">
        <w:br w:type="page"/>
      </w:r>
    </w:p>
    <w:p w14:paraId="00000239" w14:textId="732A8C59" w:rsidR="0041056C" w:rsidRPr="00050F51" w:rsidRDefault="00000000" w:rsidP="00B56F00">
      <w:pPr>
        <w:pStyle w:val="SISectionHeading"/>
      </w:pPr>
      <w:r w:rsidRPr="00050F51">
        <w:lastRenderedPageBreak/>
        <w:t>Section S</w:t>
      </w:r>
      <w:r w:rsidR="00D11DB3" w:rsidRPr="00050F51">
        <w:t>9</w:t>
      </w:r>
      <w:r w:rsidRPr="00050F51">
        <w:t>. Details on water supply balance model</w:t>
      </w:r>
    </w:p>
    <w:p w14:paraId="0000023A" w14:textId="01ED5D74" w:rsidR="0041056C" w:rsidRPr="00050F51" w:rsidRDefault="00000000" w:rsidP="00967318">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color w:val="000000"/>
          <w:sz w:val="20"/>
          <w:szCs w:val="20"/>
        </w:rPr>
        <w:t>We use the Santa Cruz Water System Model (SCWSM) to estimate water allocations. SCWSM is the Santa Cruz Water Department (SCWD)’s new water supply planning model that replaced the Confluence model the SCWD used for planning for over three decades.</w:t>
      </w:r>
      <w:r w:rsidR="0022316E"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{"citationID":"ahdE8Vai","properties":{"formattedCitation":"\\super 17\\nosupersub{}","plainCitation":"17","noteIndex":0},"citationItems":[{"id":11450,"uris":["http://zotero.org/users/3174049/items/VJJPCZW2"],"itemData":{"id":11450,"type":"report","publisher":"Santa Cruz Water Department","publisher-place":"Santa Cruz, CA","title":"Water Supply Augmentation Implementation Plan","author":[{"literal":"Kennedy Jenks"},{"literal":"Hydrosystems Research Group"}],"issued":{"date-parts":[["2025"]]}}}],"schema":"https://github.com/citation-style-language/schema/raw/master/csl-citation.json"} </w:instrText>
      </w:r>
      <w:r w:rsidR="0022316E"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17</w:t>
      </w:r>
      <w:r w:rsidR="0022316E" w:rsidRPr="00050F51">
        <w:rPr>
          <w:rFonts w:ascii="Arial" w:eastAsia="Arial" w:hAnsi="Arial" w:cs="Arial"/>
          <w:color w:val="000000"/>
          <w:sz w:val="20"/>
          <w:szCs w:val="20"/>
        </w:rPr>
        <w:fldChar w:fldCharType="end"/>
      </w:r>
      <w:r w:rsidRPr="00050F51">
        <w:rPr>
          <w:rFonts w:ascii="Arial" w:eastAsia="Arial" w:hAnsi="Arial" w:cs="Arial"/>
          <w:color w:val="000000"/>
          <w:sz w:val="20"/>
          <w:szCs w:val="20"/>
        </w:rPr>
        <w:t xml:space="preserve"> SCWSM runs at a daily timestep to accurately represent the system operations (including the water rights and water quality constraints). We run the model for 50 years, for water years 2021-2070. The model uses linear programming to determine water allocations based on a least-cost approach, where we assign costs to each water supply source based on realistic operating conditions (the costs assigned to each water source and stored in Loch Lomond are used to set the dispatch order, or the priority to which each source is used to supply demand). The model includes important system facilities, including Loch Lomond, the only reservoir; water diversions; pump stations; treatment plants; and groundwater wells. Loch Lomond falls last in the dispatch order when providing water to the service area, although reservoir water is used to satisfy local transfers and minimum flow requirements below the dam. The model captures various water rights, which dictate the system’s operation mainly to ensure adequate ecological flows and maximum annual and daily diversions from the different sources. Additionally, the model includes new plausible water supply infrastructure options, with the ability to turn various options on or off within a single simulation. Model boundary conditions include the inflow hydrology, precipitation and evaporation rates over the reservoir, and water demands. Model outputs include reservoir volumes; water supplies through major pumps, pipelines, and diversions; and water deliveries.</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{"citationID":"WSTB4fU7","properties":{"formattedCitation":"\\super 7\\nosupersub{}","plainCitation":"7","noteIndex":0},"citationItems":[{"id":10653,"uris":["http://zotero.org/users/3174049/items/LN7ITD2U"],"itemData":{"id":10653,"type":"report","collection-title":"Santa Cruz Water System Model (SCWSM) Long Term Vulnerability Assessment (LTVA)","publisher-place":"Santa Cruz, CA","title":"Vulnerability Assessment and Adaptation Planning for Santa Cruz Water Department","author":[{"literal":"Hydrosystems Research Group"}],"issued":{"date-parts":[["2023",6]]}}}],"schema":"https://github.com/citation-style-language/schema/raw/master/csl-citation.json"}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7</w:t>
      </w:r>
      <w:r w:rsidR="000E7DDB" w:rsidRPr="00050F51">
        <w:rPr>
          <w:rFonts w:ascii="Arial" w:eastAsia="Arial" w:hAnsi="Arial" w:cs="Arial"/>
          <w:color w:val="000000"/>
          <w:sz w:val="20"/>
          <w:szCs w:val="20"/>
        </w:rPr>
        <w:fldChar w:fldCharType="end"/>
      </w:r>
      <w:r w:rsidR="000E7DDB" w:rsidRPr="00050F51">
        <w:rPr>
          <w:rFonts w:ascii="Arial" w:eastAsia="Arial" w:hAnsi="Arial" w:cs="Arial"/>
          <w:color w:val="000000"/>
          <w:sz w:val="20"/>
          <w:szCs w:val="20"/>
          <w:vertAlign w:val="superscript"/>
        </w:rPr>
        <w:t xml:space="preserve"> </w:t>
      </w:r>
      <w:r w:rsidRPr="00050F51">
        <w:rPr>
          <w:rFonts w:ascii="Arial" w:eastAsia="Arial" w:hAnsi="Arial" w:cs="Arial"/>
          <w:color w:val="000000"/>
          <w:sz w:val="20"/>
          <w:szCs w:val="20"/>
        </w:rPr>
        <w:t>The model has been validated against the Confluence model using historical data from 1937-2015.</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{"citationID":"GNLUBswr","properties":{"formattedCitation":"\\super 7\\nosupersub{}","plainCitation":"7","noteIndex":0},"citationItems":[{"id":10653,"uris":["http://zotero.org/users/3174049/items/LN7ITD2U"],"itemData":{"id":10653,"type":"report","collection-title":"Santa Cruz Water System Model (SCWSM) Long Term Vulnerability Assessment (LTVA)","publisher-place":"Santa Cruz, CA","title":"Vulnerability Assessment and Adaptation Planning for Santa Cruz Water Department","author":[{"literal":"Hydrosystems Research Group"}],"issued":{"date-parts":[["2023",6]]}}}],"schema":"https://github.com/citation-style-language/schema/raw/master/csl-citation.json"}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7</w:t>
      </w:r>
      <w:r w:rsidR="000E7DDB" w:rsidRPr="00050F51">
        <w:rPr>
          <w:rFonts w:ascii="Arial" w:eastAsia="Arial" w:hAnsi="Arial" w:cs="Arial"/>
          <w:color w:val="000000"/>
          <w:sz w:val="20"/>
          <w:szCs w:val="20"/>
        </w:rPr>
        <w:fldChar w:fldCharType="end"/>
      </w:r>
    </w:p>
    <w:p w14:paraId="0000023B" w14:textId="65EFE025" w:rsidR="0041056C" w:rsidRPr="00050F51" w:rsidRDefault="00000000" w:rsidP="00B56F00">
      <w:pPr>
        <w:pStyle w:val="SISectionHeading"/>
      </w:pPr>
      <w:r w:rsidRPr="00050F51">
        <w:t>Section S1</w:t>
      </w:r>
      <w:r w:rsidR="0003113B" w:rsidRPr="00050F51">
        <w:t>0</w:t>
      </w:r>
      <w:r w:rsidRPr="00050F51">
        <w:t>. Details on hydrological model</w:t>
      </w:r>
    </w:p>
    <w:p w14:paraId="0000023C" w14:textId="7A739890" w:rsidR="0041056C" w:rsidRPr="00050F51" w:rsidRDefault="00000000" w:rsidP="00967318">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color w:val="000000"/>
          <w:sz w:val="20"/>
          <w:szCs w:val="20"/>
        </w:rPr>
        <w:t>We use a lumped hydrological model based on a single streamflow location within SCWD’s watershed area, shown in Figure S</w:t>
      </w:r>
      <w:r w:rsidRPr="00050F51">
        <w:rPr>
          <w:rFonts w:ascii="Arial" w:eastAsia="Arial" w:hAnsi="Arial" w:cs="Arial"/>
          <w:sz w:val="20"/>
          <w:szCs w:val="20"/>
        </w:rPr>
        <w:t>1</w:t>
      </w:r>
      <w:r w:rsidR="0003113B" w:rsidRPr="00050F51">
        <w:rPr>
          <w:rFonts w:ascii="Arial" w:eastAsia="Arial" w:hAnsi="Arial" w:cs="Arial"/>
          <w:sz w:val="20"/>
          <w:szCs w:val="20"/>
        </w:rPr>
        <w:t>3</w:t>
      </w:r>
      <w:r w:rsidRPr="00050F51">
        <w:rPr>
          <w:rFonts w:ascii="Arial" w:eastAsia="Arial" w:hAnsi="Arial" w:cs="Arial"/>
          <w:color w:val="000000"/>
          <w:sz w:val="20"/>
          <w:szCs w:val="20"/>
        </w:rPr>
        <w:t xml:space="preserve"> and discussed in detail in Appendix D-1 of the Santa Cruz Water Rights Project’s Environmental Impact Report.</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{"citationID":"hJfSg8Bh","properties":{"formattedCitation":"\\super 18\\nosupersub{}","plainCitation":"18","noteIndex":0},"citationItems":[{"id":11200,"uris":["http://zotero.org/users/3174049/items/4NSDYEZL"],"itemData":{"id":11200,"type":"report","genre":"Environmental Impact Report","number":"2018102039","publisher-place":"Santa Cruz, CA","title":"Appendix D-1 Baseflow Hydrology and Climate Change Affects Modeling","URL":"https://www.cityofsantacruz.com/home/showpublisheddocument/86975/637731703715270000","author":[{"literal":"Balance Hydrologics, Inc."}],"issued":{"date-parts":[["2020"]]}}}],"schema":"https://github.com/citation-style-language/schema/raw/master/csl-citation.json"}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18</w:t>
      </w:r>
      <w:r w:rsidR="000E7DDB" w:rsidRPr="00050F51">
        <w:rPr>
          <w:rFonts w:ascii="Arial" w:eastAsia="Arial" w:hAnsi="Arial" w:cs="Arial"/>
          <w:color w:val="000000"/>
          <w:sz w:val="20"/>
          <w:szCs w:val="20"/>
        </w:rPr>
        <w:fldChar w:fldCharType="end"/>
      </w:r>
      <w:r w:rsidRPr="00050F51">
        <w:rPr>
          <w:rFonts w:ascii="Arial" w:eastAsia="Arial" w:hAnsi="Arial" w:cs="Arial"/>
          <w:color w:val="000000"/>
          <w:sz w:val="20"/>
          <w:szCs w:val="20"/>
        </w:rPr>
        <w:t xml:space="preserve"> The base streamflow location is on the San Lorenzo River at Big Trees utilizing USGS streamflow gage data (ID: 11160500) and is chosen because it has the longest continuous streamflow record from 1936 to the present and is a primary water source for the city. Overlapping flow records are used to develop regression models between the San Lorenzo River and other important streamflow locations. Other streamflow data comes from USGS gages and the city with streamflow records ranging from 7 to 28 years. Streamflow is modeled at a daily timestep to provide a reasonable measure of ecological conditions and to more realistically evaluate water supply reliability. Accurate representation of the system diversion operations also requires daily resolution to ensure compliance with water rights. Flow withdrawals are made to account for ecological requirements for fish habitation. Calibration periods have daily streamflow errors less than 5%. While this model does not capture all of the variance in historical data, it does calculate low flow periods to an acceptable level (&lt;10% relative error), which is the goal of the </w:t>
      </w:r>
      <w:sdt>
        <w:sdtPr>
          <w:rPr>
            <w:rFonts w:ascii="Arial" w:hAnsi="Arial" w:cs="Arial"/>
            <w:sz w:val="20"/>
            <w:szCs w:val="20"/>
          </w:rPr>
          <w:tag w:val="goog_rdk_13"/>
          <w:id w:val="75140004"/>
        </w:sdtPr>
        <w:sdtContent/>
      </w:sdt>
      <w:r w:rsidRPr="00050F51">
        <w:rPr>
          <w:rFonts w:ascii="Arial" w:eastAsia="Arial" w:hAnsi="Arial" w:cs="Arial"/>
          <w:color w:val="000000"/>
          <w:sz w:val="20"/>
          <w:szCs w:val="20"/>
        </w:rPr>
        <w:t>model.</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{"citationID":"lP7PdXNy","properties":{"formattedCitation":"\\super 18,19\\nosupersub{}","plainCitation":"18,19","noteIndex":0},"citationItems":[{"id":11200,"uris":["http://zotero.org/users/3174049/items/4NSDYEZL"],"itemData":{"id":11200,"type":"report","genre":"Environmental Impact Report","number":"2018102039","publisher-place":"Santa Cruz, CA","title":"Appendix D-1 Baseflow Hydrology and Climate Change Affects Modeling","URL":"https://www.cityofsantacruz.com/home/showpublisheddocument/86975/637731703715270000","author":[{"literal":"Balance Hydrologics, Inc."}],"issued":{"date-parts":[["2020"]]}}},{"id":11760,"uris":["http://zotero.org/users/3174049/items/HTEER3LA"],"itemData":{"id":11760,"type":"article-journal","abstract":"Pacific Northwest (PNW) hydrology is particularly sensitive to changes in climate because snowmelt dominates seasonal runoff, and temperature changes impact the rain/snow balance. Based on results from the Fourth Assessment Report of the Intergovernmental Panel on Climate Change (IPCC AR4), we updated previous studies of implications of climate change on PNW hydrology. PNW 21st century hydrology was simulated using 20 Global Climate Models (GCMs) and 2 greenhouse gas emissions scenarios over Washington and the greater Columbia River watershed, with additional focus on the Yakima River watershed and the Puget Sound which are particularly sensitive to climate change. We evaluated projected changes in snow water equivalent (SWE), soil moisture, runoff, and streamflow for A1B and B1 emissions scenarios for the 2020s, 2040s, and 2080s. April 1 SWE is projected to decrease by approximately 38–46% by the 2040s (compared with the mean over water years 1917–2006), based on composite scenarios of B1 and A1B, respectively, which represent average effects of all climate models. In three relatively warm transient watersheds west of the Cascade crest, April 1 SWE is projected to almost completely disappear by the 2080s. By the 2080s, seasonal streamflow timing will shift significantly in both snowmelt dominant and rain–snow mixed watersheds. Annual runoff across the State is projected to increase by 2–3% by the 2040s; these changes are mainly driven by projected increases in winter precipitation.","container-title":"Climatic Change","DOI":"10.1007/s10584-010-9855-0","ISSN":"1573-1480","issue":"1","journalAbbreviation":"Climatic Change","language":"en","page":"225-260","source":"Springer Link","title":"Implications of 21st century climate change for the hydrology of Washington State","volume":"102","author":[{"family":"Elsner","given":"Marketa M."},{"family":"Cuo","given":"Lan"},{"family":"Voisin","given":"Nathalie"},{"family":"Deems","given":"Jeffrey S."},{"family":"Hamlet","given":"Alan F."},{"family":"Vano","given":"Julie A."},{"family":"Mickelson","given":"Kristian E. B."},{"family":"Lee","given":"Se-Yeun"},{"family":"Lettenmaier","given":"Dennis P."}],"issued":{"date-parts":[["2010",9,1]]}}}],"schema":"https://github.com/citation-style-language/schema/raw/master/csl-citation.json"}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18,19</w:t>
      </w:r>
      <w:r w:rsidR="000E7DDB" w:rsidRPr="00050F51">
        <w:rPr>
          <w:rFonts w:ascii="Arial" w:eastAsia="Arial" w:hAnsi="Arial" w:cs="Arial"/>
          <w:color w:val="000000"/>
          <w:sz w:val="20"/>
          <w:szCs w:val="20"/>
        </w:rPr>
        <w:fldChar w:fldCharType="end"/>
      </w:r>
      <w:r w:rsidRPr="00050F51">
        <w:rPr>
          <w:rFonts w:ascii="Arial" w:eastAsia="Arial" w:hAnsi="Arial" w:cs="Arial"/>
          <w:color w:val="000000"/>
          <w:sz w:val="20"/>
          <w:szCs w:val="20"/>
        </w:rPr>
        <w:t xml:space="preserve"> Full validation data are available on page 6 in Appendix D-1.</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{"citationID":"C0yaKkBK","properties":{"formattedCitation":"\\super 18\\nosupersub{}","plainCitation":"18","noteIndex":0},"citationItems":[{"id":11200,"uris":["http://zotero.org/users/3174049/items/4NSDYEZL"],"itemData":{"id":11200,"type":"report","genre":"Environmental Impact Report","number":"2018102039","publisher-place":"Santa Cruz, CA","title":"Appendix D-1 Baseflow Hydrology and Climate Change Affects Modeling","URL":"https://www.cityofsantacruz.com/home/showpublisheddocument/86975/637731703715270000","author":[{"literal":"Balance Hydrologics, Inc."}],"issued":{"date-parts":[["2020"]]}}}],"schema":"https://github.com/citation-style-language/schema/raw/master/csl-citation.json"}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18</w:t>
      </w:r>
      <w:r w:rsidR="000E7DDB" w:rsidRPr="00050F51">
        <w:rPr>
          <w:rFonts w:ascii="Arial" w:eastAsia="Arial" w:hAnsi="Arial" w:cs="Arial"/>
          <w:color w:val="000000"/>
          <w:sz w:val="20"/>
          <w:szCs w:val="20"/>
        </w:rPr>
        <w:fldChar w:fldCharType="end"/>
      </w:r>
      <w:r w:rsidR="000E7DDB" w:rsidRPr="00050F51">
        <w:rPr>
          <w:rFonts w:ascii="Arial" w:eastAsia="Arial" w:hAnsi="Arial" w:cs="Arial"/>
          <w:color w:val="000000"/>
          <w:sz w:val="20"/>
          <w:szCs w:val="20"/>
        </w:rPr>
        <w:t xml:space="preserve"> </w:t>
      </w:r>
      <w:r w:rsidRPr="00050F51">
        <w:rPr>
          <w:rFonts w:ascii="Arial" w:eastAsia="Arial" w:hAnsi="Arial" w:cs="Arial"/>
          <w:color w:val="000000"/>
          <w:sz w:val="20"/>
          <w:szCs w:val="20"/>
        </w:rPr>
        <w:t>To use the hydrological model under climate change scenarios, the time series generated in Section S</w:t>
      </w:r>
      <w:r w:rsidRPr="00050F51">
        <w:rPr>
          <w:rFonts w:ascii="Arial" w:eastAsia="Arial" w:hAnsi="Arial" w:cs="Arial"/>
          <w:sz w:val="20"/>
          <w:szCs w:val="20"/>
        </w:rPr>
        <w:t>1</w:t>
      </w:r>
      <w:r w:rsidRPr="00050F51">
        <w:rPr>
          <w:rFonts w:ascii="Arial" w:eastAsia="Arial" w:hAnsi="Arial" w:cs="Arial"/>
          <w:color w:val="000000"/>
          <w:sz w:val="20"/>
          <w:szCs w:val="20"/>
        </w:rPr>
        <w:t xml:space="preserve"> are input</w:t>
      </w:r>
      <w:r w:rsidRPr="00050F51">
        <w:rPr>
          <w:rFonts w:ascii="Arial" w:eastAsia="Arial" w:hAnsi="Arial" w:cs="Arial"/>
          <w:sz w:val="20"/>
          <w:szCs w:val="20"/>
        </w:rPr>
        <w:t xml:space="preserve"> into the hydrological model</w:t>
      </w:r>
      <w:r w:rsidRPr="00050F51">
        <w:rPr>
          <w:rFonts w:ascii="Arial" w:eastAsia="Arial" w:hAnsi="Arial" w:cs="Arial"/>
          <w:color w:val="000000"/>
          <w:sz w:val="20"/>
          <w:szCs w:val="20"/>
        </w:rPr>
        <w:t>.</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{"citationID":"QteQ6zAF","properties":{"formattedCitation":"\\super 18\\nosupersub{}","plainCitation":"18","noteIndex":0},"citationItems":[{"id":11200,"uris":["http://zotero.org/users/3174049/items/4NSDYEZL"],"itemData":{"id":11200,"type":"report","genre":"Environmental Impact Report","number":"2018102039","publisher-place":"Santa Cruz, CA","title":"Appendix D-1 Baseflow Hydrology and Climate Change Affects Modeling","URL":"https://www.cityofsantacruz.com/home/showpublisheddocument/86975/637731703715270000","author":[{"literal":"Balance Hydrologics, Inc."}],"issued":{"date-parts":[["2020"]]}}}],"schema":"https://github.com/citation-style-language/schema/raw/master/csl-citation.json"}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18</w:t>
      </w:r>
      <w:r w:rsidR="000E7DDB" w:rsidRPr="00050F51">
        <w:rPr>
          <w:rFonts w:ascii="Arial" w:eastAsia="Arial" w:hAnsi="Arial" w:cs="Arial"/>
          <w:color w:val="000000"/>
          <w:sz w:val="20"/>
          <w:szCs w:val="20"/>
        </w:rPr>
        <w:fldChar w:fldCharType="end"/>
      </w:r>
    </w:p>
    <w:p w14:paraId="0000023D" w14:textId="77777777" w:rsidR="0041056C" w:rsidRPr="00050F51" w:rsidRDefault="00000000">
      <w:pPr>
        <w:pBdr>
          <w:top w:val="nil"/>
          <w:left w:val="nil"/>
          <w:bottom w:val="nil"/>
          <w:right w:val="nil"/>
          <w:between w:val="nil"/>
        </w:pBdr>
        <w:rPr>
          <w:rFonts w:ascii="Arial" w:eastAsia="Arial" w:hAnsi="Arial" w:cs="Arial"/>
          <w:color w:val="000000"/>
          <w:sz w:val="20"/>
          <w:szCs w:val="20"/>
        </w:rPr>
      </w:pPr>
      <w:r w:rsidRPr="00050F51">
        <w:rPr>
          <w:rFonts w:ascii="Arial" w:eastAsia="Arial" w:hAnsi="Arial" w:cs="Arial"/>
          <w:noProof/>
          <w:color w:val="000000"/>
          <w:sz w:val="22"/>
          <w:szCs w:val="22"/>
        </w:rPr>
        <w:lastRenderedPageBreak/>
        <w:drawing>
          <wp:inline distT="0" distB="0" distL="0" distR="0" wp14:anchorId="0CEFC210" wp14:editId="64F49589">
            <wp:extent cx="4962162" cy="3441351"/>
            <wp:effectExtent l="0" t="0" r="0" b="0"/>
            <wp:docPr id="212162667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4962162" cy="3441351"/>
                    </a:xfrm>
                    <a:prstGeom prst="rect">
                      <a:avLst/>
                    </a:prstGeom>
                    <a:ln/>
                  </pic:spPr>
                </pic:pic>
              </a:graphicData>
            </a:graphic>
          </wp:inline>
        </w:drawing>
      </w:r>
    </w:p>
    <w:p w14:paraId="0000023E" w14:textId="55D77C8C" w:rsidR="0041056C" w:rsidRPr="00050F51" w:rsidRDefault="00000000" w:rsidP="004E5254">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b/>
          <w:bCs/>
          <w:color w:val="000000"/>
          <w:sz w:val="20"/>
          <w:szCs w:val="20"/>
        </w:rPr>
        <w:t>Fig. S</w:t>
      </w:r>
      <w:r w:rsidRPr="00050F51">
        <w:rPr>
          <w:rFonts w:ascii="Arial" w:eastAsia="Arial" w:hAnsi="Arial" w:cs="Arial"/>
          <w:b/>
          <w:bCs/>
          <w:sz w:val="20"/>
          <w:szCs w:val="20"/>
        </w:rPr>
        <w:t>1</w:t>
      </w:r>
      <w:r w:rsidR="0003113B" w:rsidRPr="00050F51">
        <w:rPr>
          <w:rFonts w:ascii="Arial" w:eastAsia="Arial" w:hAnsi="Arial" w:cs="Arial"/>
          <w:b/>
          <w:bCs/>
          <w:sz w:val="20"/>
          <w:szCs w:val="20"/>
        </w:rPr>
        <w:t>3</w:t>
      </w:r>
      <w:r w:rsidRPr="00050F51">
        <w:rPr>
          <w:rFonts w:ascii="Arial" w:eastAsia="Arial" w:hAnsi="Arial" w:cs="Arial"/>
          <w:b/>
          <w:bCs/>
          <w:color w:val="000000"/>
          <w:sz w:val="20"/>
          <w:szCs w:val="20"/>
        </w:rPr>
        <w:t>.</w:t>
      </w:r>
      <w:r w:rsidRPr="00050F51">
        <w:rPr>
          <w:rFonts w:ascii="Arial" w:eastAsia="Arial" w:hAnsi="Arial" w:cs="Arial"/>
          <w:color w:val="000000"/>
          <w:sz w:val="20"/>
          <w:szCs w:val="20"/>
        </w:rPr>
        <w:t xml:space="preserve"> Workflow for base hydrology model. Illustrates the regression relationships between streamflow locations. </w:t>
      </w:r>
      <w:r w:rsidRPr="00050F51">
        <w:rPr>
          <w:rFonts w:ascii="Arial" w:eastAsia="Arial" w:hAnsi="Arial" w:cs="Arial"/>
          <w:sz w:val="20"/>
          <w:szCs w:val="20"/>
        </w:rPr>
        <w:t>Solid l</w:t>
      </w:r>
      <w:r w:rsidRPr="00050F51">
        <w:rPr>
          <w:rFonts w:ascii="Arial" w:eastAsia="Arial" w:hAnsi="Arial" w:cs="Arial"/>
          <w:color w:val="000000"/>
          <w:sz w:val="20"/>
          <w:szCs w:val="20"/>
        </w:rPr>
        <w:t xml:space="preserve">ines between boxes indicate regression relationships and dashed lines indicate flow correction estimates. Adapted from </w:t>
      </w:r>
      <w:r w:rsidRPr="00050F51">
        <w:rPr>
          <w:rFonts w:ascii="Arial" w:eastAsia="Arial" w:hAnsi="Arial" w:cs="Arial"/>
          <w:sz w:val="20"/>
          <w:szCs w:val="20"/>
        </w:rPr>
        <w:t>a previous report</w:t>
      </w:r>
      <w:r w:rsidRPr="00050F51">
        <w:rPr>
          <w:rFonts w:ascii="Arial" w:eastAsia="Arial" w:hAnsi="Arial" w:cs="Arial"/>
          <w:color w:val="000000"/>
          <w:sz w:val="20"/>
          <w:szCs w:val="20"/>
        </w:rPr>
        <w:t>.</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{"citationID":"YMANLK1O","properties":{"formattedCitation":"\\super 18\\nosupersub{}","plainCitation":"18","noteIndex":0},"citationItems":[{"id":11200,"uris":["http://zotero.org/users/3174049/items/4NSDYEZL"],"itemData":{"id":11200,"type":"report","genre":"Environmental Impact Report","number":"2018102039","publisher-place":"Santa Cruz, CA","title":"Appendix D-1 Baseflow Hydrology and Climate Change Affects Modeling","URL":"https://www.cityofsantacruz.com/home/showpublisheddocument/86975/637731703715270000","author":[{"literal":"Balance Hydrologics, Inc."}],"issued":{"date-parts":[["2020"]]}}}],"schema":"https://github.com/citation-style-language/schema/raw/master/csl-citation.json"}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18</w:t>
      </w:r>
      <w:r w:rsidR="000E7DDB" w:rsidRPr="00050F51">
        <w:rPr>
          <w:rFonts w:ascii="Arial" w:eastAsia="Arial" w:hAnsi="Arial" w:cs="Arial"/>
          <w:color w:val="000000"/>
          <w:sz w:val="20"/>
          <w:szCs w:val="20"/>
        </w:rPr>
        <w:fldChar w:fldCharType="end"/>
      </w:r>
    </w:p>
    <w:p w14:paraId="00000240" w14:textId="69CD73FD" w:rsidR="0041056C" w:rsidRPr="00050F51" w:rsidRDefault="00000000" w:rsidP="0003113B">
      <w:pPr>
        <w:rPr>
          <w:rFonts w:ascii="Arial" w:eastAsia="Arial" w:hAnsi="Arial" w:cs="Arial"/>
          <w:b/>
          <w:bCs/>
          <w:sz w:val="20"/>
          <w:szCs w:val="20"/>
        </w:rPr>
      </w:pPr>
      <w:r w:rsidRPr="00050F51">
        <w:br w:type="page"/>
      </w:r>
    </w:p>
    <w:p w14:paraId="00000241" w14:textId="068EB05D" w:rsidR="0041056C" w:rsidRPr="00050F51" w:rsidRDefault="00000000" w:rsidP="00B56F00">
      <w:pPr>
        <w:pStyle w:val="SISectionHeading"/>
      </w:pPr>
      <w:r w:rsidRPr="00050F51">
        <w:lastRenderedPageBreak/>
        <w:t>Section S1</w:t>
      </w:r>
      <w:r w:rsidR="0003113B" w:rsidRPr="00050F51">
        <w:t>1</w:t>
      </w:r>
      <w:r w:rsidRPr="00050F51">
        <w:t>. Details on risk-of-failure (ROF) table development and utilization</w:t>
      </w:r>
    </w:p>
    <w:p w14:paraId="00000243" w14:textId="4954878B" w:rsidR="0041056C" w:rsidRPr="00050F51" w:rsidRDefault="00000000" w:rsidP="00967318">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color w:val="000000"/>
          <w:sz w:val="20"/>
          <w:szCs w:val="20"/>
        </w:rPr>
        <w:t xml:space="preserve">We develop risk-of-failure (ROF) lookup tables by running </w:t>
      </w:r>
      <w:r w:rsidR="008414D5" w:rsidRPr="00050F51">
        <w:rPr>
          <w:rFonts w:ascii="Arial" w:eastAsia="Arial" w:hAnsi="Arial" w:cs="Arial"/>
          <w:color w:val="000000"/>
          <w:sz w:val="20"/>
          <w:szCs w:val="20"/>
        </w:rPr>
        <w:t>hundreds of</w:t>
      </w:r>
      <w:r w:rsidRPr="00050F51">
        <w:rPr>
          <w:rFonts w:ascii="Arial" w:eastAsia="Arial" w:hAnsi="Arial" w:cs="Arial"/>
          <w:color w:val="000000"/>
          <w:sz w:val="20"/>
          <w:szCs w:val="20"/>
        </w:rPr>
        <w:t xml:space="preserve"> two-year simulations to approximate the risk of reservoir levels dropping below a minimum operating level in the upcoming two-year period.</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{"citationID":"xX4TyQqC","properties":{"formattedCitation":"\\super 20\\nosupersub{}","plainCitation":"20","noteIndex":0},"citationItems":[{"id":10122,"uris":["http://zotero.org/users/3174049/items/LUIZRJY2"],"itemData":{"id":10122,"type":"article-journal","abstract":"Transfers of treated water among inter-connected utilities is becoming more common as the cost of developing new supplies grows, and transfer agreements require well developed rules describing when and how much water will be transferred. The nature of the decision rules governing an agreement must also be coordinated with respect to the treatment and conveyance capacity required to execute the transfers. This study explores different combinations of infrastructure and agreement type that define three different transfer programs, describing the frequency and volume of transfers associated with each, as well as their costs. The agreements are described in terms of the type of decision rule employed: Take-or-Pay, where the timing and quantity of transfers is fixed; Days of Supply Remaining (DSR), which uses a static hydrologic indicator to trigger transfers; and Risk-of-Failure, a probability-based decision rule that involves consideration of both supply and demand. This analysis is conducted within the context of the Research Triangle area of North Carolina (USA), a rapidly growing area that is beginning to approach the practical limits of water resource development. The Risk-of-Failure agreement is shown to reduce the average volume of transfers by over 80% compared to a Take-or-Pay agreement and by roughly half relative to the DSR agreement, leading to significant cost reductions. A utility's willingness to accept something less than guaranteed access to a specified quantity of water (i.e. an interruption) also has a significant impact on cost. Interruptions do not necessarily lead to lower reliability, but rather to the purchasing utility acquiring more water during off-peak periods when the seller has excess treatment capacity available. The lowest cost guaranteed agreement is 40–50% more expensive than the lowest cost interruptible contract.","container-title":"Journal of Environmental Management","DOI":"10.1016/j.jenvman.2008.11.003","ISSN":"0301-4797","issue":"5","journalAbbreviation":"Journal of Environmental Management","page":"1703-1714","source":"ScienceDirect","title":"Reducing the costs of meeting regional water demand through risk-based transfer agreements","volume":"90","author":[{"family":"Palmer","given":"Reed N."},{"family":"Characklis","given":"Gregory W."}],"issued":{"date-parts":[["2009",4,1]]}}}],"schema":"https://github.com/citation-style-language/schema/raw/master/csl-citation.json"}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20</w:t>
      </w:r>
      <w:r w:rsidR="000E7DDB" w:rsidRPr="00050F51">
        <w:rPr>
          <w:rFonts w:ascii="Arial" w:eastAsia="Arial" w:hAnsi="Arial" w:cs="Arial"/>
          <w:color w:val="000000"/>
          <w:sz w:val="20"/>
          <w:szCs w:val="20"/>
        </w:rPr>
        <w:fldChar w:fldCharType="end"/>
      </w:r>
      <w:r w:rsidR="000E7DDB" w:rsidRPr="00050F51">
        <w:rPr>
          <w:rFonts w:ascii="Arial" w:eastAsia="Arial" w:hAnsi="Arial" w:cs="Arial"/>
          <w:color w:val="000000"/>
          <w:sz w:val="20"/>
          <w:szCs w:val="20"/>
        </w:rPr>
        <w:t xml:space="preserve"> </w:t>
      </w:r>
      <w:r w:rsidRPr="00050F51">
        <w:rPr>
          <w:rFonts w:ascii="Arial" w:eastAsia="Arial" w:hAnsi="Arial" w:cs="Arial"/>
          <w:color w:val="000000"/>
          <w:sz w:val="20"/>
          <w:szCs w:val="20"/>
        </w:rPr>
        <w:t xml:space="preserve">The ROF triggers are based on three dimensions: initial reservoir storage level, </w:t>
      </w:r>
      <w:r w:rsidRPr="00050F51">
        <w:rPr>
          <w:rFonts w:ascii="Arial" w:eastAsia="Arial" w:hAnsi="Arial" w:cs="Arial"/>
          <w:sz w:val="20"/>
          <w:szCs w:val="20"/>
        </w:rPr>
        <w:t xml:space="preserve">annual water demand levels, and </w:t>
      </w:r>
      <w:r w:rsidRPr="00050F51">
        <w:rPr>
          <w:rFonts w:ascii="Arial" w:eastAsia="Arial" w:hAnsi="Arial" w:cs="Arial"/>
          <w:color w:val="000000"/>
          <w:sz w:val="20"/>
          <w:szCs w:val="20"/>
        </w:rPr>
        <w:t>infrastructure options that have already been planned or implemented. First, we</w:t>
      </w:r>
      <w:r w:rsidRPr="00050F51">
        <w:rPr>
          <w:rFonts w:ascii="Arial" w:eastAsia="Arial" w:hAnsi="Arial" w:cs="Arial"/>
          <w:sz w:val="20"/>
          <w:szCs w:val="20"/>
        </w:rPr>
        <w:t xml:space="preserve"> choose ranges of these three dimensions to include. </w:t>
      </w:r>
      <w:r w:rsidRPr="00050F51">
        <w:rPr>
          <w:rFonts w:ascii="Arial" w:eastAsia="Arial" w:hAnsi="Arial" w:cs="Arial"/>
          <w:color w:val="000000"/>
          <w:sz w:val="20"/>
          <w:szCs w:val="20"/>
        </w:rPr>
        <w:t xml:space="preserve">For initial storage levels, we use values between 40% and 100% of total storage capacity, as SCWD’s target for minimum operating level is ~36%. </w:t>
      </w:r>
      <w:r w:rsidRPr="00050F51">
        <w:rPr>
          <w:rFonts w:ascii="Arial" w:eastAsia="Arial" w:hAnsi="Arial" w:cs="Arial"/>
          <w:sz w:val="20"/>
          <w:szCs w:val="20"/>
        </w:rPr>
        <w:t>For annual total water demands, we look at a range of 2300-3100 MG/year (in 100 MG increments; Santa Cruz’s 2020 water usage is 2,606 MG</w:t>
      </w:r>
      <w:r w:rsidR="000E7DDB" w:rsidRPr="00050F51">
        <w:rPr>
          <w:rFonts w:ascii="Arial" w:eastAsia="Arial" w:hAnsi="Arial" w:cs="Arial"/>
          <w:sz w:val="20"/>
          <w:szCs w:val="20"/>
        </w:rPr>
        <w:fldChar w:fldCharType="begin"/>
      </w:r>
      <w:r w:rsidR="000E7DDB" w:rsidRPr="00050F51">
        <w:rPr>
          <w:rFonts w:ascii="Arial" w:eastAsia="Arial" w:hAnsi="Arial" w:cs="Arial"/>
          <w:sz w:val="20"/>
          <w:szCs w:val="20"/>
        </w:rPr>
        <w:instrText xml:space="preserve"> ADDIN ZOTERO_ITEM CSL_CITATION {"citationID":"OXXRJ0xs","properties":{"formattedCitation":"\\super 11\\nosupersub{}","plainCitation":"11","noteIndex":0},"citationItems":[{"id":7906,"uris":["http://zotero.org/users/3174049/items/B94P2NNH"],"itemData":{"id":7906,"type":"report","publisher":"City of Santa Cruz Water Department","publisher-place":"Santa Cruz, CA","title":"2020 Urban Water Management Plan","URL":"https://www.cityofsantacruz.com/home/showpublisheddocument/87122/637739611535800000","author":[{"family":"Perez","given":"Sarah Easley"}],"issued":{"date-parts":[["2021",11]]}}}],"schema":"https://github.com/citation-style-language/schema/raw/master/csl-citation.json"} </w:instrText>
      </w:r>
      <w:r w:rsidR="000E7DDB" w:rsidRPr="00050F51">
        <w:rPr>
          <w:rFonts w:ascii="Arial" w:eastAsia="Arial" w:hAnsi="Arial" w:cs="Arial"/>
          <w:sz w:val="20"/>
          <w:szCs w:val="20"/>
        </w:rPr>
        <w:fldChar w:fldCharType="separate"/>
      </w:r>
      <w:r w:rsidR="000E7DDB" w:rsidRPr="00050F51">
        <w:rPr>
          <w:rFonts w:ascii="Arial" w:hAnsi="Arial" w:cs="Arial"/>
          <w:sz w:val="20"/>
          <w:vertAlign w:val="superscript"/>
          <w:lang w:val="en-US"/>
        </w:rPr>
        <w:t>11</w:t>
      </w:r>
      <w:r w:rsidR="000E7DDB" w:rsidRPr="00050F51">
        <w:rPr>
          <w:rFonts w:ascii="Arial" w:eastAsia="Arial" w:hAnsi="Arial" w:cs="Arial"/>
          <w:sz w:val="20"/>
          <w:szCs w:val="20"/>
        </w:rPr>
        <w:fldChar w:fldCharType="end"/>
      </w:r>
      <w:r w:rsidRPr="00050F51">
        <w:rPr>
          <w:rFonts w:ascii="Arial" w:eastAsia="Arial" w:hAnsi="Arial" w:cs="Arial"/>
          <w:sz w:val="20"/>
          <w:szCs w:val="20"/>
        </w:rPr>
        <w:t xml:space="preserve">). </w:t>
      </w:r>
      <w:r w:rsidRPr="00050F51">
        <w:rPr>
          <w:rFonts w:ascii="Arial" w:eastAsia="Arial" w:hAnsi="Arial" w:cs="Arial"/>
          <w:color w:val="000000"/>
          <w:sz w:val="20"/>
          <w:szCs w:val="20"/>
        </w:rPr>
        <w:t xml:space="preserve">For infrastructure options, we look at all combinations of options between zero and three of the five options. We determine this range by testing the sensitivity of residential demands in our econometric model and by randomly sampling from our multi-family and non-residential demand scenarios. </w:t>
      </w:r>
    </w:p>
    <w:p w14:paraId="00000245" w14:textId="34E2B897" w:rsidR="0041056C" w:rsidRPr="00050F51" w:rsidRDefault="00000000" w:rsidP="00967318">
      <w:pPr>
        <w:pBdr>
          <w:top w:val="nil"/>
          <w:left w:val="nil"/>
          <w:bottom w:val="nil"/>
          <w:right w:val="nil"/>
          <w:between w:val="nil"/>
        </w:pBdr>
        <w:spacing w:after="120"/>
        <w:rPr>
          <w:rFonts w:ascii="Arial" w:eastAsia="Arial" w:hAnsi="Arial" w:cs="Arial"/>
          <w:sz w:val="20"/>
          <w:szCs w:val="20"/>
        </w:rPr>
      </w:pPr>
      <w:r w:rsidRPr="00050F51">
        <w:rPr>
          <w:rFonts w:ascii="Arial" w:eastAsia="Arial" w:hAnsi="Arial" w:cs="Arial"/>
          <w:sz w:val="20"/>
          <w:szCs w:val="20"/>
        </w:rPr>
        <w:t>After defining the ranges, we estimate the two-year risk of failure for each possible combination of system conditions (i.e., initial reservoir storage, annual water demand, and infrastructure options). To do this, w</w:t>
      </w:r>
      <w:r w:rsidRPr="00050F51">
        <w:rPr>
          <w:rFonts w:ascii="Arial" w:eastAsia="Arial" w:hAnsi="Arial" w:cs="Arial"/>
          <w:color w:val="000000"/>
          <w:sz w:val="20"/>
          <w:szCs w:val="20"/>
        </w:rPr>
        <w:t xml:space="preserve">e randomly </w:t>
      </w:r>
      <w:r w:rsidRPr="00050F51">
        <w:rPr>
          <w:rFonts w:ascii="Arial" w:eastAsia="Arial" w:hAnsi="Arial" w:cs="Arial"/>
          <w:sz w:val="20"/>
          <w:szCs w:val="20"/>
        </w:rPr>
        <w:t>sample ten climate simulations across all climate perturbations and divide the 100-year scenarios into 99 two-year segments, running hundreds of simulations for each combination of system conditions. Figure S1</w:t>
      </w:r>
      <w:r w:rsidR="0003113B" w:rsidRPr="00050F51">
        <w:rPr>
          <w:rFonts w:ascii="Arial" w:eastAsia="Arial" w:hAnsi="Arial" w:cs="Arial"/>
          <w:sz w:val="20"/>
          <w:szCs w:val="20"/>
        </w:rPr>
        <w:t>4</w:t>
      </w:r>
      <w:r w:rsidRPr="00050F51">
        <w:rPr>
          <w:rFonts w:ascii="Arial" w:eastAsia="Arial" w:hAnsi="Arial" w:cs="Arial"/>
          <w:sz w:val="20"/>
          <w:szCs w:val="20"/>
        </w:rPr>
        <w:t xml:space="preserve"> illustrates, for one reservoir storage level, the estimated risk-of-failure for every combination of annual water demands and planned or deployed infrastructure options. We </w:t>
      </w:r>
      <w:r w:rsidR="008414D5" w:rsidRPr="00050F51">
        <w:rPr>
          <w:rFonts w:ascii="Arial" w:eastAsia="Arial" w:hAnsi="Arial" w:cs="Arial"/>
          <w:sz w:val="20"/>
          <w:szCs w:val="20"/>
        </w:rPr>
        <w:t>analyze</w:t>
      </w:r>
      <w:r w:rsidRPr="00050F51">
        <w:rPr>
          <w:rFonts w:ascii="Arial" w:eastAsia="Arial" w:hAnsi="Arial" w:cs="Arial"/>
          <w:sz w:val="20"/>
          <w:szCs w:val="20"/>
        </w:rPr>
        <w:t xml:space="preserve"> all infrastructure portfolios that include 0-3 infrastructure options.</w:t>
      </w:r>
    </w:p>
    <w:p w14:paraId="00000246" w14:textId="38C5BB8D" w:rsidR="0041056C" w:rsidRPr="00050F51" w:rsidRDefault="00000000" w:rsidP="00967318">
      <w:pPr>
        <w:pBdr>
          <w:top w:val="nil"/>
          <w:left w:val="nil"/>
          <w:bottom w:val="nil"/>
          <w:right w:val="nil"/>
          <w:between w:val="nil"/>
        </w:pBdr>
        <w:spacing w:after="120"/>
        <w:rPr>
          <w:rFonts w:ascii="Arial" w:eastAsia="Arial" w:hAnsi="Arial" w:cs="Arial"/>
          <w:sz w:val="20"/>
          <w:szCs w:val="20"/>
        </w:rPr>
      </w:pPr>
      <w:r w:rsidRPr="00050F51">
        <w:rPr>
          <w:rFonts w:ascii="Arial" w:eastAsia="Arial" w:hAnsi="Arial" w:cs="Arial"/>
          <w:sz w:val="20"/>
          <w:szCs w:val="20"/>
        </w:rPr>
        <w:t>Once the ROF lookup tables (comparable to Figure S1</w:t>
      </w:r>
      <w:r w:rsidR="0003113B" w:rsidRPr="00050F51">
        <w:rPr>
          <w:rFonts w:ascii="Arial" w:eastAsia="Arial" w:hAnsi="Arial" w:cs="Arial"/>
          <w:sz w:val="20"/>
          <w:szCs w:val="20"/>
        </w:rPr>
        <w:t>4</w:t>
      </w:r>
      <w:r w:rsidRPr="00050F51">
        <w:rPr>
          <w:rFonts w:ascii="Arial" w:eastAsia="Arial" w:hAnsi="Arial" w:cs="Arial"/>
          <w:sz w:val="20"/>
          <w:szCs w:val="20"/>
        </w:rPr>
        <w:t xml:space="preserve"> but for all reservoir storage levels and  infrastructure options) are developed, we incorporate them into our simulation. Each simulation uses a ROF trigger threshold (chosen in the optimization analysis); if the ROF for the current system state is above the threshold, that triggers the development of new infrastructure. We evaluate ROF triggers annually, in October at the start of the water year. Figure S1</w:t>
      </w:r>
      <w:r w:rsidR="0003113B" w:rsidRPr="00050F51">
        <w:rPr>
          <w:rFonts w:ascii="Arial" w:eastAsia="Arial" w:hAnsi="Arial" w:cs="Arial"/>
          <w:sz w:val="20"/>
          <w:szCs w:val="20"/>
        </w:rPr>
        <w:t>5</w:t>
      </w:r>
      <w:r w:rsidRPr="00050F51">
        <w:rPr>
          <w:rFonts w:ascii="Arial" w:eastAsia="Arial" w:hAnsi="Arial" w:cs="Arial"/>
          <w:sz w:val="20"/>
          <w:szCs w:val="20"/>
        </w:rPr>
        <w:t xml:space="preserve"> illustrates how reservoir storage levels and annual water demands impact ROF values, and how the threshold triggers new infrastructure projects when it is exceeded.</w:t>
      </w:r>
    </w:p>
    <w:p w14:paraId="00000247" w14:textId="77777777" w:rsidR="0041056C" w:rsidRPr="00050F51" w:rsidRDefault="0041056C">
      <w:pPr>
        <w:pBdr>
          <w:top w:val="nil"/>
          <w:left w:val="nil"/>
          <w:bottom w:val="nil"/>
          <w:right w:val="nil"/>
          <w:between w:val="nil"/>
        </w:pBdr>
        <w:rPr>
          <w:rFonts w:ascii="Arial" w:eastAsia="Arial" w:hAnsi="Arial" w:cs="Arial"/>
          <w:sz w:val="20"/>
          <w:szCs w:val="20"/>
        </w:rPr>
      </w:pPr>
    </w:p>
    <w:p w14:paraId="00000248" w14:textId="77777777" w:rsidR="0041056C" w:rsidRPr="00050F51" w:rsidRDefault="00000000">
      <w:pPr>
        <w:rPr>
          <w:rFonts w:ascii="Arial" w:eastAsia="Arial" w:hAnsi="Arial" w:cs="Arial"/>
          <w:sz w:val="20"/>
          <w:szCs w:val="20"/>
        </w:rPr>
      </w:pPr>
      <w:r w:rsidRPr="00050F51">
        <w:rPr>
          <w:rFonts w:ascii="Arial" w:eastAsia="Arial" w:hAnsi="Arial" w:cs="Arial"/>
          <w:noProof/>
          <w:sz w:val="20"/>
          <w:szCs w:val="20"/>
        </w:rPr>
        <w:lastRenderedPageBreak/>
        <w:drawing>
          <wp:inline distT="114300" distB="114300" distL="114300" distR="114300" wp14:anchorId="16198BAE" wp14:editId="6D103CB1">
            <wp:extent cx="3271838" cy="3741598"/>
            <wp:effectExtent l="0" t="0" r="0" b="0"/>
            <wp:docPr id="212162667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3"/>
                    <a:srcRect/>
                    <a:stretch>
                      <a:fillRect/>
                    </a:stretch>
                  </pic:blipFill>
                  <pic:spPr>
                    <a:xfrm>
                      <a:off x="0" y="0"/>
                      <a:ext cx="3271838" cy="3741598"/>
                    </a:xfrm>
                    <a:prstGeom prst="rect">
                      <a:avLst/>
                    </a:prstGeom>
                    <a:ln/>
                  </pic:spPr>
                </pic:pic>
              </a:graphicData>
            </a:graphic>
          </wp:inline>
        </w:drawing>
      </w:r>
    </w:p>
    <w:p w14:paraId="00000249" w14:textId="11EA5CAA" w:rsidR="0041056C" w:rsidRPr="00050F51" w:rsidRDefault="00000000" w:rsidP="004E5254">
      <w:pPr>
        <w:spacing w:after="120"/>
        <w:rPr>
          <w:rFonts w:ascii="Arial" w:eastAsia="Arial" w:hAnsi="Arial" w:cs="Arial"/>
          <w:sz w:val="20"/>
          <w:szCs w:val="20"/>
        </w:rPr>
      </w:pPr>
      <w:r w:rsidRPr="00050F51">
        <w:rPr>
          <w:rFonts w:ascii="Arial" w:eastAsia="Arial" w:hAnsi="Arial" w:cs="Arial"/>
          <w:b/>
          <w:bCs/>
          <w:sz w:val="20"/>
          <w:szCs w:val="20"/>
        </w:rPr>
        <w:t>Fig. S1</w:t>
      </w:r>
      <w:r w:rsidR="0003113B" w:rsidRPr="00050F51">
        <w:rPr>
          <w:rFonts w:ascii="Arial" w:eastAsia="Arial" w:hAnsi="Arial" w:cs="Arial"/>
          <w:b/>
          <w:bCs/>
          <w:sz w:val="20"/>
          <w:szCs w:val="20"/>
        </w:rPr>
        <w:t>4</w:t>
      </w:r>
      <w:r w:rsidRPr="00050F51">
        <w:rPr>
          <w:rFonts w:ascii="Arial" w:eastAsia="Arial" w:hAnsi="Arial" w:cs="Arial"/>
          <w:b/>
          <w:bCs/>
          <w:sz w:val="20"/>
          <w:szCs w:val="20"/>
        </w:rPr>
        <w:t>.</w:t>
      </w:r>
      <w:r w:rsidRPr="00050F51">
        <w:rPr>
          <w:rFonts w:ascii="Arial" w:eastAsia="Arial" w:hAnsi="Arial" w:cs="Arial"/>
          <w:sz w:val="20"/>
          <w:szCs w:val="20"/>
        </w:rPr>
        <w:t xml:space="preserve"> Risk-of-failure (ROF) lookup table for an initial storage level of 1287 MG (45% of reservoir capacity) across annual demand and infrastructure combinations analyzed. Higher ROF values indicate a greater likelihood of reservoir storage dropping below deadpool levels in the next two years.</w:t>
      </w:r>
    </w:p>
    <w:p w14:paraId="0000024A" w14:textId="77777777" w:rsidR="0041056C" w:rsidRPr="00050F51" w:rsidRDefault="00000000">
      <w:pPr>
        <w:rPr>
          <w:rFonts w:ascii="Arial" w:eastAsia="Arial" w:hAnsi="Arial" w:cs="Arial"/>
          <w:color w:val="000000"/>
          <w:sz w:val="20"/>
          <w:szCs w:val="20"/>
        </w:rPr>
      </w:pPr>
      <w:r w:rsidRPr="00050F51">
        <w:rPr>
          <w:rFonts w:ascii="Arial" w:eastAsia="Arial" w:hAnsi="Arial" w:cs="Arial"/>
          <w:noProof/>
          <w:sz w:val="20"/>
          <w:szCs w:val="20"/>
        </w:rPr>
        <w:lastRenderedPageBreak/>
        <w:drawing>
          <wp:inline distT="114300" distB="114300" distL="114300" distR="114300" wp14:anchorId="22F55221" wp14:editId="385C912F">
            <wp:extent cx="5150404" cy="5329238"/>
            <wp:effectExtent l="0" t="0" r="0" b="0"/>
            <wp:docPr id="212162667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
                    <a:srcRect/>
                    <a:stretch>
                      <a:fillRect/>
                    </a:stretch>
                  </pic:blipFill>
                  <pic:spPr>
                    <a:xfrm>
                      <a:off x="0" y="0"/>
                      <a:ext cx="5150404" cy="5329238"/>
                    </a:xfrm>
                    <a:prstGeom prst="rect">
                      <a:avLst/>
                    </a:prstGeom>
                    <a:ln/>
                  </pic:spPr>
                </pic:pic>
              </a:graphicData>
            </a:graphic>
          </wp:inline>
        </w:drawing>
      </w:r>
    </w:p>
    <w:p w14:paraId="0000024B" w14:textId="78D05264" w:rsidR="0041056C" w:rsidRPr="00050F51" w:rsidRDefault="00000000" w:rsidP="004E5254">
      <w:pPr>
        <w:spacing w:after="120"/>
        <w:rPr>
          <w:rFonts w:ascii="Arial" w:eastAsia="Arial" w:hAnsi="Arial" w:cs="Arial"/>
          <w:sz w:val="20"/>
          <w:szCs w:val="20"/>
        </w:rPr>
      </w:pPr>
      <w:r w:rsidRPr="00050F51">
        <w:rPr>
          <w:rFonts w:ascii="Arial" w:eastAsia="Arial" w:hAnsi="Arial" w:cs="Arial"/>
          <w:b/>
          <w:bCs/>
          <w:sz w:val="20"/>
          <w:szCs w:val="20"/>
        </w:rPr>
        <w:t>Fig. S1</w:t>
      </w:r>
      <w:r w:rsidR="0003113B" w:rsidRPr="00050F51">
        <w:rPr>
          <w:rFonts w:ascii="Arial" w:eastAsia="Arial" w:hAnsi="Arial" w:cs="Arial"/>
          <w:b/>
          <w:bCs/>
          <w:sz w:val="20"/>
          <w:szCs w:val="20"/>
        </w:rPr>
        <w:t>5</w:t>
      </w:r>
      <w:r w:rsidRPr="00050F51">
        <w:rPr>
          <w:rFonts w:ascii="Arial" w:eastAsia="Arial" w:hAnsi="Arial" w:cs="Arial"/>
          <w:b/>
          <w:bCs/>
          <w:sz w:val="20"/>
          <w:szCs w:val="20"/>
        </w:rPr>
        <w:t xml:space="preserve">. </w:t>
      </w:r>
      <w:r w:rsidRPr="00050F51">
        <w:rPr>
          <w:rFonts w:ascii="Arial" w:eastAsia="Arial" w:hAnsi="Arial" w:cs="Arial"/>
          <w:sz w:val="20"/>
          <w:szCs w:val="20"/>
        </w:rPr>
        <w:t>An illustrative example, chosen because the simulation implements multiple infrastructure additions, showing how (a) Loch Lomond Reservoir storage levels and (b) total annual demands influence (c) ROF values and infrastructure investments when ROF values exceed a given threshold. Dashed lines indicate relevant thresholds for this example.</w:t>
      </w:r>
    </w:p>
    <w:p w14:paraId="282208D7" w14:textId="77777777" w:rsidR="0003113B" w:rsidRPr="00050F51" w:rsidRDefault="0003113B">
      <w:pPr>
        <w:rPr>
          <w:rFonts w:ascii="Arial" w:eastAsia="Arial" w:hAnsi="Arial" w:cs="Arial"/>
          <w:b/>
          <w:bCs/>
          <w:sz w:val="20"/>
          <w:szCs w:val="20"/>
        </w:rPr>
      </w:pPr>
      <w:r w:rsidRPr="00050F51">
        <w:rPr>
          <w:rFonts w:ascii="Arial" w:eastAsia="Arial" w:hAnsi="Arial" w:cs="Arial"/>
          <w:b/>
          <w:bCs/>
          <w:sz w:val="20"/>
          <w:szCs w:val="20"/>
        </w:rPr>
        <w:br w:type="page"/>
      </w:r>
    </w:p>
    <w:p w14:paraId="3876B9EE" w14:textId="44047E1D" w:rsidR="0003113B" w:rsidRPr="00050F51" w:rsidRDefault="0003113B" w:rsidP="00B56F00">
      <w:pPr>
        <w:pStyle w:val="SISectionHeading"/>
      </w:pPr>
      <w:r w:rsidRPr="00050F51">
        <w:lastRenderedPageBreak/>
        <w:t>Section S12. Techno-economic details on infrastructure costs</w:t>
      </w:r>
    </w:p>
    <w:p w14:paraId="3DC7B2DB" w14:textId="77777777" w:rsidR="0003113B" w:rsidRPr="00050F51" w:rsidRDefault="0003113B" w:rsidP="004E5254">
      <w:pPr>
        <w:spacing w:before="120"/>
        <w:rPr>
          <w:rFonts w:ascii="Arial" w:eastAsia="Arial" w:hAnsi="Arial" w:cs="Arial"/>
          <w:sz w:val="20"/>
          <w:szCs w:val="20"/>
        </w:rPr>
      </w:pPr>
      <w:r w:rsidRPr="00050F51">
        <w:rPr>
          <w:rFonts w:ascii="Arial" w:eastAsia="Arial" w:hAnsi="Arial" w:cs="Arial"/>
          <w:b/>
          <w:bCs/>
          <w:sz w:val="20"/>
          <w:szCs w:val="20"/>
        </w:rPr>
        <w:t>Table S6.</w:t>
      </w:r>
      <w:r w:rsidRPr="00050F51">
        <w:rPr>
          <w:rFonts w:ascii="Arial" w:eastAsia="Arial" w:hAnsi="Arial" w:cs="Arial"/>
          <w:sz w:val="20"/>
          <w:szCs w:val="20"/>
        </w:rPr>
        <w:t xml:space="preserve"> Infrastructure options, operations, and cost assumptions. All costs are in 2020 real dollars (converted from 2024 real dollars). Capital cost ranges reflect uncertainty in future infrastructure costs utilized by SCWD.</w:t>
      </w:r>
    </w:p>
    <w:tbl>
      <w:tblPr>
        <w:tblStyle w:val="ae"/>
        <w:tblW w:w="8624" w:type="dxa"/>
        <w:tblLayout w:type="fixed"/>
        <w:tblLook w:val="0400" w:firstRow="0" w:lastRow="0" w:firstColumn="0" w:lastColumn="0" w:noHBand="0" w:noVBand="1"/>
      </w:tblPr>
      <w:tblGrid>
        <w:gridCol w:w="1603"/>
        <w:gridCol w:w="1033"/>
        <w:gridCol w:w="782"/>
        <w:gridCol w:w="1175"/>
        <w:gridCol w:w="998"/>
        <w:gridCol w:w="1832"/>
        <w:gridCol w:w="1201"/>
      </w:tblGrid>
      <w:tr w:rsidR="0003113B" w:rsidRPr="00050F51" w14:paraId="552B0242" w14:textId="77777777" w:rsidTr="002A3F71">
        <w:trPr>
          <w:trHeight w:val="20"/>
        </w:trPr>
        <w:tc>
          <w:tcPr>
            <w:tcW w:w="16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1255BC5" w14:textId="77777777" w:rsidR="0003113B" w:rsidRPr="00050F51" w:rsidRDefault="0003113B" w:rsidP="002A3F71">
            <w:pPr>
              <w:jc w:val="center"/>
              <w:rPr>
                <w:sz w:val="16"/>
                <w:szCs w:val="16"/>
              </w:rPr>
            </w:pPr>
            <w:r w:rsidRPr="00050F51">
              <w:rPr>
                <w:rFonts w:ascii="Arial" w:eastAsia="Arial" w:hAnsi="Arial" w:cs="Arial"/>
                <w:b/>
                <w:bCs/>
                <w:sz w:val="16"/>
                <w:szCs w:val="16"/>
              </w:rPr>
              <w:t>Supply Option</w:t>
            </w:r>
          </w:p>
        </w:tc>
        <w:tc>
          <w:tcPr>
            <w:tcW w:w="103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13E50BD" w14:textId="77777777" w:rsidR="0003113B" w:rsidRPr="00050F51" w:rsidRDefault="0003113B" w:rsidP="002A3F71">
            <w:pPr>
              <w:jc w:val="center"/>
              <w:rPr>
                <w:sz w:val="16"/>
                <w:szCs w:val="16"/>
              </w:rPr>
            </w:pPr>
            <w:r w:rsidRPr="00050F51">
              <w:rPr>
                <w:rFonts w:ascii="Arial" w:eastAsia="Arial" w:hAnsi="Arial" w:cs="Arial"/>
                <w:b/>
                <w:bCs/>
                <w:sz w:val="16"/>
                <w:szCs w:val="16"/>
              </w:rPr>
              <w:t>Capacity (MGD)</w:t>
            </w:r>
          </w:p>
        </w:tc>
        <w:tc>
          <w:tcPr>
            <w:tcW w:w="78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EAC10AA" w14:textId="77777777" w:rsidR="0003113B" w:rsidRPr="00050F51" w:rsidRDefault="0003113B" w:rsidP="002A3F71">
            <w:pPr>
              <w:jc w:val="center"/>
              <w:rPr>
                <w:sz w:val="16"/>
                <w:szCs w:val="16"/>
              </w:rPr>
            </w:pPr>
            <w:r w:rsidRPr="00050F51">
              <w:rPr>
                <w:rFonts w:ascii="Arial" w:eastAsia="Arial" w:hAnsi="Arial" w:cs="Arial"/>
                <w:b/>
                <w:bCs/>
                <w:sz w:val="16"/>
                <w:szCs w:val="16"/>
              </w:rPr>
              <w:t>Capital Cost ($M) (range)</w:t>
            </w:r>
          </w:p>
        </w:tc>
        <w:tc>
          <w:tcPr>
            <w:tcW w:w="11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A0837D4" w14:textId="77777777" w:rsidR="0003113B" w:rsidRPr="00050F51" w:rsidRDefault="0003113B" w:rsidP="002A3F71">
            <w:pPr>
              <w:jc w:val="center"/>
              <w:rPr>
                <w:sz w:val="16"/>
                <w:szCs w:val="16"/>
              </w:rPr>
            </w:pPr>
            <w:r w:rsidRPr="00050F51">
              <w:rPr>
                <w:rFonts w:ascii="Arial" w:eastAsia="Arial" w:hAnsi="Arial" w:cs="Arial"/>
                <w:b/>
                <w:bCs/>
                <w:sz w:val="16"/>
                <w:szCs w:val="16"/>
              </w:rPr>
              <w:t>Annual Operating Cost ($M/yr)</w:t>
            </w:r>
          </w:p>
        </w:tc>
        <w:tc>
          <w:tcPr>
            <w:tcW w:w="99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8529ECC" w14:textId="77777777" w:rsidR="0003113B" w:rsidRPr="00050F51" w:rsidRDefault="0003113B" w:rsidP="002A3F71">
            <w:pPr>
              <w:jc w:val="center"/>
              <w:rPr>
                <w:sz w:val="16"/>
                <w:szCs w:val="16"/>
              </w:rPr>
            </w:pPr>
            <w:r w:rsidRPr="00050F51">
              <w:rPr>
                <w:rFonts w:ascii="Arial" w:eastAsia="Arial" w:hAnsi="Arial" w:cs="Arial"/>
                <w:b/>
                <w:bCs/>
                <w:sz w:val="16"/>
                <w:szCs w:val="16"/>
              </w:rPr>
              <w:t>Max. capacity (MGD)</w:t>
            </w:r>
          </w:p>
        </w:tc>
        <w:tc>
          <w:tcPr>
            <w:tcW w:w="183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4A2EFB2" w14:textId="77777777" w:rsidR="0003113B" w:rsidRPr="00050F51" w:rsidRDefault="0003113B" w:rsidP="002A3F71">
            <w:pPr>
              <w:jc w:val="center"/>
              <w:rPr>
                <w:sz w:val="16"/>
                <w:szCs w:val="16"/>
              </w:rPr>
            </w:pPr>
            <w:r w:rsidRPr="00050F51">
              <w:rPr>
                <w:rFonts w:ascii="Arial" w:eastAsia="Arial" w:hAnsi="Arial" w:cs="Arial"/>
                <w:b/>
                <w:bCs/>
                <w:sz w:val="16"/>
                <w:szCs w:val="16"/>
              </w:rPr>
              <w:t>Operating conditions description</w:t>
            </w:r>
          </w:p>
        </w:tc>
        <w:tc>
          <w:tcPr>
            <w:tcW w:w="1201"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9D2559C" w14:textId="77777777" w:rsidR="0003113B" w:rsidRPr="00050F51" w:rsidRDefault="0003113B" w:rsidP="002A3F71">
            <w:pPr>
              <w:jc w:val="center"/>
              <w:rPr>
                <w:sz w:val="16"/>
                <w:szCs w:val="16"/>
              </w:rPr>
            </w:pPr>
            <w:r w:rsidRPr="00050F51">
              <w:rPr>
                <w:rFonts w:ascii="Arial" w:eastAsia="Arial" w:hAnsi="Arial" w:cs="Arial"/>
                <w:b/>
                <w:bCs/>
                <w:sz w:val="16"/>
                <w:szCs w:val="16"/>
              </w:rPr>
              <w:t>Deployment time (years)</w:t>
            </w:r>
          </w:p>
        </w:tc>
      </w:tr>
      <w:tr w:rsidR="0003113B" w:rsidRPr="00050F51" w14:paraId="3F3EEF50" w14:textId="77777777" w:rsidTr="002A3F71">
        <w:trPr>
          <w:trHeight w:val="20"/>
        </w:trPr>
        <w:tc>
          <w:tcPr>
            <w:tcW w:w="16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E028DD8" w14:textId="77777777" w:rsidR="0003113B" w:rsidRPr="00050F51" w:rsidRDefault="0003113B" w:rsidP="002A3F71">
            <w:pPr>
              <w:jc w:val="center"/>
              <w:rPr>
                <w:sz w:val="16"/>
                <w:szCs w:val="16"/>
              </w:rPr>
            </w:pPr>
            <w:r w:rsidRPr="00050F51">
              <w:rPr>
                <w:rFonts w:ascii="Arial" w:eastAsia="Arial" w:hAnsi="Arial" w:cs="Arial"/>
                <w:sz w:val="16"/>
                <w:szCs w:val="16"/>
              </w:rPr>
              <w:t>Aquifer storage and recovery (Mid-county GWB)</w:t>
            </w:r>
          </w:p>
        </w:tc>
        <w:tc>
          <w:tcPr>
            <w:tcW w:w="103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3087893" w14:textId="222794F8" w:rsidR="0003113B" w:rsidRPr="00050F51" w:rsidRDefault="0003113B" w:rsidP="002A3F71">
            <w:pPr>
              <w:jc w:val="center"/>
              <w:rPr>
                <w:sz w:val="16"/>
                <w:szCs w:val="16"/>
              </w:rPr>
            </w:pPr>
            <w:r w:rsidRPr="00050F51">
              <w:rPr>
                <w:rFonts w:ascii="Arial" w:eastAsia="Arial" w:hAnsi="Arial" w:cs="Arial"/>
                <w:sz w:val="16"/>
                <w:szCs w:val="16"/>
              </w:rPr>
              <w:t>2.3 (5 wells)</w:t>
            </w:r>
          </w:p>
        </w:tc>
        <w:tc>
          <w:tcPr>
            <w:tcW w:w="78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828D26D" w14:textId="4C140970" w:rsidR="002A3F71" w:rsidRPr="00050F51" w:rsidRDefault="0003113B" w:rsidP="002A3F71">
            <w:pPr>
              <w:jc w:val="center"/>
              <w:rPr>
                <w:rFonts w:ascii="Arial" w:eastAsia="Arial" w:hAnsi="Arial" w:cs="Arial"/>
                <w:sz w:val="16"/>
                <w:szCs w:val="16"/>
              </w:rPr>
            </w:pPr>
            <w:r w:rsidRPr="00050F51">
              <w:rPr>
                <w:rFonts w:ascii="Arial" w:eastAsia="Arial" w:hAnsi="Arial" w:cs="Arial"/>
                <w:sz w:val="16"/>
                <w:szCs w:val="16"/>
              </w:rPr>
              <w:t>56</w:t>
            </w:r>
          </w:p>
          <w:p w14:paraId="270688D4" w14:textId="638A9FFF" w:rsidR="0003113B" w:rsidRPr="00050F51" w:rsidRDefault="0003113B" w:rsidP="002A3F71">
            <w:pPr>
              <w:jc w:val="center"/>
              <w:rPr>
                <w:sz w:val="16"/>
                <w:szCs w:val="16"/>
              </w:rPr>
            </w:pPr>
            <w:r w:rsidRPr="00050F51">
              <w:rPr>
                <w:rFonts w:ascii="Arial" w:eastAsia="Arial" w:hAnsi="Arial" w:cs="Arial"/>
                <w:sz w:val="16"/>
                <w:szCs w:val="16"/>
              </w:rPr>
              <w:t>(28-112)</w:t>
            </w:r>
          </w:p>
        </w:tc>
        <w:tc>
          <w:tcPr>
            <w:tcW w:w="11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0BBF65F" w14:textId="77777777" w:rsidR="0003113B" w:rsidRPr="00050F51" w:rsidRDefault="0003113B" w:rsidP="002A3F71">
            <w:pPr>
              <w:jc w:val="center"/>
              <w:rPr>
                <w:sz w:val="16"/>
                <w:szCs w:val="16"/>
              </w:rPr>
            </w:pPr>
            <w:r w:rsidRPr="00050F51">
              <w:rPr>
                <w:rFonts w:ascii="Arial" w:eastAsia="Arial" w:hAnsi="Arial" w:cs="Arial"/>
                <w:sz w:val="16"/>
                <w:szCs w:val="16"/>
              </w:rPr>
              <w:t>1.3</w:t>
            </w:r>
          </w:p>
        </w:tc>
        <w:tc>
          <w:tcPr>
            <w:tcW w:w="99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5E76DB0" w14:textId="77777777" w:rsidR="0003113B" w:rsidRPr="00050F51" w:rsidRDefault="0003113B" w:rsidP="002A3F71">
            <w:pPr>
              <w:jc w:val="center"/>
              <w:rPr>
                <w:sz w:val="16"/>
                <w:szCs w:val="16"/>
              </w:rPr>
            </w:pPr>
            <w:r w:rsidRPr="00050F51">
              <w:rPr>
                <w:rFonts w:ascii="Arial" w:eastAsia="Arial" w:hAnsi="Arial" w:cs="Arial"/>
                <w:sz w:val="16"/>
                <w:szCs w:val="16"/>
              </w:rPr>
              <w:t>2.3 extract, 1.6 inject</w:t>
            </w:r>
          </w:p>
        </w:tc>
        <w:tc>
          <w:tcPr>
            <w:tcW w:w="183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A679DE1" w14:textId="77777777" w:rsidR="0003113B" w:rsidRPr="00050F51" w:rsidRDefault="0003113B" w:rsidP="002A3F71">
            <w:pPr>
              <w:jc w:val="center"/>
              <w:rPr>
                <w:sz w:val="16"/>
                <w:szCs w:val="16"/>
              </w:rPr>
            </w:pPr>
            <w:r w:rsidRPr="00050F51">
              <w:rPr>
                <w:rFonts w:ascii="Arial" w:eastAsia="Arial" w:hAnsi="Arial" w:cs="Arial"/>
                <w:sz w:val="16"/>
                <w:szCs w:val="16"/>
              </w:rPr>
              <w:t>Inject Nov.-April, except dry months</w:t>
            </w:r>
            <w:r w:rsidRPr="00050F51">
              <w:rPr>
                <w:rFonts w:ascii="Arial" w:eastAsia="Arial" w:hAnsi="Arial" w:cs="Arial"/>
                <w:sz w:val="16"/>
                <w:szCs w:val="16"/>
              </w:rPr>
              <w:br/>
              <w:t>Extract May-Nov.</w:t>
            </w:r>
          </w:p>
        </w:tc>
        <w:tc>
          <w:tcPr>
            <w:tcW w:w="1201"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4208946" w14:textId="77777777" w:rsidR="0003113B" w:rsidRPr="00050F51" w:rsidRDefault="0003113B" w:rsidP="002A3F71">
            <w:pPr>
              <w:jc w:val="center"/>
              <w:rPr>
                <w:sz w:val="16"/>
                <w:szCs w:val="16"/>
              </w:rPr>
            </w:pPr>
            <w:r w:rsidRPr="00050F51">
              <w:rPr>
                <w:rFonts w:ascii="Arial" w:eastAsia="Arial" w:hAnsi="Arial" w:cs="Arial"/>
                <w:sz w:val="16"/>
                <w:szCs w:val="16"/>
              </w:rPr>
              <w:t>2</w:t>
            </w:r>
          </w:p>
        </w:tc>
      </w:tr>
      <w:tr w:rsidR="0003113B" w:rsidRPr="00050F51" w14:paraId="523E7007" w14:textId="77777777" w:rsidTr="002A3F71">
        <w:trPr>
          <w:trHeight w:val="20"/>
        </w:trPr>
        <w:tc>
          <w:tcPr>
            <w:tcW w:w="16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C6FA255" w14:textId="77777777" w:rsidR="0003113B" w:rsidRPr="00050F51" w:rsidRDefault="0003113B" w:rsidP="002A3F71">
            <w:pPr>
              <w:jc w:val="center"/>
              <w:rPr>
                <w:sz w:val="16"/>
                <w:szCs w:val="16"/>
              </w:rPr>
            </w:pPr>
            <w:r w:rsidRPr="00050F51">
              <w:rPr>
                <w:rFonts w:ascii="Arial" w:eastAsia="Arial" w:hAnsi="Arial" w:cs="Arial"/>
                <w:sz w:val="16"/>
                <w:szCs w:val="16"/>
              </w:rPr>
              <w:t>Transfers to/from Soquel Water District</w:t>
            </w:r>
          </w:p>
        </w:tc>
        <w:tc>
          <w:tcPr>
            <w:tcW w:w="103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1B381A8" w14:textId="77777777" w:rsidR="0003113B" w:rsidRPr="00050F51" w:rsidRDefault="0003113B" w:rsidP="002A3F71">
            <w:pPr>
              <w:jc w:val="center"/>
              <w:rPr>
                <w:sz w:val="16"/>
                <w:szCs w:val="16"/>
              </w:rPr>
            </w:pPr>
            <w:r w:rsidRPr="00050F51">
              <w:rPr>
                <w:rFonts w:ascii="Arial" w:eastAsia="Arial" w:hAnsi="Arial" w:cs="Arial"/>
                <w:sz w:val="16"/>
                <w:szCs w:val="16"/>
              </w:rPr>
              <w:t>0.5</w:t>
            </w:r>
          </w:p>
        </w:tc>
        <w:tc>
          <w:tcPr>
            <w:tcW w:w="78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E81B75D" w14:textId="77777777" w:rsidR="0003113B" w:rsidRPr="00050F51" w:rsidRDefault="0003113B" w:rsidP="002A3F71">
            <w:pPr>
              <w:jc w:val="center"/>
              <w:rPr>
                <w:sz w:val="16"/>
                <w:szCs w:val="16"/>
              </w:rPr>
            </w:pPr>
            <w:r w:rsidRPr="00050F51">
              <w:rPr>
                <w:rFonts w:ascii="Arial" w:eastAsia="Arial" w:hAnsi="Arial" w:cs="Arial"/>
                <w:sz w:val="16"/>
                <w:szCs w:val="16"/>
              </w:rPr>
              <w:t>0</w:t>
            </w:r>
          </w:p>
        </w:tc>
        <w:tc>
          <w:tcPr>
            <w:tcW w:w="11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1644081" w14:textId="77777777" w:rsidR="0003113B" w:rsidRPr="00050F51" w:rsidRDefault="0003113B" w:rsidP="002A3F71">
            <w:pPr>
              <w:jc w:val="center"/>
              <w:rPr>
                <w:sz w:val="16"/>
                <w:szCs w:val="16"/>
              </w:rPr>
            </w:pPr>
            <w:r w:rsidRPr="00050F51">
              <w:rPr>
                <w:rFonts w:ascii="Arial" w:eastAsia="Arial" w:hAnsi="Arial" w:cs="Arial"/>
                <w:sz w:val="16"/>
                <w:szCs w:val="16"/>
              </w:rPr>
              <w:t>0.6</w:t>
            </w:r>
          </w:p>
        </w:tc>
        <w:tc>
          <w:tcPr>
            <w:tcW w:w="99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D19B183" w14:textId="488C2EC3" w:rsidR="002A3F71" w:rsidRPr="00050F51" w:rsidRDefault="0003113B" w:rsidP="002A3F71">
            <w:pPr>
              <w:jc w:val="center"/>
              <w:rPr>
                <w:rFonts w:ascii="Arial" w:eastAsia="Arial" w:hAnsi="Arial" w:cs="Arial"/>
                <w:sz w:val="16"/>
                <w:szCs w:val="16"/>
              </w:rPr>
            </w:pPr>
            <w:r w:rsidRPr="00050F51">
              <w:rPr>
                <w:rFonts w:ascii="Arial" w:eastAsia="Arial" w:hAnsi="Arial" w:cs="Arial"/>
                <w:sz w:val="16"/>
                <w:szCs w:val="16"/>
              </w:rPr>
              <w:t>To city: 0.5</w:t>
            </w:r>
          </w:p>
          <w:p w14:paraId="3E0B66E9" w14:textId="5AF0A5E9" w:rsidR="0003113B" w:rsidRPr="00050F51" w:rsidRDefault="0003113B" w:rsidP="002A3F71">
            <w:pPr>
              <w:jc w:val="center"/>
              <w:rPr>
                <w:sz w:val="16"/>
                <w:szCs w:val="16"/>
              </w:rPr>
            </w:pPr>
            <w:r w:rsidRPr="00050F51">
              <w:rPr>
                <w:rFonts w:ascii="Arial" w:eastAsia="Arial" w:hAnsi="Arial" w:cs="Arial"/>
                <w:sz w:val="16"/>
                <w:szCs w:val="16"/>
              </w:rPr>
              <w:t>To Soquel: 0</w:t>
            </w:r>
          </w:p>
        </w:tc>
        <w:tc>
          <w:tcPr>
            <w:tcW w:w="183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677CE83" w14:textId="77777777" w:rsidR="0003113B" w:rsidRPr="00050F51" w:rsidRDefault="0003113B" w:rsidP="002A3F71">
            <w:pPr>
              <w:jc w:val="center"/>
              <w:rPr>
                <w:sz w:val="16"/>
                <w:szCs w:val="16"/>
              </w:rPr>
            </w:pPr>
            <w:r w:rsidRPr="00050F51">
              <w:rPr>
                <w:rFonts w:ascii="Arial" w:eastAsia="Arial" w:hAnsi="Arial" w:cs="Arial"/>
                <w:sz w:val="16"/>
                <w:szCs w:val="16"/>
              </w:rPr>
              <w:t>Constant supply, as needed</w:t>
            </w:r>
          </w:p>
        </w:tc>
        <w:tc>
          <w:tcPr>
            <w:tcW w:w="1201"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D3A5793" w14:textId="77777777" w:rsidR="0003113B" w:rsidRPr="00050F51" w:rsidRDefault="0003113B" w:rsidP="002A3F71">
            <w:pPr>
              <w:jc w:val="center"/>
              <w:rPr>
                <w:sz w:val="16"/>
                <w:szCs w:val="16"/>
              </w:rPr>
            </w:pPr>
            <w:r w:rsidRPr="00050F51">
              <w:rPr>
                <w:rFonts w:ascii="Arial" w:eastAsia="Arial" w:hAnsi="Arial" w:cs="Arial"/>
                <w:sz w:val="16"/>
                <w:szCs w:val="16"/>
              </w:rPr>
              <w:t>1</w:t>
            </w:r>
          </w:p>
        </w:tc>
      </w:tr>
      <w:tr w:rsidR="0003113B" w:rsidRPr="00050F51" w14:paraId="1092E660" w14:textId="77777777" w:rsidTr="002A3F71">
        <w:trPr>
          <w:trHeight w:val="20"/>
        </w:trPr>
        <w:tc>
          <w:tcPr>
            <w:tcW w:w="16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05C9D47" w14:textId="77777777" w:rsidR="0003113B" w:rsidRPr="00050F51" w:rsidRDefault="0003113B" w:rsidP="002A3F71">
            <w:pPr>
              <w:jc w:val="center"/>
              <w:rPr>
                <w:sz w:val="16"/>
                <w:szCs w:val="16"/>
              </w:rPr>
            </w:pPr>
            <w:r w:rsidRPr="00050F51">
              <w:rPr>
                <w:rFonts w:ascii="Arial" w:eastAsia="Arial" w:hAnsi="Arial" w:cs="Arial"/>
                <w:sz w:val="16"/>
                <w:szCs w:val="16"/>
              </w:rPr>
              <w:t>Transfers to/from Scotts Valley Water District (SVWD)</w:t>
            </w:r>
          </w:p>
        </w:tc>
        <w:tc>
          <w:tcPr>
            <w:tcW w:w="103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C0A7360" w14:textId="77777777" w:rsidR="0003113B" w:rsidRPr="00050F51" w:rsidRDefault="0003113B" w:rsidP="002A3F71">
            <w:pPr>
              <w:jc w:val="center"/>
              <w:rPr>
                <w:sz w:val="16"/>
                <w:szCs w:val="16"/>
              </w:rPr>
            </w:pPr>
            <w:r w:rsidRPr="00050F51">
              <w:rPr>
                <w:rFonts w:ascii="Arial" w:eastAsia="Arial" w:hAnsi="Arial" w:cs="Arial"/>
                <w:sz w:val="16"/>
                <w:szCs w:val="16"/>
              </w:rPr>
              <w:t>1.0</w:t>
            </w:r>
          </w:p>
        </w:tc>
        <w:tc>
          <w:tcPr>
            <w:tcW w:w="78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F2C8B81" w14:textId="37BAEBF3" w:rsidR="002A3F71" w:rsidRPr="00050F51" w:rsidRDefault="0003113B" w:rsidP="002A3F71">
            <w:pPr>
              <w:jc w:val="center"/>
              <w:rPr>
                <w:rFonts w:ascii="Arial" w:eastAsia="Arial" w:hAnsi="Arial" w:cs="Arial"/>
                <w:sz w:val="16"/>
                <w:szCs w:val="16"/>
              </w:rPr>
            </w:pPr>
            <w:r w:rsidRPr="00050F51">
              <w:rPr>
                <w:rFonts w:ascii="Arial" w:eastAsia="Arial" w:hAnsi="Arial" w:cs="Arial"/>
                <w:sz w:val="16"/>
                <w:szCs w:val="16"/>
              </w:rPr>
              <w:t>3.3</w:t>
            </w:r>
          </w:p>
          <w:p w14:paraId="77F907C2" w14:textId="6FC68D6D" w:rsidR="0003113B" w:rsidRPr="00050F51" w:rsidRDefault="0003113B" w:rsidP="002A3F71">
            <w:pPr>
              <w:jc w:val="center"/>
              <w:rPr>
                <w:sz w:val="16"/>
                <w:szCs w:val="16"/>
              </w:rPr>
            </w:pPr>
            <w:r w:rsidRPr="00050F51">
              <w:rPr>
                <w:rFonts w:ascii="Arial" w:eastAsia="Arial" w:hAnsi="Arial" w:cs="Arial"/>
                <w:sz w:val="16"/>
                <w:szCs w:val="16"/>
              </w:rPr>
              <w:t>(3.0-3.8)</w:t>
            </w:r>
          </w:p>
        </w:tc>
        <w:tc>
          <w:tcPr>
            <w:tcW w:w="11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7AB8E2C" w14:textId="77777777" w:rsidR="0003113B" w:rsidRPr="00050F51" w:rsidRDefault="0003113B" w:rsidP="002A3F71">
            <w:pPr>
              <w:jc w:val="center"/>
              <w:rPr>
                <w:sz w:val="16"/>
                <w:szCs w:val="16"/>
              </w:rPr>
            </w:pPr>
            <w:r w:rsidRPr="00050F51">
              <w:rPr>
                <w:rFonts w:ascii="Arial" w:eastAsia="Arial" w:hAnsi="Arial" w:cs="Arial"/>
                <w:sz w:val="16"/>
                <w:szCs w:val="16"/>
              </w:rPr>
              <w:t>0.2</w:t>
            </w:r>
          </w:p>
        </w:tc>
        <w:tc>
          <w:tcPr>
            <w:tcW w:w="99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B79E8A6" w14:textId="00403D08" w:rsidR="0003113B" w:rsidRPr="00050F51" w:rsidRDefault="0003113B" w:rsidP="002A3F71">
            <w:pPr>
              <w:jc w:val="center"/>
              <w:rPr>
                <w:sz w:val="16"/>
                <w:szCs w:val="16"/>
              </w:rPr>
            </w:pPr>
            <w:r w:rsidRPr="00050F51">
              <w:rPr>
                <w:rFonts w:ascii="Arial" w:eastAsia="Arial" w:hAnsi="Arial" w:cs="Arial"/>
                <w:sz w:val="16"/>
                <w:szCs w:val="16"/>
              </w:rPr>
              <w:t>To city: 1.0 To SV: 1.0</w:t>
            </w:r>
          </w:p>
        </w:tc>
        <w:tc>
          <w:tcPr>
            <w:tcW w:w="183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EDF3121" w14:textId="77777777" w:rsidR="0003113B" w:rsidRPr="00050F51" w:rsidRDefault="0003113B" w:rsidP="002A3F71">
            <w:pPr>
              <w:jc w:val="center"/>
              <w:rPr>
                <w:sz w:val="16"/>
                <w:szCs w:val="16"/>
              </w:rPr>
            </w:pPr>
            <w:r w:rsidRPr="00050F51">
              <w:rPr>
                <w:rFonts w:ascii="Arial" w:eastAsia="Arial" w:hAnsi="Arial" w:cs="Arial"/>
                <w:sz w:val="16"/>
                <w:szCs w:val="16"/>
              </w:rPr>
              <w:t>Constant supply, as needed; no transfers to SVWD during dry months</w:t>
            </w:r>
          </w:p>
        </w:tc>
        <w:tc>
          <w:tcPr>
            <w:tcW w:w="1201"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36C6607" w14:textId="77777777" w:rsidR="0003113B" w:rsidRPr="00050F51" w:rsidRDefault="0003113B" w:rsidP="002A3F71">
            <w:pPr>
              <w:jc w:val="center"/>
              <w:rPr>
                <w:sz w:val="16"/>
                <w:szCs w:val="16"/>
              </w:rPr>
            </w:pPr>
            <w:r w:rsidRPr="00050F51">
              <w:rPr>
                <w:rFonts w:ascii="Arial" w:eastAsia="Arial" w:hAnsi="Arial" w:cs="Arial"/>
                <w:sz w:val="16"/>
                <w:szCs w:val="16"/>
              </w:rPr>
              <w:t>1</w:t>
            </w:r>
          </w:p>
        </w:tc>
      </w:tr>
      <w:tr w:rsidR="0003113B" w:rsidRPr="00050F51" w14:paraId="60DF49DD" w14:textId="77777777" w:rsidTr="002A3F71">
        <w:trPr>
          <w:trHeight w:val="20"/>
        </w:trPr>
        <w:tc>
          <w:tcPr>
            <w:tcW w:w="16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E9C9D74" w14:textId="77777777" w:rsidR="0003113B" w:rsidRPr="00050F51" w:rsidRDefault="0003113B" w:rsidP="002A3F71">
            <w:pPr>
              <w:jc w:val="center"/>
              <w:rPr>
                <w:sz w:val="16"/>
                <w:szCs w:val="16"/>
              </w:rPr>
            </w:pPr>
            <w:r w:rsidRPr="00050F51">
              <w:rPr>
                <w:rFonts w:ascii="Arial" w:eastAsia="Arial" w:hAnsi="Arial" w:cs="Arial"/>
                <w:sz w:val="16"/>
                <w:szCs w:val="16"/>
              </w:rPr>
              <w:t>DPR</w:t>
            </w:r>
          </w:p>
        </w:tc>
        <w:tc>
          <w:tcPr>
            <w:tcW w:w="103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9516E45" w14:textId="77777777" w:rsidR="0003113B" w:rsidRPr="00050F51" w:rsidRDefault="0003113B" w:rsidP="002A3F71">
            <w:pPr>
              <w:jc w:val="center"/>
              <w:rPr>
                <w:sz w:val="16"/>
                <w:szCs w:val="16"/>
              </w:rPr>
            </w:pPr>
            <w:r w:rsidRPr="00050F51">
              <w:rPr>
                <w:rFonts w:ascii="Arial" w:eastAsia="Arial" w:hAnsi="Arial" w:cs="Arial"/>
                <w:sz w:val="16"/>
                <w:szCs w:val="16"/>
              </w:rPr>
              <w:t>2.0</w:t>
            </w:r>
          </w:p>
        </w:tc>
        <w:tc>
          <w:tcPr>
            <w:tcW w:w="78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3FFFB9A" w14:textId="77777777" w:rsidR="0003113B" w:rsidRPr="00050F51" w:rsidRDefault="0003113B" w:rsidP="002A3F71">
            <w:pPr>
              <w:jc w:val="center"/>
              <w:rPr>
                <w:sz w:val="16"/>
                <w:szCs w:val="16"/>
              </w:rPr>
            </w:pPr>
            <w:r w:rsidRPr="00050F51">
              <w:rPr>
                <w:rFonts w:ascii="Arial" w:eastAsia="Arial" w:hAnsi="Arial" w:cs="Arial"/>
                <w:sz w:val="16"/>
                <w:szCs w:val="16"/>
              </w:rPr>
              <w:t>1454.7 (73-347)</w:t>
            </w:r>
          </w:p>
        </w:tc>
        <w:tc>
          <w:tcPr>
            <w:tcW w:w="11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E63EEB4" w14:textId="77777777" w:rsidR="0003113B" w:rsidRPr="00050F51" w:rsidRDefault="0003113B" w:rsidP="002A3F71">
            <w:pPr>
              <w:jc w:val="center"/>
              <w:rPr>
                <w:sz w:val="16"/>
                <w:szCs w:val="16"/>
              </w:rPr>
            </w:pPr>
            <w:r w:rsidRPr="00050F51">
              <w:rPr>
                <w:rFonts w:ascii="Arial" w:eastAsia="Arial" w:hAnsi="Arial" w:cs="Arial"/>
                <w:sz w:val="16"/>
                <w:szCs w:val="16"/>
              </w:rPr>
              <w:t>3.8</w:t>
            </w:r>
          </w:p>
        </w:tc>
        <w:tc>
          <w:tcPr>
            <w:tcW w:w="99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AC94C3A" w14:textId="77777777" w:rsidR="0003113B" w:rsidRPr="00050F51" w:rsidRDefault="0003113B" w:rsidP="002A3F71">
            <w:pPr>
              <w:jc w:val="center"/>
              <w:rPr>
                <w:sz w:val="16"/>
                <w:szCs w:val="16"/>
              </w:rPr>
            </w:pPr>
            <w:r w:rsidRPr="00050F51">
              <w:rPr>
                <w:rFonts w:ascii="Arial" w:eastAsia="Arial" w:hAnsi="Arial" w:cs="Arial"/>
                <w:sz w:val="16"/>
                <w:szCs w:val="16"/>
              </w:rPr>
              <w:t>2.0</w:t>
            </w:r>
          </w:p>
        </w:tc>
        <w:tc>
          <w:tcPr>
            <w:tcW w:w="183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77E28EE" w14:textId="77777777" w:rsidR="0003113B" w:rsidRPr="00050F51" w:rsidRDefault="0003113B" w:rsidP="002A3F71">
            <w:pPr>
              <w:jc w:val="center"/>
              <w:rPr>
                <w:sz w:val="16"/>
                <w:szCs w:val="16"/>
              </w:rPr>
            </w:pPr>
            <w:r w:rsidRPr="00050F51">
              <w:rPr>
                <w:rFonts w:ascii="Arial" w:eastAsia="Arial" w:hAnsi="Arial" w:cs="Arial"/>
                <w:sz w:val="16"/>
                <w:szCs w:val="16"/>
              </w:rPr>
              <w:t xml:space="preserve">Winter capacity: 1 MGD </w:t>
            </w:r>
            <w:r w:rsidRPr="00050F51">
              <w:rPr>
                <w:rFonts w:ascii="Arial" w:eastAsia="Arial" w:hAnsi="Arial" w:cs="Arial"/>
                <w:sz w:val="16"/>
                <w:szCs w:val="16"/>
              </w:rPr>
              <w:br/>
              <w:t>Summer capacity: 2 MGD</w:t>
            </w:r>
          </w:p>
        </w:tc>
        <w:tc>
          <w:tcPr>
            <w:tcW w:w="1201"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DF526D4" w14:textId="77777777" w:rsidR="0003113B" w:rsidRPr="00050F51" w:rsidRDefault="0003113B" w:rsidP="002A3F71">
            <w:pPr>
              <w:jc w:val="center"/>
              <w:rPr>
                <w:sz w:val="16"/>
                <w:szCs w:val="16"/>
              </w:rPr>
            </w:pPr>
            <w:r w:rsidRPr="00050F51">
              <w:rPr>
                <w:rFonts w:ascii="Arial" w:eastAsia="Arial" w:hAnsi="Arial" w:cs="Arial"/>
                <w:sz w:val="16"/>
                <w:szCs w:val="16"/>
              </w:rPr>
              <w:t>5</w:t>
            </w:r>
          </w:p>
        </w:tc>
      </w:tr>
      <w:tr w:rsidR="0003113B" w:rsidRPr="00050F51" w14:paraId="4A12CE92" w14:textId="77777777" w:rsidTr="002A3F71">
        <w:trPr>
          <w:trHeight w:val="20"/>
        </w:trPr>
        <w:tc>
          <w:tcPr>
            <w:tcW w:w="16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1217B9F" w14:textId="77777777" w:rsidR="0003113B" w:rsidRPr="00050F51" w:rsidRDefault="0003113B" w:rsidP="002A3F71">
            <w:pPr>
              <w:jc w:val="center"/>
              <w:rPr>
                <w:sz w:val="16"/>
                <w:szCs w:val="16"/>
              </w:rPr>
            </w:pPr>
            <w:r w:rsidRPr="00050F51">
              <w:rPr>
                <w:rFonts w:ascii="Arial" w:eastAsia="Arial" w:hAnsi="Arial" w:cs="Arial"/>
                <w:sz w:val="16"/>
                <w:szCs w:val="16"/>
              </w:rPr>
              <w:t>Desalination Plant</w:t>
            </w:r>
          </w:p>
        </w:tc>
        <w:tc>
          <w:tcPr>
            <w:tcW w:w="103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C9088E3" w14:textId="77777777" w:rsidR="0003113B" w:rsidRPr="00050F51" w:rsidRDefault="0003113B" w:rsidP="002A3F71">
            <w:pPr>
              <w:jc w:val="center"/>
              <w:rPr>
                <w:sz w:val="16"/>
                <w:szCs w:val="16"/>
              </w:rPr>
            </w:pPr>
            <w:r w:rsidRPr="00050F51">
              <w:rPr>
                <w:rFonts w:ascii="Arial" w:eastAsia="Arial" w:hAnsi="Arial" w:cs="Arial"/>
                <w:sz w:val="16"/>
                <w:szCs w:val="16"/>
              </w:rPr>
              <w:t>4.0</w:t>
            </w:r>
          </w:p>
        </w:tc>
        <w:tc>
          <w:tcPr>
            <w:tcW w:w="78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FE02530" w14:textId="77777777" w:rsidR="0003113B" w:rsidRPr="00050F51" w:rsidRDefault="0003113B" w:rsidP="002A3F71">
            <w:pPr>
              <w:jc w:val="center"/>
              <w:rPr>
                <w:sz w:val="16"/>
                <w:szCs w:val="16"/>
              </w:rPr>
            </w:pPr>
            <w:r w:rsidRPr="00050F51">
              <w:rPr>
                <w:rFonts w:ascii="Arial" w:eastAsia="Arial" w:hAnsi="Arial" w:cs="Arial"/>
                <w:sz w:val="16"/>
                <w:szCs w:val="16"/>
              </w:rPr>
              <w:t>212.4 (106-426)</w:t>
            </w:r>
          </w:p>
        </w:tc>
        <w:tc>
          <w:tcPr>
            <w:tcW w:w="11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4FF692C" w14:textId="77777777" w:rsidR="0003113B" w:rsidRPr="00050F51" w:rsidRDefault="0003113B" w:rsidP="002A3F71">
            <w:pPr>
              <w:jc w:val="center"/>
              <w:rPr>
                <w:sz w:val="16"/>
                <w:szCs w:val="16"/>
              </w:rPr>
            </w:pPr>
            <w:r w:rsidRPr="00050F51">
              <w:rPr>
                <w:rFonts w:ascii="Arial" w:eastAsia="Arial" w:hAnsi="Arial" w:cs="Arial"/>
                <w:sz w:val="16"/>
                <w:szCs w:val="16"/>
              </w:rPr>
              <w:t>10.0</w:t>
            </w:r>
          </w:p>
        </w:tc>
        <w:tc>
          <w:tcPr>
            <w:tcW w:w="99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5728272" w14:textId="77777777" w:rsidR="0003113B" w:rsidRPr="00050F51" w:rsidRDefault="0003113B" w:rsidP="002A3F71">
            <w:pPr>
              <w:jc w:val="center"/>
              <w:rPr>
                <w:sz w:val="16"/>
                <w:szCs w:val="16"/>
              </w:rPr>
            </w:pPr>
            <w:r w:rsidRPr="00050F51">
              <w:rPr>
                <w:rFonts w:ascii="Arial" w:eastAsia="Arial" w:hAnsi="Arial" w:cs="Arial"/>
                <w:sz w:val="16"/>
                <w:szCs w:val="16"/>
              </w:rPr>
              <w:t>4.0</w:t>
            </w:r>
          </w:p>
        </w:tc>
        <w:tc>
          <w:tcPr>
            <w:tcW w:w="183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5031180" w14:textId="77777777" w:rsidR="0003113B" w:rsidRPr="00050F51" w:rsidRDefault="0003113B" w:rsidP="002A3F71">
            <w:pPr>
              <w:jc w:val="center"/>
              <w:rPr>
                <w:sz w:val="16"/>
                <w:szCs w:val="16"/>
              </w:rPr>
            </w:pPr>
            <w:r w:rsidRPr="00050F51">
              <w:rPr>
                <w:rFonts w:ascii="Arial" w:eastAsia="Arial" w:hAnsi="Arial" w:cs="Arial"/>
                <w:sz w:val="16"/>
                <w:szCs w:val="16"/>
              </w:rPr>
              <w:t xml:space="preserve">Winter capacity: 1.33 MGD; Summer capacity: 2.67 MGD; </w:t>
            </w:r>
            <w:r w:rsidRPr="00050F51">
              <w:rPr>
                <w:rFonts w:ascii="Arial" w:eastAsia="Arial" w:hAnsi="Arial" w:cs="Arial"/>
                <w:sz w:val="16"/>
                <w:szCs w:val="16"/>
              </w:rPr>
              <w:br/>
              <w:t>Drought: 4.0 MGD</w:t>
            </w:r>
          </w:p>
        </w:tc>
        <w:tc>
          <w:tcPr>
            <w:tcW w:w="1201"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1C33D48" w14:textId="77777777" w:rsidR="0003113B" w:rsidRPr="00050F51" w:rsidRDefault="0003113B" w:rsidP="002A3F71">
            <w:pPr>
              <w:jc w:val="center"/>
              <w:rPr>
                <w:sz w:val="16"/>
                <w:szCs w:val="16"/>
              </w:rPr>
            </w:pPr>
            <w:r w:rsidRPr="00050F51">
              <w:rPr>
                <w:rFonts w:ascii="Arial" w:eastAsia="Arial" w:hAnsi="Arial" w:cs="Arial"/>
                <w:sz w:val="16"/>
                <w:szCs w:val="16"/>
              </w:rPr>
              <w:t>10</w:t>
            </w:r>
          </w:p>
        </w:tc>
      </w:tr>
    </w:tbl>
    <w:p w14:paraId="4E8B8198" w14:textId="77777777" w:rsidR="0003113B" w:rsidRPr="00050F51" w:rsidRDefault="0003113B" w:rsidP="0003113B">
      <w:pPr>
        <w:rPr>
          <w:rFonts w:ascii="Arial" w:eastAsia="Arial" w:hAnsi="Arial" w:cs="Arial"/>
          <w:sz w:val="20"/>
          <w:szCs w:val="20"/>
        </w:rPr>
      </w:pPr>
    </w:p>
    <w:p w14:paraId="4B131DE5" w14:textId="77777777" w:rsidR="0003113B" w:rsidRPr="00050F51" w:rsidRDefault="0003113B" w:rsidP="00B56F00">
      <w:pPr>
        <w:pStyle w:val="SISectionHeading"/>
      </w:pPr>
      <w:r w:rsidRPr="00050F51">
        <w:t>Section S13. Details on Borg multiobjective evolutionary algorithm</w:t>
      </w:r>
    </w:p>
    <w:p w14:paraId="376EC0B2" w14:textId="04C98814" w:rsidR="0003113B" w:rsidRPr="00050F51" w:rsidRDefault="0003113B" w:rsidP="00967318">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color w:val="000000"/>
          <w:sz w:val="20"/>
          <w:szCs w:val="20"/>
        </w:rPr>
        <w:t>We use the Multi-master Borg multiobjective evolutionary algorithm to determine Pareto-approximate infrastructure strategies.</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{"citationID":"rQpRRy0J","properties":{"formattedCitation":"\\super 21\\nosupersub{}","plainCitation":"21","noteIndex":0},"citationItems":[{"id":3062,"uris":["http://zotero.org/users/3174049/items/TY7NM57R"],"itemData":{"id":3062,"type":"article-journal","abstract":"This study introduces the Borg multi-objective evolutionary algorithm (MOEA) for many-objective, multimodal optimization. The Borg MOEA combines -dominance, a measure of convergence speed named -progress, randomized restarts, and autoadaptive multioperator recombination into a uniﬁed optimization framework. A comparative study on 33 instances of 18 test problems from the DTLZ, WFG, and CEC 2009 test suites demonstrates Borg meets or exceeds six state of the art MOEAs on the majority of the tested problems. The performance for each test problem is evaluated using a 1,000 point Latin hypercube sampling of each algorithm’s feasible parameterization space. The statistical performance of every sampled MOEA parameterization is evaluated using 50 replicate random seed trials. The Borg MOEA is not a single algorithm; instead it represents a class of algorithms whose operators are adaptively selected based on the problem. The adaptive discovery of key operators is of particular importance for benchmarking how variation operators enhance search for complex many-objective problems.","container-title":"Evolutionary Computation","DOI":"10.1162/EVCO_a_00075","ISSN":"1063-6560, 1530-9304","issue":"2","journalAbbreviation":"Evolutionary Computation","language":"en","page":"231-259","source":"DOI.org (Crossref)","title":"Borg: An Auto-Adaptive Many-Objective Evolutionary Computing Framework","title-short":"Borg","volume":"21","author":[{"family":"Hadka","given":"David"},{"family":"Reed","given":"Patrick"}],"issued":{"date-parts":[["2013",5]]}}}],"schema":"https://github.com/citation-style-language/schema/raw/master/csl-citation.json"}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21</w:t>
      </w:r>
      <w:r w:rsidR="000E7DDB" w:rsidRPr="00050F51">
        <w:rPr>
          <w:rFonts w:ascii="Arial" w:eastAsia="Arial" w:hAnsi="Arial" w:cs="Arial"/>
          <w:color w:val="000000"/>
          <w:sz w:val="20"/>
          <w:szCs w:val="20"/>
        </w:rPr>
        <w:fldChar w:fldCharType="end"/>
      </w:r>
      <w:r w:rsidRPr="00050F51">
        <w:rPr>
          <w:rFonts w:ascii="Arial" w:eastAsia="Arial" w:hAnsi="Arial" w:cs="Arial"/>
          <w:color w:val="000000"/>
          <w:sz w:val="20"/>
          <w:szCs w:val="20"/>
        </w:rPr>
        <w:t xml:space="preserve"> We run Borg on Sherlock, a High-Performance Computing cluster, using 50 nodes and 10 tasks per node. Using four random seeds and 25,000 function evaluations, the model converges in approximately five days per seed. Figure S</w:t>
      </w:r>
      <w:r w:rsidRPr="00050F51">
        <w:rPr>
          <w:rFonts w:ascii="Arial" w:eastAsia="Arial" w:hAnsi="Arial" w:cs="Arial"/>
          <w:sz w:val="20"/>
          <w:szCs w:val="20"/>
        </w:rPr>
        <w:t>16</w:t>
      </w:r>
      <w:r w:rsidRPr="00050F51">
        <w:rPr>
          <w:rFonts w:ascii="Arial" w:eastAsia="Arial" w:hAnsi="Arial" w:cs="Arial"/>
          <w:color w:val="000000"/>
          <w:sz w:val="20"/>
          <w:szCs w:val="20"/>
        </w:rPr>
        <w:t xml:space="preserve"> shows optimization performance across seeds, ensuring that the function is </w:t>
      </w:r>
      <w:r w:rsidRPr="00050F51">
        <w:rPr>
          <w:rFonts w:ascii="Arial" w:eastAsia="Arial" w:hAnsi="Arial" w:cs="Arial"/>
          <w:sz w:val="20"/>
          <w:szCs w:val="20"/>
        </w:rPr>
        <w:t xml:space="preserve">run for enough iterations to enable confidence that </w:t>
      </w:r>
      <w:r w:rsidRPr="00050F51">
        <w:rPr>
          <w:rFonts w:ascii="Arial" w:eastAsia="Arial" w:hAnsi="Arial" w:cs="Arial"/>
          <w:color w:val="000000"/>
          <w:sz w:val="20"/>
          <w:szCs w:val="20"/>
        </w:rPr>
        <w:t xml:space="preserve">we obtain both optimal infrastructure planning </w:t>
      </w:r>
      <w:r w:rsidRPr="00050F51">
        <w:rPr>
          <w:rFonts w:ascii="Arial" w:eastAsia="Arial" w:hAnsi="Arial" w:cs="Arial"/>
          <w:sz w:val="20"/>
          <w:szCs w:val="20"/>
        </w:rPr>
        <w:t>strategies</w:t>
      </w:r>
      <w:r w:rsidRPr="00050F51">
        <w:rPr>
          <w:rFonts w:ascii="Arial" w:eastAsia="Arial" w:hAnsi="Arial" w:cs="Arial"/>
          <w:color w:val="000000"/>
          <w:sz w:val="20"/>
          <w:szCs w:val="20"/>
        </w:rPr>
        <w:t xml:space="preserve"> and optimized objective values.</w:t>
      </w:r>
    </w:p>
    <w:p w14:paraId="2EE332B9" w14:textId="77777777" w:rsidR="0003113B" w:rsidRPr="00050F51" w:rsidRDefault="0003113B" w:rsidP="0003113B">
      <w:pPr>
        <w:pBdr>
          <w:top w:val="nil"/>
          <w:left w:val="nil"/>
          <w:bottom w:val="nil"/>
          <w:right w:val="nil"/>
          <w:between w:val="nil"/>
        </w:pBdr>
        <w:rPr>
          <w:rFonts w:ascii="Arial" w:eastAsia="Arial" w:hAnsi="Arial" w:cs="Arial"/>
          <w:color w:val="000000"/>
          <w:sz w:val="22"/>
          <w:szCs w:val="22"/>
        </w:rPr>
      </w:pPr>
      <w:r w:rsidRPr="00050F51">
        <w:rPr>
          <w:rFonts w:ascii="Arial" w:eastAsia="Arial" w:hAnsi="Arial" w:cs="Arial"/>
          <w:noProof/>
          <w:color w:val="000000"/>
          <w:sz w:val="22"/>
          <w:szCs w:val="22"/>
        </w:rPr>
        <w:drawing>
          <wp:inline distT="0" distB="0" distL="0" distR="0" wp14:anchorId="57F5F206" wp14:editId="1152AE98">
            <wp:extent cx="4484814" cy="2499350"/>
            <wp:effectExtent l="0" t="0" r="0" b="0"/>
            <wp:docPr id="212162667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a:stretch>
                      <a:fillRect/>
                    </a:stretch>
                  </pic:blipFill>
                  <pic:spPr>
                    <a:xfrm>
                      <a:off x="0" y="0"/>
                      <a:ext cx="4484814" cy="2499350"/>
                    </a:xfrm>
                    <a:prstGeom prst="rect">
                      <a:avLst/>
                    </a:prstGeom>
                    <a:ln/>
                  </pic:spPr>
                </pic:pic>
              </a:graphicData>
            </a:graphic>
          </wp:inline>
        </w:drawing>
      </w:r>
    </w:p>
    <w:p w14:paraId="5D1DB6AD" w14:textId="175BAB3D" w:rsidR="0003113B" w:rsidRPr="00050F51" w:rsidRDefault="0003113B" w:rsidP="004E5254">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b/>
          <w:bCs/>
          <w:color w:val="000000"/>
          <w:sz w:val="20"/>
          <w:szCs w:val="20"/>
        </w:rPr>
        <w:t>Fig. S</w:t>
      </w:r>
      <w:r w:rsidRPr="00050F51">
        <w:rPr>
          <w:rFonts w:ascii="Arial" w:eastAsia="Arial" w:hAnsi="Arial" w:cs="Arial"/>
          <w:b/>
          <w:bCs/>
          <w:sz w:val="20"/>
          <w:szCs w:val="20"/>
        </w:rPr>
        <w:t>16</w:t>
      </w:r>
      <w:r w:rsidRPr="00050F51">
        <w:rPr>
          <w:rFonts w:ascii="Arial" w:eastAsia="Arial" w:hAnsi="Arial" w:cs="Arial"/>
          <w:b/>
          <w:bCs/>
          <w:color w:val="000000"/>
          <w:sz w:val="20"/>
          <w:szCs w:val="20"/>
        </w:rPr>
        <w:t>.</w:t>
      </w:r>
      <w:r w:rsidRPr="00050F51">
        <w:rPr>
          <w:rFonts w:ascii="Arial" w:eastAsia="Arial" w:hAnsi="Arial" w:cs="Arial"/>
          <w:color w:val="000000"/>
          <w:sz w:val="20"/>
          <w:szCs w:val="20"/>
        </w:rPr>
        <w:t xml:space="preserve"> Hypervolume vs. number of function evaluations (NFEs). Hypervolume shown for four seeds show</w:t>
      </w:r>
      <w:r w:rsidRPr="00050F51">
        <w:rPr>
          <w:rFonts w:ascii="Arial" w:eastAsia="Arial" w:hAnsi="Arial" w:cs="Arial"/>
          <w:sz w:val="20"/>
          <w:szCs w:val="20"/>
        </w:rPr>
        <w:t>s</w:t>
      </w:r>
      <w:r w:rsidRPr="00050F51">
        <w:rPr>
          <w:rFonts w:ascii="Arial" w:eastAsia="Arial" w:hAnsi="Arial" w:cs="Arial"/>
          <w:color w:val="000000"/>
          <w:sz w:val="20"/>
          <w:szCs w:val="20"/>
        </w:rPr>
        <w:t xml:space="preserve"> convergence by around 10,000 function evaluations, ensuring we obtain optim</w:t>
      </w:r>
      <w:r w:rsidRPr="00050F51">
        <w:rPr>
          <w:rFonts w:ascii="Arial" w:eastAsia="Arial" w:hAnsi="Arial" w:cs="Arial"/>
          <w:sz w:val="20"/>
          <w:szCs w:val="20"/>
        </w:rPr>
        <w:t>al infrastructure planning solutions and objective values</w:t>
      </w:r>
      <w:r w:rsidRPr="00050F51">
        <w:rPr>
          <w:rFonts w:ascii="Arial" w:eastAsia="Arial" w:hAnsi="Arial" w:cs="Arial"/>
          <w:color w:val="000000"/>
          <w:sz w:val="20"/>
          <w:szCs w:val="20"/>
        </w:rPr>
        <w:t>.</w:t>
      </w:r>
    </w:p>
    <w:p w14:paraId="138E99C5" w14:textId="77777777" w:rsidR="0003113B" w:rsidRPr="00050F51" w:rsidRDefault="0003113B">
      <w:pPr>
        <w:rPr>
          <w:rFonts w:ascii="Arial" w:eastAsia="Arial" w:hAnsi="Arial" w:cs="Arial"/>
          <w:b/>
          <w:bCs/>
          <w:color w:val="000000"/>
          <w:sz w:val="20"/>
          <w:szCs w:val="20"/>
        </w:rPr>
      </w:pPr>
      <w:r w:rsidRPr="00050F51">
        <w:rPr>
          <w:rFonts w:ascii="Arial" w:eastAsia="Arial" w:hAnsi="Arial" w:cs="Arial"/>
          <w:b/>
          <w:bCs/>
          <w:color w:val="000000"/>
          <w:sz w:val="20"/>
          <w:szCs w:val="20"/>
        </w:rPr>
        <w:br w:type="page"/>
      </w:r>
    </w:p>
    <w:p w14:paraId="4E03A5ED" w14:textId="40DDAEFB" w:rsidR="0003113B" w:rsidRPr="00050F51" w:rsidRDefault="0003113B" w:rsidP="00B56F00">
      <w:pPr>
        <w:pStyle w:val="SISectionHeading"/>
      </w:pPr>
      <w:r w:rsidRPr="00050F51">
        <w:lastRenderedPageBreak/>
        <w:t>Section S14. Details on water demand econometric model</w:t>
      </w:r>
    </w:p>
    <w:p w14:paraId="7D0143EB" w14:textId="1DD0175C" w:rsidR="0003113B" w:rsidRPr="00050F51" w:rsidRDefault="0003113B" w:rsidP="00967318">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color w:val="000000"/>
          <w:sz w:val="20"/>
          <w:szCs w:val="20"/>
        </w:rPr>
        <w:t xml:space="preserve">A Discrete/Continuous Choice (DCC) model is used to estimate residential water demand under the increasing block tariff (IBT) prevailing in Santa Cruz. Water demand estimation under an IBT faces the challenge of price endogeneity, where the quantity demanded depends on the price of water, but the price of water under the tariff structure in turn depends on the consumption quantity. The approach addresses this challenge by simultaneously modeling the discrete selection of a tariff block and the continuous choice of a water demand consumption quantity. The approach uses maximum likelihood estimation (MLE) to determine demand function coefficients. The full set of MLE equations can be found in </w:t>
      </w:r>
      <w:r w:rsidRPr="00050F51">
        <w:rPr>
          <w:rFonts w:ascii="Arial" w:eastAsia="Arial" w:hAnsi="Arial" w:cs="Arial"/>
          <w:sz w:val="20"/>
          <w:szCs w:val="20"/>
        </w:rPr>
        <w:t>previous work</w:t>
      </w:r>
      <w:r w:rsidRPr="00050F51">
        <w:rPr>
          <w:rFonts w:ascii="Arial" w:eastAsia="Arial" w:hAnsi="Arial" w:cs="Arial"/>
          <w:color w:val="000000"/>
          <w:sz w:val="20"/>
          <w:szCs w:val="20"/>
        </w:rPr>
        <w:t>.</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{"citationID":"uZeMDmC0","properties":{"formattedCitation":"\\super 22,23\\nosupersub{}","plainCitation":"22,23","noteIndex":0},"citationItems":[{"id":8942,"uris":["http://zotero.org/users/3174049/items/HT9L68DI"],"itemData":{"id":8942,"type":"article-journal","abstract":"We estimate the price elasticity of water demand with household-level data, structurally modeling the piecewise-linear budget constraints imposed by increasing block pricing. We develop a mathematical expression for the unconditional price elasticity of demand under increasing block prices and compare conditional and unconditional elasticities analytically and empirically. We test the hypothesis that price elasticity may depend on price structure, beyond technical differences in elasticity concepts. Due to the possibility of endogenous utility price structure choice, observed differences in elasticity across price structures may be due either to a behavioral response to price structure, or to underlying heterogeneity among water utility service areas.","container-title":"Journal of Environmental Economics and Management","DOI":"10.1016/j.jeem.2007.03.002","ISSN":"0095-0696","issue":"2","journalAbbreviation":"Journal of Environmental Economics and Management","language":"en","page":"181-198","source":"ScienceDirect","title":"Water demand under alternative price structures","volume":"54","author":[{"family":"Olmstead","given":"Sheila M."},{"family":"Michael Hanemann","given":"W."},{"family":"Stavins","given":"Robert N."}],"issued":{"date-parts":[["2007",9,1]]}}},{"id":9208,"uris":["http://zotero.org/users/3174049/items/JJGZ3PAX"],"itemData":{"id":9208,"type":"article-journal","abstract":"Arid developing countries face growing challenges from water scarcity, which are exacerbated by deficient piped water supply infrastructures. Increasing block tariffs (IBTs), charging higher rates with increasing water consumption, can potentially reconcile cost recovery to finance these infrastructures with an equitable and affordable sharing of the cost burden. A firm understanding of the impacts of varying prices and socio-economic conditions on residential water demand is necessary for designing IBTs that promote these objectives. Consistently estimating water demand under an IBT requires a discrete/continuous choice (DCC) model. Despite this, few econometric studies of arid developing countries have applied this state-of-the-art approach. This paper applies a DCC model to estimate residential water demand under IBTs in the severely water-stressed country of Jordan, using 15,811 country-wide household-level observations from five years up to 2013. We extend Hewitt and Hanemann’s original DCC formulation in order to accommodate IBTs featuring a linearly progressive tariff block. We then use the resulting demand function to assess Jordan’s 2013 IBTs and alternative IBT designs. Under the estimated price elasticities, very few IBT designs achieve a full recovery of the financial costs of water provision, but we still identify a potential to improve cost recovery and affordability.","container-title":"Water","DOI":"10.3390/w10030248","ISSN":"2073-4441","issue":"3","language":"en","license":"http://creativecommons.org/licenses/by/3.0/","note":"number: 3","page":"248","publisher":"Multidisciplinary Digital Publishing Institute","source":"www.mdpi.com","title":"Increasing Block Tariffs in an Arid Developing Country: A Discrete/Continuous Choice Model of Residential Water Demand in Jordan","title-short":"Increasing Block Tariffs in an Arid Developing Country","volume":"10","author":[{"family":"Klassert","given":"Christian"},{"family":"Sigel","given":"Katja"},{"family":"Klauer","given":"Bernd"},{"family":"Gawel","given":"Erik"}],"issued":{"date-parts":[["2018",3]]}}}],"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22,23</w:t>
      </w:r>
      <w:r w:rsidR="000E7DDB" w:rsidRPr="00050F51">
        <w:rPr>
          <w:rFonts w:ascii="Arial" w:eastAsia="Arial" w:hAnsi="Arial" w:cs="Arial"/>
          <w:color w:val="000000"/>
          <w:sz w:val="20"/>
          <w:szCs w:val="20"/>
        </w:rPr>
        <w:fldChar w:fldCharType="end"/>
      </w:r>
      <w:r w:rsidRPr="00050F51">
        <w:rPr>
          <w:rFonts w:ascii="Arial" w:eastAsia="Arial" w:hAnsi="Arial" w:cs="Arial"/>
          <w:color w:val="000000"/>
          <w:sz w:val="20"/>
          <w:szCs w:val="20"/>
        </w:rPr>
        <w:t xml:space="preserve"> The model includes the following housing characteristics as coefficients: home tax value, main area size, number of bathrooms (and bathrooms squared), and pool presence. We use home tax value as a proxy for household wealth instead of income,</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{"citationID":"4YJ06MTk","properties":{"formattedCitation":"\\super 24\\nosupersub{}","plainCitation":"24","noteIndex":0},"citationItems":[{"id":7361,"uris":["http://zotero.org/users/3174049/items/D4CDP9UV"],"itemData":{"id":7361,"type":"article-journal","abstract":"The increased reliance on demand-side management policies as an urban water consumption management tool has stimulated considerable debate among economists, water utility managers, regulators, consumer interest groups and policymakers. In turn, this has fostered an increasing volume of literature aimed at providing best-practice estimates of price and income elasticities, quantifying the impact of non-price water restrictions and gauging the impact of non-discretionary environmental factors affecting residential water demand. This paper provides a synoptic survey of empirical residential water demand analyses conducted in the last 25 years. Both model specification and estimation and the outcomes of the analyses are discussed.","container-title":"Journal of Economic Surveys","DOI":"10.1111/j.1467-6419.2008.00551.x","ISSN":"1467-6419","issue":"5","language":"en","note":"_eprint: https://onlinelibrary.wiley.com/doi/pdf/10.1111/j.1467-6419.2008.00551.x","page":"842-871","source":"Wiley Online Library","title":"An Empirical Survey of Residential Water Demand Modelling","volume":"22","author":[{"family":"Worthington","given":"Andrew C."},{"family":"Hoffman","given":"Mark"}],"issued":{"date-parts":[["2008"]]}}}],"schema":"https://github.com/citation-style-language/schema/raw/master/csl-citation.json"}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24</w:t>
      </w:r>
      <w:r w:rsidR="000E7DDB" w:rsidRPr="00050F51">
        <w:rPr>
          <w:rFonts w:ascii="Arial" w:eastAsia="Arial" w:hAnsi="Arial" w:cs="Arial"/>
          <w:color w:val="000000"/>
          <w:sz w:val="20"/>
          <w:szCs w:val="20"/>
        </w:rPr>
        <w:fldChar w:fldCharType="end"/>
      </w:r>
      <w:r w:rsidR="000E7DDB" w:rsidRPr="00050F51">
        <w:rPr>
          <w:rFonts w:ascii="Arial" w:eastAsia="Arial" w:hAnsi="Arial" w:cs="Arial"/>
          <w:color w:val="000000"/>
          <w:sz w:val="20"/>
          <w:szCs w:val="20"/>
          <w:vertAlign w:val="superscript"/>
        </w:rPr>
        <w:t xml:space="preserve"> </w:t>
      </w:r>
      <w:r w:rsidRPr="00050F51">
        <w:rPr>
          <w:rFonts w:ascii="Arial" w:eastAsia="Arial" w:hAnsi="Arial" w:cs="Arial"/>
          <w:color w:val="000000"/>
          <w:sz w:val="20"/>
          <w:szCs w:val="20"/>
        </w:rPr>
        <w:t xml:space="preserve">since tax value data is available at the household level. We assume all housing characteristics are constant over the billing data and model simulation periods. </w:t>
      </w:r>
      <w:sdt>
        <w:sdtPr>
          <w:rPr>
            <w:rFonts w:ascii="Arial" w:hAnsi="Arial" w:cs="Arial"/>
            <w:sz w:val="20"/>
            <w:szCs w:val="20"/>
          </w:rPr>
          <w:tag w:val="goog_rdk_14"/>
          <w:id w:val="806121783"/>
        </w:sdtPr>
        <w:sdtContent/>
      </w:sdt>
      <w:r w:rsidRPr="00050F51">
        <w:rPr>
          <w:rFonts w:ascii="Arial" w:eastAsia="Arial" w:hAnsi="Arial" w:cs="Arial"/>
          <w:color w:val="000000"/>
          <w:sz w:val="20"/>
          <w:szCs w:val="20"/>
        </w:rPr>
        <w:t>In addition, the model includes environmental characteristics, which vary monthly, including: precipitation, average temperature, and actual evapotranspiration.</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{"citationID":"2ekEDlU8","properties":{"formattedCitation":"\\super 25\\nosupersub{}","plainCitation":"25","noteIndex":0},"citationItems":[{"id":10651,"uris":["http://zotero.org/users/3174049/items/3LXDF79K"],"itemData":{"id":10651,"type":"article-journal","container-title":"Bulletin of the American Meteorological Society","issue":"3","page":"381-394","title":"The Global Land Data Assimilation System in: Bulletin of the American Meteorological Society Volume 85 Issue 3 (2004)","volume":"85","author":[{"family":"Rodell","given":"M."},{"family":"Houser","given":"P.R."},{"family":"Jambor","given":"U."},{"family":"Gottschalck","given":"J."},{"family":"Mitchell","given":"K."},{"family":"Meng","given":"C.-J."},{"family":"Arsenault","given":"K."},{"family":"Cosgrove","given":"B."},{"family":"Radakovich","given":"J."},{"family":"Bosilovich","given":"M."},{"family":"Entin","given":"J.K."},{"family":"Walker","given":"J.P."},{"family":"Lohmann","given":"D."},{"family":"Toll","given":"D."}],"issued":{"date-parts":[["2004",3,1]]}}}],"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25</w:t>
      </w:r>
      <w:r w:rsidR="000E7DDB" w:rsidRPr="00050F51">
        <w:rPr>
          <w:rFonts w:ascii="Arial" w:eastAsia="Arial" w:hAnsi="Arial" w:cs="Arial"/>
          <w:color w:val="000000"/>
          <w:sz w:val="20"/>
          <w:szCs w:val="20"/>
        </w:rPr>
        <w:fldChar w:fldCharType="end"/>
      </w:r>
      <w:r w:rsidRPr="00050F51">
        <w:rPr>
          <w:rFonts w:ascii="Arial" w:eastAsia="Arial" w:hAnsi="Arial" w:cs="Arial"/>
          <w:color w:val="000000"/>
          <w:sz w:val="20"/>
          <w:szCs w:val="20"/>
        </w:rPr>
        <w:t xml:space="preserve"> Besides coefficients reflecting housing and environmental characteristics, the model also estimates the price elasticity of water demand. The underlying marginal water prices (in dollars per hundred cubic feet of water) for every bill are determined based on the tariff rate applicable in the highest used tier of the IBT. </w:t>
      </w:r>
      <w:r w:rsidRPr="00050F51">
        <w:rPr>
          <w:rFonts w:ascii="Arial" w:eastAsia="Arial" w:hAnsi="Arial" w:cs="Arial"/>
          <w:sz w:val="20"/>
          <w:szCs w:val="20"/>
        </w:rPr>
        <w:t xml:space="preserve">As an error term, we add a direct bias correction factor for each household, which we compute as the average residual between measured (billing) and modeled data. </w:t>
      </w:r>
      <w:r w:rsidRPr="00050F51">
        <w:rPr>
          <w:rFonts w:ascii="Arial" w:eastAsia="Arial" w:hAnsi="Arial" w:cs="Arial"/>
          <w:color w:val="000000"/>
          <w:sz w:val="20"/>
          <w:szCs w:val="20"/>
        </w:rPr>
        <w:t>All model coefficients are in Table S</w:t>
      </w:r>
      <w:r w:rsidRPr="00050F51">
        <w:rPr>
          <w:rFonts w:ascii="Arial" w:eastAsia="Arial" w:hAnsi="Arial" w:cs="Arial"/>
          <w:sz w:val="20"/>
          <w:szCs w:val="20"/>
        </w:rPr>
        <w:t>7</w:t>
      </w:r>
      <w:r w:rsidRPr="00050F51">
        <w:rPr>
          <w:rFonts w:ascii="Arial" w:eastAsia="Arial" w:hAnsi="Arial" w:cs="Arial"/>
          <w:color w:val="000000"/>
          <w:sz w:val="20"/>
          <w:szCs w:val="20"/>
        </w:rPr>
        <w:t xml:space="preserve">. </w:t>
      </w:r>
    </w:p>
    <w:p w14:paraId="349791DF" w14:textId="77777777" w:rsidR="0003113B" w:rsidRPr="00050F51" w:rsidRDefault="0003113B" w:rsidP="004E5254">
      <w:pPr>
        <w:pBdr>
          <w:top w:val="nil"/>
          <w:left w:val="nil"/>
          <w:bottom w:val="nil"/>
          <w:right w:val="nil"/>
          <w:between w:val="nil"/>
        </w:pBdr>
        <w:spacing w:before="120"/>
        <w:rPr>
          <w:rFonts w:ascii="Arial" w:eastAsia="Arial" w:hAnsi="Arial" w:cs="Arial"/>
          <w:color w:val="000000"/>
          <w:sz w:val="20"/>
          <w:szCs w:val="20"/>
        </w:rPr>
      </w:pPr>
      <w:r w:rsidRPr="00050F51">
        <w:rPr>
          <w:rFonts w:ascii="Arial" w:eastAsia="Arial" w:hAnsi="Arial" w:cs="Arial"/>
          <w:b/>
          <w:bCs/>
          <w:color w:val="000000"/>
          <w:sz w:val="20"/>
          <w:szCs w:val="20"/>
        </w:rPr>
        <w:t>Table S</w:t>
      </w:r>
      <w:r w:rsidRPr="00050F51">
        <w:rPr>
          <w:rFonts w:ascii="Arial" w:eastAsia="Arial" w:hAnsi="Arial" w:cs="Arial"/>
          <w:b/>
          <w:bCs/>
          <w:sz w:val="20"/>
          <w:szCs w:val="20"/>
        </w:rPr>
        <w:t>7</w:t>
      </w:r>
      <w:r w:rsidRPr="00050F51">
        <w:rPr>
          <w:rFonts w:ascii="Arial" w:eastAsia="Arial" w:hAnsi="Arial" w:cs="Arial"/>
          <w:b/>
          <w:bCs/>
          <w:color w:val="000000"/>
          <w:sz w:val="20"/>
          <w:szCs w:val="20"/>
        </w:rPr>
        <w:t>.</w:t>
      </w:r>
      <w:r w:rsidRPr="00050F51">
        <w:rPr>
          <w:rFonts w:ascii="Arial" w:eastAsia="Arial" w:hAnsi="Arial" w:cs="Arial"/>
          <w:color w:val="000000"/>
          <w:sz w:val="20"/>
          <w:szCs w:val="20"/>
        </w:rPr>
        <w:t xml:space="preserve"> DCC model estimated coefficient values</w:t>
      </w:r>
    </w:p>
    <w:tbl>
      <w:tblPr>
        <w:tblStyle w:val="af"/>
        <w:tblW w:w="4678" w:type="dxa"/>
        <w:tblLayout w:type="fixed"/>
        <w:tblLook w:val="0400" w:firstRow="0" w:lastRow="0" w:firstColumn="0" w:lastColumn="0" w:noHBand="0" w:noVBand="1"/>
      </w:tblPr>
      <w:tblGrid>
        <w:gridCol w:w="3177"/>
        <w:gridCol w:w="1501"/>
      </w:tblGrid>
      <w:tr w:rsidR="0003113B" w:rsidRPr="00050F51" w14:paraId="2B130F49" w14:textId="77777777" w:rsidTr="005154E7">
        <w:trPr>
          <w:trHeight w:val="253"/>
        </w:trPr>
        <w:tc>
          <w:tcPr>
            <w:tcW w:w="3177"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bottom"/>
          </w:tcPr>
          <w:p w14:paraId="35C3E976" w14:textId="77777777" w:rsidR="0003113B" w:rsidRPr="00050F51" w:rsidRDefault="0003113B" w:rsidP="005154E7">
            <w:pPr>
              <w:jc w:val="both"/>
              <w:rPr>
                <w:sz w:val="17"/>
                <w:szCs w:val="17"/>
              </w:rPr>
            </w:pPr>
            <w:r w:rsidRPr="00050F51">
              <w:rPr>
                <w:rFonts w:ascii="Arial" w:eastAsia="Arial" w:hAnsi="Arial" w:cs="Arial"/>
                <w:b/>
                <w:bCs/>
                <w:color w:val="000000"/>
                <w:sz w:val="17"/>
                <w:szCs w:val="17"/>
              </w:rPr>
              <w:t>Parameter Name (Unit)</w:t>
            </w:r>
          </w:p>
        </w:tc>
        <w:tc>
          <w:tcPr>
            <w:tcW w:w="1501"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bottom"/>
          </w:tcPr>
          <w:p w14:paraId="37E0185A" w14:textId="77777777" w:rsidR="0003113B" w:rsidRPr="00050F51" w:rsidRDefault="0003113B" w:rsidP="005154E7">
            <w:pPr>
              <w:jc w:val="both"/>
              <w:rPr>
                <w:sz w:val="17"/>
                <w:szCs w:val="17"/>
              </w:rPr>
            </w:pPr>
            <w:r w:rsidRPr="00050F51">
              <w:rPr>
                <w:rFonts w:ascii="Arial" w:eastAsia="Arial" w:hAnsi="Arial" w:cs="Arial"/>
                <w:b/>
                <w:bCs/>
                <w:color w:val="000000"/>
                <w:sz w:val="17"/>
                <w:szCs w:val="17"/>
              </w:rPr>
              <w:t>Coefficient Value</w:t>
            </w:r>
          </w:p>
        </w:tc>
      </w:tr>
      <w:tr w:rsidR="0003113B" w:rsidRPr="00050F51" w14:paraId="18CDAE4E" w14:textId="77777777" w:rsidTr="005154E7">
        <w:trPr>
          <w:trHeight w:val="238"/>
        </w:trPr>
        <w:tc>
          <w:tcPr>
            <w:tcW w:w="31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153E2E27" w14:textId="77777777" w:rsidR="0003113B" w:rsidRPr="00050F51" w:rsidRDefault="0003113B" w:rsidP="005154E7">
            <w:pPr>
              <w:jc w:val="both"/>
              <w:rPr>
                <w:sz w:val="17"/>
                <w:szCs w:val="17"/>
              </w:rPr>
            </w:pPr>
            <w:r w:rsidRPr="00050F51">
              <w:rPr>
                <w:rFonts w:ascii="Arial" w:eastAsia="Arial" w:hAnsi="Arial" w:cs="Arial"/>
                <w:color w:val="000000"/>
                <w:sz w:val="17"/>
                <w:szCs w:val="17"/>
              </w:rPr>
              <w:t>Intercept (-)</w:t>
            </w:r>
          </w:p>
        </w:tc>
        <w:tc>
          <w:tcPr>
            <w:tcW w:w="15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0D7D3E5A" w14:textId="77777777" w:rsidR="0003113B" w:rsidRPr="00050F51" w:rsidRDefault="0003113B" w:rsidP="005154E7">
            <w:pPr>
              <w:jc w:val="both"/>
              <w:rPr>
                <w:sz w:val="17"/>
                <w:szCs w:val="17"/>
              </w:rPr>
            </w:pPr>
            <w:r w:rsidRPr="00050F51">
              <w:rPr>
                <w:rFonts w:ascii="Arial" w:eastAsia="Arial" w:hAnsi="Arial" w:cs="Arial"/>
                <w:color w:val="000000"/>
                <w:sz w:val="17"/>
                <w:szCs w:val="17"/>
              </w:rPr>
              <w:t>0.516</w:t>
            </w:r>
          </w:p>
        </w:tc>
      </w:tr>
      <w:tr w:rsidR="0003113B" w:rsidRPr="00050F51" w14:paraId="647B452B" w14:textId="77777777" w:rsidTr="005154E7">
        <w:trPr>
          <w:trHeight w:val="238"/>
        </w:trPr>
        <w:tc>
          <w:tcPr>
            <w:tcW w:w="31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25A4B53D" w14:textId="77777777" w:rsidR="0003113B" w:rsidRPr="00050F51" w:rsidRDefault="0003113B" w:rsidP="005154E7">
            <w:pPr>
              <w:jc w:val="both"/>
              <w:rPr>
                <w:sz w:val="17"/>
                <w:szCs w:val="17"/>
              </w:rPr>
            </w:pPr>
            <w:r w:rsidRPr="00050F51">
              <w:rPr>
                <w:rFonts w:ascii="Arial" w:eastAsia="Arial" w:hAnsi="Arial" w:cs="Arial"/>
                <w:color w:val="000000"/>
                <w:sz w:val="17"/>
                <w:szCs w:val="17"/>
              </w:rPr>
              <w:t>Log(marginal price) ($)</w:t>
            </w:r>
          </w:p>
        </w:tc>
        <w:tc>
          <w:tcPr>
            <w:tcW w:w="15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3AC9A2E7" w14:textId="77777777" w:rsidR="0003113B" w:rsidRPr="00050F51" w:rsidRDefault="0003113B" w:rsidP="005154E7">
            <w:pPr>
              <w:jc w:val="both"/>
              <w:rPr>
                <w:sz w:val="17"/>
                <w:szCs w:val="17"/>
              </w:rPr>
            </w:pPr>
            <w:r w:rsidRPr="00050F51">
              <w:rPr>
                <w:rFonts w:ascii="Arial" w:eastAsia="Arial" w:hAnsi="Arial" w:cs="Arial"/>
                <w:color w:val="000000"/>
                <w:sz w:val="17"/>
                <w:szCs w:val="17"/>
              </w:rPr>
              <w:t>-0.246</w:t>
            </w:r>
          </w:p>
        </w:tc>
      </w:tr>
      <w:tr w:rsidR="0003113B" w:rsidRPr="00050F51" w14:paraId="7546C252" w14:textId="77777777" w:rsidTr="005154E7">
        <w:trPr>
          <w:trHeight w:val="238"/>
        </w:trPr>
        <w:tc>
          <w:tcPr>
            <w:tcW w:w="31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681966DF" w14:textId="77777777" w:rsidR="0003113B" w:rsidRPr="00050F51" w:rsidRDefault="0003113B" w:rsidP="005154E7">
            <w:pPr>
              <w:jc w:val="both"/>
              <w:rPr>
                <w:sz w:val="17"/>
                <w:szCs w:val="17"/>
              </w:rPr>
            </w:pPr>
            <w:r w:rsidRPr="00050F51">
              <w:rPr>
                <w:rFonts w:ascii="Arial" w:eastAsia="Arial" w:hAnsi="Arial" w:cs="Arial"/>
                <w:color w:val="000000"/>
                <w:sz w:val="17"/>
                <w:szCs w:val="17"/>
              </w:rPr>
              <w:t>Log(home tax value) ($)</w:t>
            </w:r>
          </w:p>
        </w:tc>
        <w:tc>
          <w:tcPr>
            <w:tcW w:w="15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318C7A90" w14:textId="77777777" w:rsidR="0003113B" w:rsidRPr="00050F51" w:rsidRDefault="0003113B" w:rsidP="005154E7">
            <w:pPr>
              <w:jc w:val="both"/>
              <w:rPr>
                <w:sz w:val="17"/>
                <w:szCs w:val="17"/>
              </w:rPr>
            </w:pPr>
            <w:r w:rsidRPr="00050F51">
              <w:rPr>
                <w:rFonts w:ascii="Arial" w:eastAsia="Arial" w:hAnsi="Arial" w:cs="Arial"/>
                <w:color w:val="000000"/>
                <w:sz w:val="17"/>
                <w:szCs w:val="17"/>
              </w:rPr>
              <w:t>0.058</w:t>
            </w:r>
          </w:p>
        </w:tc>
      </w:tr>
      <w:tr w:rsidR="0003113B" w:rsidRPr="00050F51" w14:paraId="7A7A6A1C" w14:textId="77777777" w:rsidTr="005154E7">
        <w:trPr>
          <w:trHeight w:val="238"/>
        </w:trPr>
        <w:tc>
          <w:tcPr>
            <w:tcW w:w="31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3699C617" w14:textId="77777777" w:rsidR="0003113B" w:rsidRPr="00050F51" w:rsidRDefault="0003113B" w:rsidP="005154E7">
            <w:pPr>
              <w:jc w:val="both"/>
              <w:rPr>
                <w:sz w:val="17"/>
                <w:szCs w:val="17"/>
              </w:rPr>
            </w:pPr>
            <w:r w:rsidRPr="00050F51">
              <w:rPr>
                <w:rFonts w:ascii="Arial" w:eastAsia="Arial" w:hAnsi="Arial" w:cs="Arial"/>
                <w:color w:val="000000"/>
                <w:sz w:val="17"/>
                <w:szCs w:val="17"/>
              </w:rPr>
              <w:t>Home main area (sqft.)</w:t>
            </w:r>
          </w:p>
        </w:tc>
        <w:tc>
          <w:tcPr>
            <w:tcW w:w="15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44513566" w14:textId="77777777" w:rsidR="0003113B" w:rsidRPr="00050F51" w:rsidRDefault="0003113B" w:rsidP="005154E7">
            <w:pPr>
              <w:jc w:val="both"/>
              <w:rPr>
                <w:sz w:val="17"/>
                <w:szCs w:val="17"/>
              </w:rPr>
            </w:pPr>
            <w:r w:rsidRPr="00050F51">
              <w:rPr>
                <w:rFonts w:ascii="Arial" w:eastAsia="Arial" w:hAnsi="Arial" w:cs="Arial"/>
                <w:color w:val="000000"/>
                <w:sz w:val="17"/>
                <w:szCs w:val="17"/>
              </w:rPr>
              <w:t>1.97E-04</w:t>
            </w:r>
          </w:p>
        </w:tc>
      </w:tr>
      <w:tr w:rsidR="0003113B" w:rsidRPr="00050F51" w14:paraId="7C1BF7C5" w14:textId="77777777" w:rsidTr="005154E7">
        <w:trPr>
          <w:trHeight w:val="238"/>
        </w:trPr>
        <w:tc>
          <w:tcPr>
            <w:tcW w:w="31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4545AF21" w14:textId="77777777" w:rsidR="0003113B" w:rsidRPr="00050F51" w:rsidRDefault="0003113B" w:rsidP="005154E7">
            <w:pPr>
              <w:jc w:val="both"/>
              <w:rPr>
                <w:sz w:val="17"/>
                <w:szCs w:val="17"/>
              </w:rPr>
            </w:pPr>
            <w:r w:rsidRPr="00050F51">
              <w:rPr>
                <w:rFonts w:ascii="Arial" w:eastAsia="Arial" w:hAnsi="Arial" w:cs="Arial"/>
                <w:color w:val="000000"/>
                <w:sz w:val="17"/>
                <w:szCs w:val="17"/>
              </w:rPr>
              <w:t>Number of bathrooms (count)</w:t>
            </w:r>
          </w:p>
        </w:tc>
        <w:tc>
          <w:tcPr>
            <w:tcW w:w="15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1D5C61AD" w14:textId="77777777" w:rsidR="0003113B" w:rsidRPr="00050F51" w:rsidRDefault="0003113B" w:rsidP="005154E7">
            <w:pPr>
              <w:jc w:val="both"/>
              <w:rPr>
                <w:sz w:val="17"/>
                <w:szCs w:val="17"/>
              </w:rPr>
            </w:pPr>
            <w:r w:rsidRPr="00050F51">
              <w:rPr>
                <w:rFonts w:ascii="Arial" w:eastAsia="Arial" w:hAnsi="Arial" w:cs="Arial"/>
                <w:color w:val="000000"/>
                <w:sz w:val="17"/>
                <w:szCs w:val="17"/>
              </w:rPr>
              <w:t>0.071</w:t>
            </w:r>
          </w:p>
        </w:tc>
      </w:tr>
      <w:tr w:rsidR="0003113B" w:rsidRPr="00050F51" w14:paraId="6347DDAB" w14:textId="77777777" w:rsidTr="005154E7">
        <w:trPr>
          <w:trHeight w:val="238"/>
        </w:trPr>
        <w:tc>
          <w:tcPr>
            <w:tcW w:w="31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57FD3D2C" w14:textId="77777777" w:rsidR="0003113B" w:rsidRPr="00050F51" w:rsidRDefault="0003113B" w:rsidP="005154E7">
            <w:pPr>
              <w:jc w:val="both"/>
              <w:rPr>
                <w:sz w:val="17"/>
                <w:szCs w:val="17"/>
              </w:rPr>
            </w:pPr>
            <w:r w:rsidRPr="00050F51">
              <w:rPr>
                <w:rFonts w:ascii="Arial" w:eastAsia="Arial" w:hAnsi="Arial" w:cs="Arial"/>
                <w:color w:val="000000"/>
                <w:sz w:val="17"/>
                <w:szCs w:val="17"/>
              </w:rPr>
              <w:t>Number of bathrooms squared (count</w:t>
            </w:r>
            <w:r w:rsidRPr="00050F51">
              <w:rPr>
                <w:rFonts w:ascii="Arial" w:eastAsia="Arial" w:hAnsi="Arial" w:cs="Arial"/>
                <w:color w:val="000000"/>
                <w:sz w:val="17"/>
                <w:szCs w:val="17"/>
                <w:vertAlign w:val="superscript"/>
              </w:rPr>
              <w:t>2</w:t>
            </w:r>
            <w:r w:rsidRPr="00050F51">
              <w:rPr>
                <w:rFonts w:ascii="Arial" w:eastAsia="Arial" w:hAnsi="Arial" w:cs="Arial"/>
                <w:color w:val="000000"/>
                <w:sz w:val="17"/>
                <w:szCs w:val="17"/>
              </w:rPr>
              <w:t>)</w:t>
            </w:r>
          </w:p>
        </w:tc>
        <w:tc>
          <w:tcPr>
            <w:tcW w:w="15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29209D86" w14:textId="77777777" w:rsidR="0003113B" w:rsidRPr="00050F51" w:rsidRDefault="0003113B" w:rsidP="005154E7">
            <w:pPr>
              <w:jc w:val="both"/>
              <w:rPr>
                <w:sz w:val="17"/>
                <w:szCs w:val="17"/>
              </w:rPr>
            </w:pPr>
            <w:r w:rsidRPr="00050F51">
              <w:rPr>
                <w:rFonts w:ascii="Arial" w:eastAsia="Arial" w:hAnsi="Arial" w:cs="Arial"/>
                <w:color w:val="000000"/>
                <w:sz w:val="17"/>
                <w:szCs w:val="17"/>
              </w:rPr>
              <w:t>-5.09E-03</w:t>
            </w:r>
          </w:p>
        </w:tc>
      </w:tr>
      <w:tr w:rsidR="0003113B" w:rsidRPr="00050F51" w14:paraId="4CBBE33E" w14:textId="77777777" w:rsidTr="005154E7">
        <w:trPr>
          <w:trHeight w:val="238"/>
        </w:trPr>
        <w:tc>
          <w:tcPr>
            <w:tcW w:w="31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570FC79B" w14:textId="77777777" w:rsidR="0003113B" w:rsidRPr="00050F51" w:rsidRDefault="0003113B" w:rsidP="005154E7">
            <w:pPr>
              <w:jc w:val="both"/>
              <w:rPr>
                <w:sz w:val="17"/>
                <w:szCs w:val="17"/>
              </w:rPr>
            </w:pPr>
            <w:r w:rsidRPr="00050F51">
              <w:rPr>
                <w:rFonts w:ascii="Arial" w:eastAsia="Arial" w:hAnsi="Arial" w:cs="Arial"/>
                <w:color w:val="000000"/>
                <w:sz w:val="17"/>
                <w:szCs w:val="17"/>
              </w:rPr>
              <w:t>Pool presence/absence (boolean)</w:t>
            </w:r>
          </w:p>
        </w:tc>
        <w:tc>
          <w:tcPr>
            <w:tcW w:w="15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13696106" w14:textId="77777777" w:rsidR="0003113B" w:rsidRPr="00050F51" w:rsidRDefault="0003113B" w:rsidP="005154E7">
            <w:pPr>
              <w:jc w:val="both"/>
              <w:rPr>
                <w:sz w:val="17"/>
                <w:szCs w:val="17"/>
              </w:rPr>
            </w:pPr>
            <w:r w:rsidRPr="00050F51">
              <w:rPr>
                <w:rFonts w:ascii="Arial" w:eastAsia="Arial" w:hAnsi="Arial" w:cs="Arial"/>
                <w:color w:val="000000"/>
                <w:sz w:val="17"/>
                <w:szCs w:val="17"/>
              </w:rPr>
              <w:t>0.212</w:t>
            </w:r>
          </w:p>
        </w:tc>
      </w:tr>
      <w:tr w:rsidR="0003113B" w:rsidRPr="00050F51" w14:paraId="0C184EF3" w14:textId="77777777" w:rsidTr="005154E7">
        <w:trPr>
          <w:trHeight w:val="238"/>
        </w:trPr>
        <w:tc>
          <w:tcPr>
            <w:tcW w:w="31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5F09A6FA" w14:textId="77777777" w:rsidR="0003113B" w:rsidRPr="00050F51" w:rsidRDefault="0003113B" w:rsidP="005154E7">
            <w:pPr>
              <w:jc w:val="both"/>
              <w:rPr>
                <w:sz w:val="17"/>
                <w:szCs w:val="17"/>
              </w:rPr>
            </w:pPr>
            <w:r w:rsidRPr="00050F51">
              <w:rPr>
                <w:rFonts w:ascii="Arial" w:eastAsia="Arial" w:hAnsi="Arial" w:cs="Arial"/>
                <w:color w:val="000000"/>
                <w:sz w:val="17"/>
                <w:szCs w:val="17"/>
              </w:rPr>
              <w:t>Monthly actual evapotranspiration (mm)</w:t>
            </w:r>
          </w:p>
        </w:tc>
        <w:tc>
          <w:tcPr>
            <w:tcW w:w="15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10579C6A" w14:textId="77777777" w:rsidR="0003113B" w:rsidRPr="00050F51" w:rsidRDefault="0003113B" w:rsidP="005154E7">
            <w:pPr>
              <w:jc w:val="both"/>
              <w:rPr>
                <w:sz w:val="17"/>
                <w:szCs w:val="17"/>
              </w:rPr>
            </w:pPr>
            <w:r w:rsidRPr="00050F51">
              <w:rPr>
                <w:rFonts w:ascii="Arial" w:eastAsia="Arial" w:hAnsi="Arial" w:cs="Arial"/>
                <w:color w:val="000000"/>
                <w:sz w:val="17"/>
                <w:szCs w:val="17"/>
              </w:rPr>
              <w:t>-7.50E-05</w:t>
            </w:r>
          </w:p>
        </w:tc>
      </w:tr>
      <w:tr w:rsidR="0003113B" w:rsidRPr="00050F51" w14:paraId="73799899" w14:textId="77777777" w:rsidTr="005154E7">
        <w:trPr>
          <w:trHeight w:val="238"/>
        </w:trPr>
        <w:tc>
          <w:tcPr>
            <w:tcW w:w="31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1B997BD9" w14:textId="77777777" w:rsidR="0003113B" w:rsidRPr="00050F51" w:rsidRDefault="0003113B" w:rsidP="005154E7">
            <w:pPr>
              <w:jc w:val="both"/>
              <w:rPr>
                <w:sz w:val="17"/>
                <w:szCs w:val="17"/>
              </w:rPr>
            </w:pPr>
            <w:r w:rsidRPr="00050F51">
              <w:rPr>
                <w:rFonts w:ascii="Arial" w:eastAsia="Arial" w:hAnsi="Arial" w:cs="Arial"/>
                <w:color w:val="000000"/>
                <w:sz w:val="17"/>
                <w:szCs w:val="17"/>
              </w:rPr>
              <w:t>Monthly precipitation (mm)</w:t>
            </w:r>
          </w:p>
        </w:tc>
        <w:tc>
          <w:tcPr>
            <w:tcW w:w="15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6A30F6D1" w14:textId="77777777" w:rsidR="0003113B" w:rsidRPr="00050F51" w:rsidRDefault="0003113B" w:rsidP="005154E7">
            <w:pPr>
              <w:jc w:val="both"/>
              <w:rPr>
                <w:sz w:val="17"/>
                <w:szCs w:val="17"/>
              </w:rPr>
            </w:pPr>
            <w:r w:rsidRPr="00050F51">
              <w:rPr>
                <w:rFonts w:ascii="Arial" w:eastAsia="Arial" w:hAnsi="Arial" w:cs="Arial"/>
                <w:color w:val="000000"/>
                <w:sz w:val="17"/>
                <w:szCs w:val="17"/>
              </w:rPr>
              <w:t>-5.20E-06</w:t>
            </w:r>
          </w:p>
        </w:tc>
      </w:tr>
      <w:tr w:rsidR="0003113B" w:rsidRPr="00050F51" w14:paraId="54C01493" w14:textId="77777777" w:rsidTr="005154E7">
        <w:trPr>
          <w:trHeight w:val="238"/>
        </w:trPr>
        <w:tc>
          <w:tcPr>
            <w:tcW w:w="31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1AE01C45" w14:textId="77777777" w:rsidR="0003113B" w:rsidRPr="00050F51" w:rsidRDefault="0003113B" w:rsidP="005154E7">
            <w:pPr>
              <w:jc w:val="both"/>
              <w:rPr>
                <w:sz w:val="17"/>
                <w:szCs w:val="17"/>
              </w:rPr>
            </w:pPr>
            <w:r w:rsidRPr="00050F51">
              <w:rPr>
                <w:rFonts w:ascii="Arial" w:eastAsia="Arial" w:hAnsi="Arial" w:cs="Arial"/>
                <w:color w:val="000000"/>
                <w:sz w:val="17"/>
                <w:szCs w:val="17"/>
              </w:rPr>
              <w:t>Monthly temperature (°C)</w:t>
            </w:r>
          </w:p>
        </w:tc>
        <w:tc>
          <w:tcPr>
            <w:tcW w:w="15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22A9521E" w14:textId="77777777" w:rsidR="0003113B" w:rsidRPr="00050F51" w:rsidRDefault="0003113B" w:rsidP="005154E7">
            <w:pPr>
              <w:jc w:val="both"/>
              <w:rPr>
                <w:sz w:val="17"/>
                <w:szCs w:val="17"/>
              </w:rPr>
            </w:pPr>
            <w:r w:rsidRPr="00050F51">
              <w:rPr>
                <w:rFonts w:ascii="Arial" w:eastAsia="Arial" w:hAnsi="Arial" w:cs="Arial"/>
                <w:color w:val="000000"/>
                <w:sz w:val="17"/>
                <w:szCs w:val="17"/>
              </w:rPr>
              <w:t>0.031</w:t>
            </w:r>
          </w:p>
        </w:tc>
      </w:tr>
      <w:tr w:rsidR="0003113B" w:rsidRPr="00050F51" w14:paraId="27815AF8" w14:textId="77777777" w:rsidTr="005154E7">
        <w:trPr>
          <w:trHeight w:val="238"/>
        </w:trPr>
        <w:tc>
          <w:tcPr>
            <w:tcW w:w="31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67E236C6" w14:textId="77777777" w:rsidR="0003113B" w:rsidRPr="00050F51" w:rsidRDefault="0003113B" w:rsidP="005154E7">
            <w:pPr>
              <w:jc w:val="both"/>
              <w:rPr>
                <w:sz w:val="17"/>
                <w:szCs w:val="17"/>
              </w:rPr>
            </w:pPr>
            <w:r w:rsidRPr="00050F51">
              <w:rPr>
                <w:rFonts w:ascii="Arial" w:eastAsia="Arial" w:hAnsi="Arial" w:cs="Arial"/>
                <w:color w:val="000000"/>
                <w:sz w:val="17"/>
                <w:szCs w:val="17"/>
              </w:rPr>
              <w:t>Eta error term (-)</w:t>
            </w:r>
          </w:p>
        </w:tc>
        <w:tc>
          <w:tcPr>
            <w:tcW w:w="15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6C5C2EEE" w14:textId="77777777" w:rsidR="0003113B" w:rsidRPr="00050F51" w:rsidRDefault="0003113B" w:rsidP="005154E7">
            <w:pPr>
              <w:jc w:val="both"/>
              <w:rPr>
                <w:sz w:val="17"/>
                <w:szCs w:val="17"/>
              </w:rPr>
            </w:pPr>
            <w:r w:rsidRPr="00050F51">
              <w:rPr>
                <w:rFonts w:ascii="Arial" w:eastAsia="Arial" w:hAnsi="Arial" w:cs="Arial"/>
                <w:color w:val="000000"/>
                <w:sz w:val="17"/>
                <w:szCs w:val="17"/>
              </w:rPr>
              <w:t>0.580</w:t>
            </w:r>
          </w:p>
        </w:tc>
      </w:tr>
      <w:tr w:rsidR="0003113B" w:rsidRPr="00050F51" w14:paraId="46F58967" w14:textId="77777777" w:rsidTr="005154E7">
        <w:trPr>
          <w:trHeight w:val="238"/>
        </w:trPr>
        <w:tc>
          <w:tcPr>
            <w:tcW w:w="31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288BB556" w14:textId="77777777" w:rsidR="0003113B" w:rsidRPr="00050F51" w:rsidRDefault="0003113B" w:rsidP="005154E7">
            <w:pPr>
              <w:jc w:val="both"/>
              <w:rPr>
                <w:sz w:val="17"/>
                <w:szCs w:val="17"/>
              </w:rPr>
            </w:pPr>
            <w:r w:rsidRPr="00050F51">
              <w:rPr>
                <w:rFonts w:ascii="Arial" w:eastAsia="Arial" w:hAnsi="Arial" w:cs="Arial"/>
                <w:color w:val="000000"/>
                <w:sz w:val="17"/>
                <w:szCs w:val="17"/>
              </w:rPr>
              <w:t>Epsilon error term (-)</w:t>
            </w:r>
          </w:p>
        </w:tc>
        <w:tc>
          <w:tcPr>
            <w:tcW w:w="15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14:paraId="12B86489" w14:textId="77777777" w:rsidR="0003113B" w:rsidRPr="00050F51" w:rsidRDefault="0003113B" w:rsidP="005154E7">
            <w:pPr>
              <w:jc w:val="both"/>
              <w:rPr>
                <w:sz w:val="17"/>
                <w:szCs w:val="17"/>
              </w:rPr>
            </w:pPr>
            <w:r w:rsidRPr="00050F51">
              <w:rPr>
                <w:rFonts w:ascii="Arial" w:eastAsia="Arial" w:hAnsi="Arial" w:cs="Arial"/>
                <w:color w:val="000000"/>
                <w:sz w:val="17"/>
                <w:szCs w:val="17"/>
              </w:rPr>
              <w:t>0.458</w:t>
            </w:r>
          </w:p>
        </w:tc>
      </w:tr>
    </w:tbl>
    <w:p w14:paraId="54A4FFA5" w14:textId="77777777" w:rsidR="0003113B" w:rsidRPr="00050F51" w:rsidRDefault="0003113B" w:rsidP="0003113B">
      <w:pPr>
        <w:pBdr>
          <w:top w:val="nil"/>
          <w:left w:val="nil"/>
          <w:bottom w:val="nil"/>
          <w:right w:val="nil"/>
          <w:between w:val="nil"/>
        </w:pBdr>
        <w:rPr>
          <w:rFonts w:ascii="Arial" w:eastAsia="Arial" w:hAnsi="Arial" w:cs="Arial"/>
          <w:sz w:val="20"/>
          <w:szCs w:val="20"/>
        </w:rPr>
      </w:pPr>
    </w:p>
    <w:p w14:paraId="58F044DE" w14:textId="651EB403" w:rsidR="0003113B" w:rsidRPr="00050F51" w:rsidRDefault="0003113B" w:rsidP="00967318">
      <w:pPr>
        <w:pBdr>
          <w:top w:val="nil"/>
          <w:left w:val="nil"/>
          <w:bottom w:val="nil"/>
          <w:right w:val="nil"/>
          <w:between w:val="nil"/>
        </w:pBdr>
        <w:spacing w:after="120"/>
        <w:rPr>
          <w:rFonts w:ascii="Arial" w:eastAsia="Arial" w:hAnsi="Arial" w:cs="Arial"/>
          <w:sz w:val="20"/>
          <w:szCs w:val="20"/>
        </w:rPr>
      </w:pPr>
      <w:r w:rsidRPr="00050F51">
        <w:rPr>
          <w:rFonts w:ascii="Arial" w:eastAsia="Arial" w:hAnsi="Arial" w:cs="Arial"/>
          <w:sz w:val="20"/>
          <w:szCs w:val="20"/>
        </w:rPr>
        <w:t>At the household scale, model performance is r</w:t>
      </w:r>
      <w:r w:rsidRPr="00050F51">
        <w:rPr>
          <w:rFonts w:ascii="Arial" w:eastAsia="Arial" w:hAnsi="Arial" w:cs="Arial"/>
          <w:sz w:val="20"/>
          <w:szCs w:val="20"/>
          <w:vertAlign w:val="superscript"/>
        </w:rPr>
        <w:t>2</w:t>
      </w:r>
      <w:r w:rsidRPr="00050F51">
        <w:rPr>
          <w:rFonts w:ascii="Arial" w:eastAsia="Arial" w:hAnsi="Arial" w:cs="Arial"/>
          <w:sz w:val="20"/>
          <w:szCs w:val="20"/>
        </w:rPr>
        <w:t>=0.36 at the household scale with the direct bias correction factor. At the income group scale, which is our unit of analysis, model performance is much higher, where r</w:t>
      </w:r>
      <w:r w:rsidRPr="00050F51">
        <w:rPr>
          <w:rFonts w:ascii="Arial" w:eastAsia="Arial" w:hAnsi="Arial" w:cs="Arial"/>
          <w:sz w:val="20"/>
          <w:szCs w:val="20"/>
          <w:vertAlign w:val="superscript"/>
        </w:rPr>
        <w:t>2</w:t>
      </w:r>
      <w:r w:rsidRPr="00050F51">
        <w:rPr>
          <w:rFonts w:ascii="Arial" w:eastAsia="Arial" w:hAnsi="Arial" w:cs="Arial"/>
          <w:sz w:val="20"/>
          <w:szCs w:val="20"/>
        </w:rPr>
        <w:t>=0.76 when averaged across all ten income estimates</w:t>
      </w:r>
      <w:r w:rsidR="00077D5B" w:rsidRPr="00050F51">
        <w:rPr>
          <w:rFonts w:ascii="Arial" w:eastAsia="Arial" w:hAnsi="Arial" w:cs="Arial"/>
          <w:sz w:val="20"/>
          <w:szCs w:val="20"/>
        </w:rPr>
        <w:t>. One sample income estimate</w:t>
      </w:r>
      <w:r w:rsidRPr="00050F51">
        <w:rPr>
          <w:rFonts w:ascii="Arial" w:eastAsia="Arial" w:hAnsi="Arial" w:cs="Arial"/>
          <w:sz w:val="20"/>
          <w:szCs w:val="20"/>
        </w:rPr>
        <w:t xml:space="preserve"> </w:t>
      </w:r>
      <w:r w:rsidR="00077D5B" w:rsidRPr="00050F51">
        <w:rPr>
          <w:rFonts w:ascii="Arial" w:eastAsia="Arial" w:hAnsi="Arial" w:cs="Arial"/>
          <w:sz w:val="20"/>
          <w:szCs w:val="20"/>
        </w:rPr>
        <w:t>i</w:t>
      </w:r>
      <w:r w:rsidRPr="00050F51">
        <w:rPr>
          <w:rFonts w:ascii="Arial" w:eastAsia="Arial" w:hAnsi="Arial" w:cs="Arial"/>
          <w:sz w:val="20"/>
          <w:szCs w:val="20"/>
        </w:rPr>
        <w:t xml:space="preserve">s shown in Figure S17. </w:t>
      </w:r>
    </w:p>
    <w:p w14:paraId="148ED005" w14:textId="77777777" w:rsidR="0003113B" w:rsidRPr="00050F51" w:rsidRDefault="0003113B" w:rsidP="0003113B">
      <w:pPr>
        <w:pBdr>
          <w:top w:val="nil"/>
          <w:left w:val="nil"/>
          <w:bottom w:val="nil"/>
          <w:right w:val="nil"/>
          <w:between w:val="nil"/>
        </w:pBdr>
        <w:rPr>
          <w:rFonts w:ascii="Arial" w:eastAsia="Arial" w:hAnsi="Arial" w:cs="Arial"/>
          <w:sz w:val="20"/>
          <w:szCs w:val="20"/>
        </w:rPr>
      </w:pPr>
    </w:p>
    <w:p w14:paraId="45CEFB5A" w14:textId="77777777" w:rsidR="0003113B" w:rsidRPr="00050F51" w:rsidRDefault="0003113B" w:rsidP="0003113B">
      <w:pPr>
        <w:pBdr>
          <w:top w:val="nil"/>
          <w:left w:val="nil"/>
          <w:bottom w:val="nil"/>
          <w:right w:val="nil"/>
          <w:between w:val="nil"/>
        </w:pBdr>
        <w:rPr>
          <w:rFonts w:ascii="Arial" w:eastAsia="Arial" w:hAnsi="Arial" w:cs="Arial"/>
          <w:sz w:val="20"/>
          <w:szCs w:val="20"/>
        </w:rPr>
      </w:pPr>
      <w:r w:rsidRPr="00050F51">
        <w:rPr>
          <w:rFonts w:ascii="Arial" w:eastAsia="Arial" w:hAnsi="Arial" w:cs="Arial"/>
          <w:noProof/>
          <w:sz w:val="20"/>
          <w:szCs w:val="20"/>
        </w:rPr>
        <w:lastRenderedPageBreak/>
        <w:drawing>
          <wp:inline distT="114300" distB="114300" distL="114300" distR="114300" wp14:anchorId="3D99A95A" wp14:editId="4B02AE92">
            <wp:extent cx="4576763" cy="2786622"/>
            <wp:effectExtent l="0" t="0" r="0" b="0"/>
            <wp:docPr id="212162665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
                    <a:srcRect t="5256"/>
                    <a:stretch>
                      <a:fillRect/>
                    </a:stretch>
                  </pic:blipFill>
                  <pic:spPr>
                    <a:xfrm>
                      <a:off x="0" y="0"/>
                      <a:ext cx="4576763" cy="2786622"/>
                    </a:xfrm>
                    <a:prstGeom prst="rect">
                      <a:avLst/>
                    </a:prstGeom>
                    <a:ln/>
                  </pic:spPr>
                </pic:pic>
              </a:graphicData>
            </a:graphic>
          </wp:inline>
        </w:drawing>
      </w:r>
    </w:p>
    <w:p w14:paraId="308D73A1" w14:textId="3E063B5D" w:rsidR="0003113B" w:rsidRPr="00050F51" w:rsidRDefault="0003113B" w:rsidP="004E5254">
      <w:pPr>
        <w:pBdr>
          <w:top w:val="nil"/>
          <w:left w:val="nil"/>
          <w:bottom w:val="nil"/>
          <w:right w:val="nil"/>
          <w:between w:val="nil"/>
        </w:pBdr>
        <w:spacing w:after="120"/>
        <w:rPr>
          <w:rFonts w:ascii="Arial" w:eastAsia="Arial" w:hAnsi="Arial" w:cs="Arial"/>
          <w:sz w:val="20"/>
          <w:szCs w:val="20"/>
        </w:rPr>
      </w:pPr>
      <w:r w:rsidRPr="00050F51">
        <w:rPr>
          <w:rFonts w:ascii="Arial" w:eastAsia="Arial" w:hAnsi="Arial" w:cs="Arial"/>
          <w:b/>
          <w:bCs/>
          <w:sz w:val="20"/>
          <w:szCs w:val="20"/>
        </w:rPr>
        <w:t>Fig. S17.</w:t>
      </w:r>
      <w:r w:rsidRPr="00050F51">
        <w:rPr>
          <w:rFonts w:ascii="Arial" w:eastAsia="Arial" w:hAnsi="Arial" w:cs="Arial"/>
          <w:sz w:val="20"/>
          <w:szCs w:val="20"/>
        </w:rPr>
        <w:t xml:space="preserve"> Correlation plots between measured and modeled water demands for each income group </w:t>
      </w:r>
      <w:r w:rsidR="00077D5B" w:rsidRPr="00050F51">
        <w:rPr>
          <w:rFonts w:ascii="Arial" w:eastAsia="Arial" w:hAnsi="Arial" w:cs="Arial"/>
          <w:sz w:val="20"/>
          <w:szCs w:val="20"/>
        </w:rPr>
        <w:t>for one of the ten income estimates. Plot shows model estimates before bias correction is applied</w:t>
      </w:r>
      <w:r w:rsidRPr="00050F51">
        <w:rPr>
          <w:rFonts w:ascii="Arial" w:eastAsia="Arial" w:hAnsi="Arial" w:cs="Arial"/>
          <w:sz w:val="20"/>
          <w:szCs w:val="20"/>
        </w:rPr>
        <w:t xml:space="preserve">. </w:t>
      </w:r>
    </w:p>
    <w:p w14:paraId="238FA2DD" w14:textId="7750C7AF" w:rsidR="0003113B" w:rsidRPr="00050F51" w:rsidRDefault="0003113B" w:rsidP="00B56F00">
      <w:pPr>
        <w:pStyle w:val="SISectionHeading"/>
      </w:pPr>
      <w:r w:rsidRPr="00050F51">
        <w:t>Section S15. Details on household income estimation</w:t>
      </w:r>
    </w:p>
    <w:p w14:paraId="1D070013" w14:textId="605E1125" w:rsidR="0003113B" w:rsidRPr="00050F51" w:rsidRDefault="0003113B" w:rsidP="00967318">
      <w:pPr>
        <w:spacing w:after="120"/>
        <w:rPr>
          <w:rFonts w:ascii="Arial" w:eastAsia="Arial" w:hAnsi="Arial" w:cs="Arial"/>
          <w:sz w:val="20"/>
          <w:szCs w:val="20"/>
        </w:rPr>
      </w:pPr>
      <w:r w:rsidRPr="00050F51">
        <w:rPr>
          <w:rFonts w:ascii="Arial" w:eastAsia="Arial" w:hAnsi="Arial" w:cs="Arial"/>
          <w:sz w:val="20"/>
          <w:szCs w:val="20"/>
        </w:rPr>
        <w:t>To estimate household affordability ratios, we develop household-level income estimates, ensuring that the number of households in each income class matches census block group data on household income distribution. Our approach uses multivariate regression to estimate household-level income based on housing characteristics and then assigns those income estimates to one of sixteen income bin based on census block group level data, similar to estimation methods in other studies.</w:t>
      </w:r>
      <w:r w:rsidR="000E7DDB" w:rsidRPr="00050F51">
        <w:rPr>
          <w:rFonts w:ascii="Arial" w:eastAsia="Arial" w:hAnsi="Arial" w:cs="Arial"/>
          <w:sz w:val="20"/>
          <w:szCs w:val="20"/>
        </w:rPr>
        <w:fldChar w:fldCharType="begin"/>
      </w:r>
      <w:r w:rsidR="000E7DDB" w:rsidRPr="00050F51">
        <w:rPr>
          <w:rFonts w:ascii="Arial" w:eastAsia="Arial" w:hAnsi="Arial" w:cs="Arial"/>
          <w:sz w:val="20"/>
          <w:szCs w:val="20"/>
        </w:rPr>
        <w:instrText xml:space="preserve"> ADDIN ZOTERO_ITEM CSL_CITATION {"citationID":"ks2CZw1C","properties":{"formattedCitation":"\\super 26,27\\nosupersub{}","plainCitation":"26,27","noteIndex":0},"citationItems":[{"id":10755,"uris":["http://zotero.org/users/3174049/items/3YNJAECZ"],"itemData":{"id":10755,"type":"report","title":"2021/2022 Annual Affordability Report","URL":"https://www.cpuc.ca.gov/-/media/cpuc-website/divisions/energy-division/documents/affordability-proceeding/2021-2022/2021-and-2022-annual-affordability-report.pdf","author":[{"literal":"California Public Utilities Commission"}],"issued":{"date-parts":[["2023",10]]}}},{"id":10507,"uris":["http://zotero.org/users/3174049/items/QPMDZVYE"],"itemData":{"id":10507,"type":"article-journal","abstract":"Urban water management is increasingly challenged by the need to balance cost-effectiveness with equity considerations. This study presents a multi-objective approach to water conservation within the Las Vegas valley water district, analyzing a comprehensive dataset of water consumption and socioeconomic indicators across all single-family residences. We assess policy scenarios under two primary objectives: maximizing water savings to enhance economic efficiency and improving water affordability to promote equity. Our analysis reveals that while strategies focused on water savings reduce water use more efficiently, they tend to favor higher-income, predominantly white neighborhoods whereas prioritizing water affordability shifts resources towards lower-income, communities of color. The analysis of intermediate policy scenarios reveals the trade-offs and potential synergies between water savings and affordability. Our findings suggest that local water sustainability can be achieved by allocating resources to both high-demand and socioeconomically disadvantaged households. Highlighting the importance of integrating equity considerations into water management policies, this study provides insights for policymakers in crafting more inclusive and sustainable urban water management practices.","container-title":"Environmental Research Letters","DOI":"10.1088/1748-9326/ad691a","ISSN":"1748-9326","issue":"9","journalAbbreviation":"Environ. Res. Lett.","language":"en","page":"094015","publisher":"IOP Publishing","source":"Institute of Physics","title":"Equity implications of efficient water conservation programs","volume":"19","author":[{"family":"Azizi","given":"Koorosh"},{"family":"Barnes","given":"Jesse L."},{"family":"Anderies","given":"John M."},{"family":"Garcia","given":"Margaret"}],"issued":{"date-parts":[["2024",8]]}}}],"schema":"https://github.com/citation-style-language/schema/raw/master/csl-citation.json"} </w:instrText>
      </w:r>
      <w:r w:rsidR="000E7DDB" w:rsidRPr="00050F51">
        <w:rPr>
          <w:rFonts w:ascii="Arial" w:eastAsia="Arial" w:hAnsi="Arial" w:cs="Arial"/>
          <w:sz w:val="20"/>
          <w:szCs w:val="20"/>
        </w:rPr>
        <w:fldChar w:fldCharType="separate"/>
      </w:r>
      <w:r w:rsidR="000E7DDB" w:rsidRPr="00050F51">
        <w:rPr>
          <w:rFonts w:ascii="Arial" w:hAnsi="Arial" w:cs="Arial"/>
          <w:sz w:val="20"/>
          <w:vertAlign w:val="superscript"/>
          <w:lang w:val="en-US"/>
        </w:rPr>
        <w:t>26,27</w:t>
      </w:r>
      <w:r w:rsidR="000E7DDB" w:rsidRPr="00050F51">
        <w:rPr>
          <w:rFonts w:ascii="Arial" w:eastAsia="Arial" w:hAnsi="Arial" w:cs="Arial"/>
          <w:sz w:val="20"/>
          <w:szCs w:val="20"/>
        </w:rPr>
        <w:fldChar w:fldCharType="end"/>
      </w:r>
      <w:r w:rsidRPr="00050F51">
        <w:rPr>
          <w:rFonts w:ascii="Arial" w:eastAsia="Arial" w:hAnsi="Arial" w:cs="Arial"/>
          <w:sz w:val="20"/>
          <w:szCs w:val="20"/>
        </w:rPr>
        <w:t xml:space="preserve"> Since the regression error is large, we confirm that the impact of error at the household scale is negligible when we aggregate to the income class estimates by testing and comparing ten different versions of our estimation approach.</w:t>
      </w:r>
    </w:p>
    <w:p w14:paraId="34DFCD36" w14:textId="0E7B77DD" w:rsidR="0003113B" w:rsidRPr="00050F51" w:rsidRDefault="0003113B" w:rsidP="00967318">
      <w:pPr>
        <w:spacing w:after="120"/>
        <w:rPr>
          <w:rFonts w:ascii="Arial" w:eastAsia="Arial" w:hAnsi="Arial" w:cs="Arial"/>
          <w:sz w:val="16"/>
          <w:szCs w:val="16"/>
        </w:rPr>
      </w:pPr>
      <w:r w:rsidRPr="00050F51">
        <w:rPr>
          <w:rFonts w:ascii="Arial" w:eastAsia="Arial" w:hAnsi="Arial" w:cs="Arial"/>
          <w:sz w:val="20"/>
          <w:szCs w:val="20"/>
        </w:rPr>
        <w:t>Our approach involves four main steps and multiple datasets, including household-level water utility billing data, tax assessor housing characteristics data, American Community Survey (ACS) Public Use Microdata Sample (PUMS) data for housing units, and ACS block group-level income data. First, we develop a log-log multivariate regression model using all available single-family PUMS data (1009 single-family households) to predict household-level income given the number of bedrooms, property value, and total annual water cost (R</w:t>
      </w:r>
      <w:r w:rsidRPr="00050F51">
        <w:rPr>
          <w:rFonts w:ascii="Arial" w:eastAsia="Arial" w:hAnsi="Arial" w:cs="Arial"/>
          <w:sz w:val="20"/>
          <w:szCs w:val="20"/>
          <w:vertAlign w:val="superscript"/>
        </w:rPr>
        <w:t>2</w:t>
      </w:r>
      <w:r w:rsidRPr="00050F51">
        <w:rPr>
          <w:rFonts w:ascii="Arial" w:eastAsia="Arial" w:hAnsi="Arial" w:cs="Arial"/>
          <w:sz w:val="20"/>
          <w:szCs w:val="20"/>
        </w:rPr>
        <w:t xml:space="preserve"> = 0.072). Second, we use this model to predict household-level income for all households in Santa Cruz. For each household, we extract total annual water cost from the water utility billing data, and number of bedrooms and property value from the housing characteristic data. Third, to model uncertainty given the low R</w:t>
      </w:r>
      <w:r w:rsidRPr="00050F51">
        <w:rPr>
          <w:rFonts w:ascii="Arial" w:eastAsia="Arial" w:hAnsi="Arial" w:cs="Arial"/>
          <w:sz w:val="20"/>
          <w:szCs w:val="20"/>
          <w:vertAlign w:val="superscript"/>
        </w:rPr>
        <w:t>2</w:t>
      </w:r>
      <w:r w:rsidRPr="00050F51">
        <w:rPr>
          <w:rFonts w:ascii="Arial" w:eastAsia="Arial" w:hAnsi="Arial" w:cs="Arial"/>
          <w:sz w:val="20"/>
          <w:szCs w:val="20"/>
        </w:rPr>
        <w:t>, we sample the regression model error term ten times and add the error term to the predicted income values, resulting in ten household-level income estimates. Fourth, we use quantile mapping to ensure that household-level income estimates match city-level income distributions. Here, we assign each household-level predicted income to one of sixteen discrete census block group income bins based on the rank order from our estimations. We ensure that different income estimates negligibly impact our results, summarized in Table S8 and shown in Figures S18-S21.</w:t>
      </w:r>
    </w:p>
    <w:p w14:paraId="16BB7DF2" w14:textId="77777777" w:rsidR="0003113B" w:rsidRPr="00050F51" w:rsidRDefault="0003113B">
      <w:pPr>
        <w:rPr>
          <w:rFonts w:ascii="Arial" w:eastAsia="Arial" w:hAnsi="Arial" w:cs="Arial"/>
          <w:b/>
          <w:bCs/>
          <w:sz w:val="20"/>
          <w:szCs w:val="20"/>
        </w:rPr>
      </w:pPr>
      <w:r w:rsidRPr="00050F51">
        <w:rPr>
          <w:rFonts w:ascii="Arial" w:eastAsia="Arial" w:hAnsi="Arial" w:cs="Arial"/>
          <w:b/>
          <w:bCs/>
          <w:sz w:val="20"/>
          <w:szCs w:val="20"/>
        </w:rPr>
        <w:br w:type="page"/>
      </w:r>
    </w:p>
    <w:p w14:paraId="08D067D6" w14:textId="5B604171" w:rsidR="0003113B" w:rsidRPr="00050F51" w:rsidRDefault="0003113B" w:rsidP="004E5254">
      <w:pPr>
        <w:spacing w:before="120"/>
        <w:rPr>
          <w:rFonts w:ascii="Arial" w:eastAsia="Arial" w:hAnsi="Arial" w:cs="Arial"/>
          <w:b/>
          <w:bCs/>
          <w:sz w:val="20"/>
          <w:szCs w:val="20"/>
        </w:rPr>
      </w:pPr>
      <w:r w:rsidRPr="00050F51">
        <w:rPr>
          <w:rFonts w:ascii="Arial" w:eastAsia="Arial" w:hAnsi="Arial" w:cs="Arial"/>
          <w:b/>
          <w:bCs/>
          <w:sz w:val="20"/>
          <w:szCs w:val="20"/>
        </w:rPr>
        <w:lastRenderedPageBreak/>
        <w:t xml:space="preserve">Table S8. </w:t>
      </w:r>
      <w:r w:rsidRPr="00050F51">
        <w:rPr>
          <w:rFonts w:ascii="Arial" w:eastAsia="Arial" w:hAnsi="Arial" w:cs="Arial"/>
          <w:sz w:val="20"/>
          <w:szCs w:val="20"/>
        </w:rPr>
        <w:t>Comparison of median and 80th percentile affordability ratios across income estimates under moderate, cool and dry, hot climate scenarios</w:t>
      </w:r>
    </w:p>
    <w:tbl>
      <w:tblPr>
        <w:tblStyle w:val="ac"/>
        <w:tblW w:w="80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1440"/>
        <w:gridCol w:w="1710"/>
        <w:gridCol w:w="1440"/>
        <w:gridCol w:w="1710"/>
      </w:tblGrid>
      <w:tr w:rsidR="0003113B" w:rsidRPr="00050F51" w14:paraId="4672D94D" w14:textId="77777777" w:rsidTr="002A3F71">
        <w:trPr>
          <w:trHeight w:val="285"/>
        </w:trPr>
        <w:tc>
          <w:tcPr>
            <w:tcW w:w="1710" w:type="dxa"/>
            <w:vMerge w:val="restart"/>
            <w:tcMar>
              <w:top w:w="0" w:type="dxa"/>
              <w:left w:w="0" w:type="dxa"/>
              <w:bottom w:w="0" w:type="dxa"/>
              <w:right w:w="0" w:type="dxa"/>
            </w:tcMar>
            <w:vAlign w:val="center"/>
          </w:tcPr>
          <w:p w14:paraId="3E2C40B4" w14:textId="5F76686B" w:rsidR="0003113B" w:rsidRPr="00050F51" w:rsidRDefault="0003113B" w:rsidP="002A3F71">
            <w:pPr>
              <w:widowControl w:val="0"/>
              <w:pBdr>
                <w:top w:val="nil"/>
                <w:left w:val="nil"/>
                <w:bottom w:val="nil"/>
                <w:right w:val="nil"/>
                <w:between w:val="nil"/>
              </w:pBdr>
              <w:jc w:val="center"/>
              <w:rPr>
                <w:rFonts w:ascii="Arial" w:eastAsia="Arial" w:hAnsi="Arial" w:cs="Arial"/>
                <w:b/>
                <w:bCs/>
                <w:sz w:val="17"/>
                <w:szCs w:val="17"/>
              </w:rPr>
            </w:pPr>
            <w:r w:rsidRPr="00050F51">
              <w:rPr>
                <w:rFonts w:ascii="Arial" w:eastAsia="Arial" w:hAnsi="Arial" w:cs="Arial"/>
                <w:b/>
                <w:bCs/>
                <w:sz w:val="17"/>
                <w:szCs w:val="17"/>
              </w:rPr>
              <w:t>Income Estimate</w:t>
            </w:r>
          </w:p>
        </w:tc>
        <w:tc>
          <w:tcPr>
            <w:tcW w:w="3150" w:type="dxa"/>
            <w:gridSpan w:val="2"/>
            <w:tcMar>
              <w:top w:w="0" w:type="dxa"/>
              <w:left w:w="0" w:type="dxa"/>
              <w:bottom w:w="0" w:type="dxa"/>
              <w:right w:w="0" w:type="dxa"/>
            </w:tcMar>
            <w:vAlign w:val="center"/>
          </w:tcPr>
          <w:p w14:paraId="42BB0990" w14:textId="77777777" w:rsidR="0003113B" w:rsidRPr="00050F51" w:rsidRDefault="0003113B" w:rsidP="002A3F71">
            <w:pPr>
              <w:widowControl w:val="0"/>
              <w:pBdr>
                <w:top w:val="nil"/>
                <w:left w:val="nil"/>
                <w:bottom w:val="nil"/>
                <w:right w:val="nil"/>
                <w:between w:val="nil"/>
              </w:pBdr>
              <w:jc w:val="center"/>
              <w:rPr>
                <w:rFonts w:ascii="Arial" w:eastAsia="Arial" w:hAnsi="Arial" w:cs="Arial"/>
                <w:b/>
                <w:bCs/>
                <w:sz w:val="17"/>
                <w:szCs w:val="17"/>
              </w:rPr>
            </w:pPr>
            <w:r w:rsidRPr="00050F51">
              <w:rPr>
                <w:rFonts w:ascii="Arial" w:eastAsia="Arial" w:hAnsi="Arial" w:cs="Arial"/>
                <w:b/>
                <w:bCs/>
                <w:sz w:val="17"/>
                <w:szCs w:val="17"/>
              </w:rPr>
              <w:t>Moderate, Cool Climate</w:t>
            </w:r>
          </w:p>
        </w:tc>
        <w:tc>
          <w:tcPr>
            <w:tcW w:w="3150" w:type="dxa"/>
            <w:gridSpan w:val="2"/>
            <w:tcMar>
              <w:top w:w="0" w:type="dxa"/>
              <w:left w:w="0" w:type="dxa"/>
              <w:bottom w:w="0" w:type="dxa"/>
              <w:right w:w="0" w:type="dxa"/>
            </w:tcMar>
            <w:vAlign w:val="center"/>
          </w:tcPr>
          <w:p w14:paraId="1C6AC0CA" w14:textId="77777777" w:rsidR="0003113B" w:rsidRPr="00050F51" w:rsidRDefault="0003113B" w:rsidP="002A3F71">
            <w:pPr>
              <w:widowControl w:val="0"/>
              <w:pBdr>
                <w:top w:val="nil"/>
                <w:left w:val="nil"/>
                <w:bottom w:val="nil"/>
                <w:right w:val="nil"/>
                <w:between w:val="nil"/>
              </w:pBdr>
              <w:jc w:val="center"/>
              <w:rPr>
                <w:rFonts w:ascii="Arial" w:eastAsia="Arial" w:hAnsi="Arial" w:cs="Arial"/>
                <w:b/>
                <w:bCs/>
                <w:sz w:val="17"/>
                <w:szCs w:val="17"/>
              </w:rPr>
            </w:pPr>
            <w:r w:rsidRPr="00050F51">
              <w:rPr>
                <w:rFonts w:ascii="Arial" w:eastAsia="Arial" w:hAnsi="Arial" w:cs="Arial"/>
                <w:b/>
                <w:bCs/>
                <w:sz w:val="17"/>
                <w:szCs w:val="17"/>
              </w:rPr>
              <w:t>Dry, Hot Climate</w:t>
            </w:r>
          </w:p>
        </w:tc>
      </w:tr>
      <w:tr w:rsidR="0003113B" w:rsidRPr="00050F51" w14:paraId="4B9ED89C" w14:textId="77777777" w:rsidTr="002A3F71">
        <w:trPr>
          <w:trHeight w:val="285"/>
        </w:trPr>
        <w:tc>
          <w:tcPr>
            <w:tcW w:w="1710" w:type="dxa"/>
            <w:vMerge/>
            <w:tcMar>
              <w:top w:w="0" w:type="dxa"/>
              <w:left w:w="0" w:type="dxa"/>
              <w:bottom w:w="0" w:type="dxa"/>
              <w:right w:w="0" w:type="dxa"/>
            </w:tcMar>
            <w:vAlign w:val="center"/>
          </w:tcPr>
          <w:p w14:paraId="3F074999" w14:textId="77777777" w:rsidR="0003113B" w:rsidRPr="00050F51" w:rsidRDefault="0003113B" w:rsidP="002A3F71">
            <w:pPr>
              <w:widowControl w:val="0"/>
              <w:pBdr>
                <w:top w:val="nil"/>
                <w:left w:val="nil"/>
                <w:bottom w:val="nil"/>
                <w:right w:val="nil"/>
                <w:between w:val="nil"/>
              </w:pBdr>
              <w:jc w:val="center"/>
              <w:rPr>
                <w:rFonts w:ascii="Arial" w:eastAsia="Arial" w:hAnsi="Arial" w:cs="Arial"/>
                <w:b/>
                <w:bCs/>
                <w:sz w:val="17"/>
                <w:szCs w:val="17"/>
              </w:rPr>
            </w:pPr>
          </w:p>
        </w:tc>
        <w:tc>
          <w:tcPr>
            <w:tcW w:w="1440" w:type="dxa"/>
            <w:tcMar>
              <w:top w:w="0" w:type="dxa"/>
              <w:left w:w="0" w:type="dxa"/>
              <w:bottom w:w="0" w:type="dxa"/>
              <w:right w:w="0" w:type="dxa"/>
            </w:tcMar>
            <w:vAlign w:val="center"/>
          </w:tcPr>
          <w:p w14:paraId="159F3845" w14:textId="77777777" w:rsidR="0003113B" w:rsidRPr="00050F51" w:rsidRDefault="0003113B" w:rsidP="002A3F71">
            <w:pPr>
              <w:widowControl w:val="0"/>
              <w:pBdr>
                <w:top w:val="nil"/>
                <w:left w:val="nil"/>
                <w:bottom w:val="nil"/>
                <w:right w:val="nil"/>
                <w:between w:val="nil"/>
              </w:pBdr>
              <w:jc w:val="center"/>
              <w:rPr>
                <w:rFonts w:ascii="Arial" w:eastAsia="Arial" w:hAnsi="Arial" w:cs="Arial"/>
                <w:b/>
                <w:bCs/>
                <w:sz w:val="17"/>
                <w:szCs w:val="17"/>
              </w:rPr>
            </w:pPr>
            <w:r w:rsidRPr="00050F51">
              <w:rPr>
                <w:rFonts w:ascii="Arial" w:eastAsia="Arial" w:hAnsi="Arial" w:cs="Arial"/>
                <w:b/>
                <w:bCs/>
                <w:sz w:val="17"/>
                <w:szCs w:val="17"/>
              </w:rPr>
              <w:t>Median</w:t>
            </w:r>
          </w:p>
        </w:tc>
        <w:tc>
          <w:tcPr>
            <w:tcW w:w="1710" w:type="dxa"/>
            <w:tcMar>
              <w:top w:w="0" w:type="dxa"/>
              <w:left w:w="0" w:type="dxa"/>
              <w:bottom w:w="0" w:type="dxa"/>
              <w:right w:w="0" w:type="dxa"/>
            </w:tcMar>
            <w:vAlign w:val="center"/>
          </w:tcPr>
          <w:p w14:paraId="183E5FB3" w14:textId="77777777" w:rsidR="0003113B" w:rsidRPr="00050F51" w:rsidRDefault="0003113B" w:rsidP="002A3F71">
            <w:pPr>
              <w:widowControl w:val="0"/>
              <w:pBdr>
                <w:top w:val="nil"/>
                <w:left w:val="nil"/>
                <w:bottom w:val="nil"/>
                <w:right w:val="nil"/>
                <w:between w:val="nil"/>
              </w:pBdr>
              <w:jc w:val="center"/>
              <w:rPr>
                <w:rFonts w:ascii="Arial" w:eastAsia="Arial" w:hAnsi="Arial" w:cs="Arial"/>
                <w:b/>
                <w:bCs/>
                <w:sz w:val="17"/>
                <w:szCs w:val="17"/>
              </w:rPr>
            </w:pPr>
            <w:r w:rsidRPr="00050F51">
              <w:rPr>
                <w:rFonts w:ascii="Arial" w:eastAsia="Arial" w:hAnsi="Arial" w:cs="Arial"/>
                <w:b/>
                <w:bCs/>
                <w:sz w:val="17"/>
                <w:szCs w:val="17"/>
              </w:rPr>
              <w:t>80th percentile</w:t>
            </w:r>
          </w:p>
        </w:tc>
        <w:tc>
          <w:tcPr>
            <w:tcW w:w="1440" w:type="dxa"/>
            <w:tcMar>
              <w:top w:w="0" w:type="dxa"/>
              <w:left w:w="0" w:type="dxa"/>
              <w:bottom w:w="0" w:type="dxa"/>
              <w:right w:w="0" w:type="dxa"/>
            </w:tcMar>
            <w:vAlign w:val="center"/>
          </w:tcPr>
          <w:p w14:paraId="2BEA0515" w14:textId="77777777" w:rsidR="0003113B" w:rsidRPr="00050F51" w:rsidRDefault="0003113B" w:rsidP="002A3F71">
            <w:pPr>
              <w:widowControl w:val="0"/>
              <w:pBdr>
                <w:top w:val="nil"/>
                <w:left w:val="nil"/>
                <w:bottom w:val="nil"/>
                <w:right w:val="nil"/>
                <w:between w:val="nil"/>
              </w:pBdr>
              <w:jc w:val="center"/>
              <w:rPr>
                <w:rFonts w:ascii="Arial" w:eastAsia="Arial" w:hAnsi="Arial" w:cs="Arial"/>
                <w:b/>
                <w:bCs/>
                <w:sz w:val="17"/>
                <w:szCs w:val="17"/>
              </w:rPr>
            </w:pPr>
            <w:r w:rsidRPr="00050F51">
              <w:rPr>
                <w:rFonts w:ascii="Arial" w:eastAsia="Arial" w:hAnsi="Arial" w:cs="Arial"/>
                <w:b/>
                <w:bCs/>
                <w:sz w:val="17"/>
                <w:szCs w:val="17"/>
              </w:rPr>
              <w:t>Median</w:t>
            </w:r>
          </w:p>
        </w:tc>
        <w:tc>
          <w:tcPr>
            <w:tcW w:w="1710" w:type="dxa"/>
            <w:tcMar>
              <w:top w:w="0" w:type="dxa"/>
              <w:left w:w="0" w:type="dxa"/>
              <w:bottom w:w="0" w:type="dxa"/>
              <w:right w:w="0" w:type="dxa"/>
            </w:tcMar>
            <w:vAlign w:val="center"/>
          </w:tcPr>
          <w:p w14:paraId="4BD1D32A" w14:textId="77777777" w:rsidR="0003113B" w:rsidRPr="00050F51" w:rsidRDefault="0003113B" w:rsidP="002A3F71">
            <w:pPr>
              <w:widowControl w:val="0"/>
              <w:pBdr>
                <w:top w:val="nil"/>
                <w:left w:val="nil"/>
                <w:bottom w:val="nil"/>
                <w:right w:val="nil"/>
                <w:between w:val="nil"/>
              </w:pBdr>
              <w:jc w:val="center"/>
              <w:rPr>
                <w:rFonts w:ascii="Arial" w:eastAsia="Arial" w:hAnsi="Arial" w:cs="Arial"/>
                <w:b/>
                <w:bCs/>
                <w:sz w:val="17"/>
                <w:szCs w:val="17"/>
              </w:rPr>
            </w:pPr>
            <w:r w:rsidRPr="00050F51">
              <w:rPr>
                <w:rFonts w:ascii="Arial" w:eastAsia="Arial" w:hAnsi="Arial" w:cs="Arial"/>
                <w:b/>
                <w:bCs/>
                <w:sz w:val="17"/>
                <w:szCs w:val="17"/>
              </w:rPr>
              <w:t>80th percentile</w:t>
            </w:r>
          </w:p>
        </w:tc>
      </w:tr>
      <w:tr w:rsidR="0003113B" w:rsidRPr="00050F51" w14:paraId="53AFA08E" w14:textId="77777777" w:rsidTr="002A3F71">
        <w:trPr>
          <w:trHeight w:val="285"/>
        </w:trPr>
        <w:tc>
          <w:tcPr>
            <w:tcW w:w="1710" w:type="dxa"/>
            <w:tcMar>
              <w:top w:w="0" w:type="dxa"/>
              <w:left w:w="0" w:type="dxa"/>
              <w:bottom w:w="0" w:type="dxa"/>
              <w:right w:w="0" w:type="dxa"/>
            </w:tcMar>
            <w:vAlign w:val="center"/>
          </w:tcPr>
          <w:p w14:paraId="27E8B729" w14:textId="77777777" w:rsidR="0003113B" w:rsidRPr="00050F51" w:rsidRDefault="0003113B" w:rsidP="002A3F71">
            <w:pPr>
              <w:widowControl w:val="0"/>
              <w:pBdr>
                <w:top w:val="nil"/>
                <w:left w:val="nil"/>
                <w:bottom w:val="nil"/>
                <w:right w:val="nil"/>
                <w:between w:val="nil"/>
              </w:pBdr>
              <w:jc w:val="center"/>
              <w:rPr>
                <w:rFonts w:ascii="Arial" w:eastAsia="Arial" w:hAnsi="Arial" w:cs="Arial"/>
                <w:sz w:val="17"/>
                <w:szCs w:val="17"/>
              </w:rPr>
            </w:pPr>
            <w:r w:rsidRPr="00050F51">
              <w:rPr>
                <w:rFonts w:ascii="Arial" w:eastAsia="Arial" w:hAnsi="Arial" w:cs="Arial"/>
                <w:sz w:val="17"/>
                <w:szCs w:val="17"/>
              </w:rPr>
              <w:t>1</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5C7553F"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1.09</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B1E11F3"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3.34</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BA37CBA"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1.55</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9F4E986"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4.61</w:t>
            </w:r>
          </w:p>
        </w:tc>
      </w:tr>
      <w:tr w:rsidR="0003113B" w:rsidRPr="00050F51" w14:paraId="48081B1C" w14:textId="77777777" w:rsidTr="002A3F71">
        <w:trPr>
          <w:trHeight w:val="285"/>
        </w:trPr>
        <w:tc>
          <w:tcPr>
            <w:tcW w:w="1710" w:type="dxa"/>
            <w:tcMar>
              <w:top w:w="0" w:type="dxa"/>
              <w:left w:w="0" w:type="dxa"/>
              <w:bottom w:w="0" w:type="dxa"/>
              <w:right w:w="0" w:type="dxa"/>
            </w:tcMar>
            <w:vAlign w:val="center"/>
          </w:tcPr>
          <w:p w14:paraId="13AF507D" w14:textId="77777777" w:rsidR="0003113B" w:rsidRPr="00050F51" w:rsidRDefault="0003113B" w:rsidP="002A3F71">
            <w:pPr>
              <w:widowControl w:val="0"/>
              <w:pBdr>
                <w:top w:val="nil"/>
                <w:left w:val="nil"/>
                <w:bottom w:val="nil"/>
                <w:right w:val="nil"/>
                <w:between w:val="nil"/>
              </w:pBdr>
              <w:jc w:val="center"/>
              <w:rPr>
                <w:rFonts w:ascii="Arial" w:eastAsia="Arial" w:hAnsi="Arial" w:cs="Arial"/>
                <w:sz w:val="17"/>
                <w:szCs w:val="17"/>
              </w:rPr>
            </w:pPr>
            <w:r w:rsidRPr="00050F51">
              <w:rPr>
                <w:rFonts w:ascii="Arial" w:eastAsia="Arial" w:hAnsi="Arial" w:cs="Arial"/>
                <w:sz w:val="17"/>
                <w:szCs w:val="17"/>
              </w:rPr>
              <w:t>2</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7AF8A46"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1.08</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458887B"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3.32</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378A37C"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1.53</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624ACDC"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4.60</w:t>
            </w:r>
          </w:p>
        </w:tc>
      </w:tr>
      <w:tr w:rsidR="0003113B" w:rsidRPr="00050F51" w14:paraId="3EA0F814" w14:textId="77777777" w:rsidTr="002A3F71">
        <w:trPr>
          <w:trHeight w:val="285"/>
        </w:trPr>
        <w:tc>
          <w:tcPr>
            <w:tcW w:w="1710" w:type="dxa"/>
            <w:tcMar>
              <w:top w:w="0" w:type="dxa"/>
              <w:left w:w="0" w:type="dxa"/>
              <w:bottom w:w="0" w:type="dxa"/>
              <w:right w:w="0" w:type="dxa"/>
            </w:tcMar>
            <w:vAlign w:val="center"/>
          </w:tcPr>
          <w:p w14:paraId="7A04DAEF" w14:textId="77777777" w:rsidR="0003113B" w:rsidRPr="00050F51" w:rsidRDefault="0003113B" w:rsidP="002A3F71">
            <w:pPr>
              <w:widowControl w:val="0"/>
              <w:pBdr>
                <w:top w:val="nil"/>
                <w:left w:val="nil"/>
                <w:bottom w:val="nil"/>
                <w:right w:val="nil"/>
                <w:between w:val="nil"/>
              </w:pBdr>
              <w:jc w:val="center"/>
              <w:rPr>
                <w:rFonts w:ascii="Arial" w:eastAsia="Arial" w:hAnsi="Arial" w:cs="Arial"/>
                <w:sz w:val="17"/>
                <w:szCs w:val="17"/>
              </w:rPr>
            </w:pPr>
            <w:r w:rsidRPr="00050F51">
              <w:rPr>
                <w:rFonts w:ascii="Arial" w:eastAsia="Arial" w:hAnsi="Arial" w:cs="Arial"/>
                <w:sz w:val="17"/>
                <w:szCs w:val="17"/>
              </w:rPr>
              <w:t>3</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74FF3E5"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1.08</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14C4F6A"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3.33</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78F6A54"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1.52</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3EEE3AB"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4.63</w:t>
            </w:r>
          </w:p>
        </w:tc>
      </w:tr>
      <w:tr w:rsidR="0003113B" w:rsidRPr="00050F51" w14:paraId="71D3BEF1" w14:textId="77777777" w:rsidTr="002A3F71">
        <w:trPr>
          <w:trHeight w:val="285"/>
        </w:trPr>
        <w:tc>
          <w:tcPr>
            <w:tcW w:w="1710" w:type="dxa"/>
            <w:tcMar>
              <w:top w:w="0" w:type="dxa"/>
              <w:left w:w="0" w:type="dxa"/>
              <w:bottom w:w="0" w:type="dxa"/>
              <w:right w:w="0" w:type="dxa"/>
            </w:tcMar>
            <w:vAlign w:val="center"/>
          </w:tcPr>
          <w:p w14:paraId="4059F2C1" w14:textId="77777777" w:rsidR="0003113B" w:rsidRPr="00050F51" w:rsidRDefault="0003113B" w:rsidP="002A3F71">
            <w:pPr>
              <w:widowControl w:val="0"/>
              <w:pBdr>
                <w:top w:val="nil"/>
                <w:left w:val="nil"/>
                <w:bottom w:val="nil"/>
                <w:right w:val="nil"/>
                <w:between w:val="nil"/>
              </w:pBdr>
              <w:jc w:val="center"/>
              <w:rPr>
                <w:rFonts w:ascii="Arial" w:eastAsia="Arial" w:hAnsi="Arial" w:cs="Arial"/>
                <w:sz w:val="17"/>
                <w:szCs w:val="17"/>
              </w:rPr>
            </w:pPr>
            <w:r w:rsidRPr="00050F51">
              <w:rPr>
                <w:rFonts w:ascii="Arial" w:eastAsia="Arial" w:hAnsi="Arial" w:cs="Arial"/>
                <w:sz w:val="17"/>
                <w:szCs w:val="17"/>
              </w:rPr>
              <w:t>4</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5C2A7A2"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1.08</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7A5E3AB"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3.26</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21BED97"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1.53</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47684DC"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4.49</w:t>
            </w:r>
          </w:p>
        </w:tc>
      </w:tr>
      <w:tr w:rsidR="0003113B" w:rsidRPr="00050F51" w14:paraId="42C23179" w14:textId="77777777" w:rsidTr="002A3F71">
        <w:trPr>
          <w:trHeight w:val="285"/>
        </w:trPr>
        <w:tc>
          <w:tcPr>
            <w:tcW w:w="1710" w:type="dxa"/>
            <w:tcMar>
              <w:top w:w="0" w:type="dxa"/>
              <w:left w:w="0" w:type="dxa"/>
              <w:bottom w:w="0" w:type="dxa"/>
              <w:right w:w="0" w:type="dxa"/>
            </w:tcMar>
            <w:vAlign w:val="center"/>
          </w:tcPr>
          <w:p w14:paraId="63510747" w14:textId="77777777" w:rsidR="0003113B" w:rsidRPr="00050F51" w:rsidRDefault="0003113B" w:rsidP="002A3F71">
            <w:pPr>
              <w:widowControl w:val="0"/>
              <w:pBdr>
                <w:top w:val="nil"/>
                <w:left w:val="nil"/>
                <w:bottom w:val="nil"/>
                <w:right w:val="nil"/>
                <w:between w:val="nil"/>
              </w:pBdr>
              <w:jc w:val="center"/>
              <w:rPr>
                <w:rFonts w:ascii="Arial" w:eastAsia="Arial" w:hAnsi="Arial" w:cs="Arial"/>
                <w:sz w:val="17"/>
                <w:szCs w:val="17"/>
              </w:rPr>
            </w:pPr>
            <w:r w:rsidRPr="00050F51">
              <w:rPr>
                <w:rFonts w:ascii="Arial" w:eastAsia="Arial" w:hAnsi="Arial" w:cs="Arial"/>
                <w:sz w:val="17"/>
                <w:szCs w:val="17"/>
              </w:rPr>
              <w:t>5</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6912601"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1.09</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96BCDD3"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3.33</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7C41336"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1.53</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821C652"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4.60</w:t>
            </w:r>
          </w:p>
        </w:tc>
      </w:tr>
      <w:tr w:rsidR="0003113B" w:rsidRPr="00050F51" w14:paraId="2931929D" w14:textId="77777777" w:rsidTr="002A3F71">
        <w:trPr>
          <w:trHeight w:val="285"/>
        </w:trPr>
        <w:tc>
          <w:tcPr>
            <w:tcW w:w="1710" w:type="dxa"/>
            <w:tcMar>
              <w:top w:w="0" w:type="dxa"/>
              <w:left w:w="0" w:type="dxa"/>
              <w:bottom w:w="0" w:type="dxa"/>
              <w:right w:w="0" w:type="dxa"/>
            </w:tcMar>
            <w:vAlign w:val="center"/>
          </w:tcPr>
          <w:p w14:paraId="2EF0C833" w14:textId="77777777" w:rsidR="0003113B" w:rsidRPr="00050F51" w:rsidRDefault="0003113B" w:rsidP="002A3F71">
            <w:pPr>
              <w:widowControl w:val="0"/>
              <w:pBdr>
                <w:top w:val="nil"/>
                <w:left w:val="nil"/>
                <w:bottom w:val="nil"/>
                <w:right w:val="nil"/>
                <w:between w:val="nil"/>
              </w:pBdr>
              <w:jc w:val="center"/>
              <w:rPr>
                <w:rFonts w:ascii="Arial" w:eastAsia="Arial" w:hAnsi="Arial" w:cs="Arial"/>
                <w:sz w:val="17"/>
                <w:szCs w:val="17"/>
              </w:rPr>
            </w:pPr>
            <w:r w:rsidRPr="00050F51">
              <w:rPr>
                <w:rFonts w:ascii="Arial" w:eastAsia="Arial" w:hAnsi="Arial" w:cs="Arial"/>
                <w:sz w:val="17"/>
                <w:szCs w:val="17"/>
              </w:rPr>
              <w:t>6</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63D0CD0"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1.09</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F2181EB"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3.38</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38205F6"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1.55</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E2B964B"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4.65</w:t>
            </w:r>
          </w:p>
        </w:tc>
      </w:tr>
      <w:tr w:rsidR="0003113B" w:rsidRPr="00050F51" w14:paraId="198DB24D" w14:textId="77777777" w:rsidTr="002A3F71">
        <w:trPr>
          <w:trHeight w:val="285"/>
        </w:trPr>
        <w:tc>
          <w:tcPr>
            <w:tcW w:w="1710" w:type="dxa"/>
            <w:tcMar>
              <w:top w:w="0" w:type="dxa"/>
              <w:left w:w="0" w:type="dxa"/>
              <w:bottom w:w="0" w:type="dxa"/>
              <w:right w:w="0" w:type="dxa"/>
            </w:tcMar>
            <w:vAlign w:val="center"/>
          </w:tcPr>
          <w:p w14:paraId="6DD262EE" w14:textId="77777777" w:rsidR="0003113B" w:rsidRPr="00050F51" w:rsidRDefault="0003113B" w:rsidP="002A3F71">
            <w:pPr>
              <w:widowControl w:val="0"/>
              <w:pBdr>
                <w:top w:val="nil"/>
                <w:left w:val="nil"/>
                <w:bottom w:val="nil"/>
                <w:right w:val="nil"/>
                <w:between w:val="nil"/>
              </w:pBdr>
              <w:jc w:val="center"/>
              <w:rPr>
                <w:rFonts w:ascii="Arial" w:eastAsia="Arial" w:hAnsi="Arial" w:cs="Arial"/>
                <w:sz w:val="17"/>
                <w:szCs w:val="17"/>
              </w:rPr>
            </w:pPr>
            <w:r w:rsidRPr="00050F51">
              <w:rPr>
                <w:rFonts w:ascii="Arial" w:eastAsia="Arial" w:hAnsi="Arial" w:cs="Arial"/>
                <w:sz w:val="17"/>
                <w:szCs w:val="17"/>
              </w:rPr>
              <w:t>7</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B2A32C2"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1.09</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CE9FE56"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3.23</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7CF1C7C"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1.55</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F848275"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4.43</w:t>
            </w:r>
          </w:p>
        </w:tc>
      </w:tr>
      <w:tr w:rsidR="0003113B" w:rsidRPr="00050F51" w14:paraId="7226BA18" w14:textId="77777777" w:rsidTr="002A3F71">
        <w:trPr>
          <w:trHeight w:val="285"/>
        </w:trPr>
        <w:tc>
          <w:tcPr>
            <w:tcW w:w="1710" w:type="dxa"/>
            <w:tcMar>
              <w:top w:w="0" w:type="dxa"/>
              <w:left w:w="0" w:type="dxa"/>
              <w:bottom w:w="0" w:type="dxa"/>
              <w:right w:w="0" w:type="dxa"/>
            </w:tcMar>
            <w:vAlign w:val="center"/>
          </w:tcPr>
          <w:p w14:paraId="6BFDE7BF" w14:textId="77777777" w:rsidR="0003113B" w:rsidRPr="00050F51" w:rsidRDefault="0003113B" w:rsidP="002A3F71">
            <w:pPr>
              <w:widowControl w:val="0"/>
              <w:pBdr>
                <w:top w:val="nil"/>
                <w:left w:val="nil"/>
                <w:bottom w:val="nil"/>
                <w:right w:val="nil"/>
                <w:between w:val="nil"/>
              </w:pBdr>
              <w:jc w:val="center"/>
              <w:rPr>
                <w:rFonts w:ascii="Arial" w:eastAsia="Arial" w:hAnsi="Arial" w:cs="Arial"/>
                <w:sz w:val="17"/>
                <w:szCs w:val="17"/>
              </w:rPr>
            </w:pPr>
            <w:r w:rsidRPr="00050F51">
              <w:rPr>
                <w:rFonts w:ascii="Arial" w:eastAsia="Arial" w:hAnsi="Arial" w:cs="Arial"/>
                <w:sz w:val="17"/>
                <w:szCs w:val="17"/>
              </w:rPr>
              <w:t>8</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6B077F0"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1.08</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AF5D4BB"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3.28</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3EED9A9"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1.53</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D20E60F"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4.51</w:t>
            </w:r>
          </w:p>
        </w:tc>
      </w:tr>
      <w:tr w:rsidR="0003113B" w:rsidRPr="00050F51" w14:paraId="4EF0BC9C" w14:textId="77777777" w:rsidTr="002A3F71">
        <w:trPr>
          <w:trHeight w:val="285"/>
        </w:trPr>
        <w:tc>
          <w:tcPr>
            <w:tcW w:w="1710" w:type="dxa"/>
            <w:tcMar>
              <w:top w:w="0" w:type="dxa"/>
              <w:left w:w="0" w:type="dxa"/>
              <w:bottom w:w="0" w:type="dxa"/>
              <w:right w:w="0" w:type="dxa"/>
            </w:tcMar>
            <w:vAlign w:val="center"/>
          </w:tcPr>
          <w:p w14:paraId="52BE1318" w14:textId="77777777" w:rsidR="0003113B" w:rsidRPr="00050F51" w:rsidRDefault="0003113B" w:rsidP="002A3F71">
            <w:pPr>
              <w:widowControl w:val="0"/>
              <w:pBdr>
                <w:top w:val="nil"/>
                <w:left w:val="nil"/>
                <w:bottom w:val="nil"/>
                <w:right w:val="nil"/>
                <w:between w:val="nil"/>
              </w:pBdr>
              <w:jc w:val="center"/>
              <w:rPr>
                <w:rFonts w:ascii="Arial" w:eastAsia="Arial" w:hAnsi="Arial" w:cs="Arial"/>
                <w:sz w:val="17"/>
                <w:szCs w:val="17"/>
              </w:rPr>
            </w:pPr>
            <w:r w:rsidRPr="00050F51">
              <w:rPr>
                <w:rFonts w:ascii="Arial" w:eastAsia="Arial" w:hAnsi="Arial" w:cs="Arial"/>
                <w:sz w:val="17"/>
                <w:szCs w:val="17"/>
              </w:rPr>
              <w:t>9</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0EF5A9B"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1.09</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973D2CF"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3.31</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B6B3B9F"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1.55</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BDB163B"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4.61</w:t>
            </w:r>
          </w:p>
        </w:tc>
      </w:tr>
      <w:tr w:rsidR="0003113B" w:rsidRPr="00050F51" w14:paraId="23EEE47C" w14:textId="77777777" w:rsidTr="002A3F71">
        <w:trPr>
          <w:trHeight w:val="285"/>
        </w:trPr>
        <w:tc>
          <w:tcPr>
            <w:tcW w:w="1710" w:type="dxa"/>
            <w:tcMar>
              <w:top w:w="0" w:type="dxa"/>
              <w:left w:w="0" w:type="dxa"/>
              <w:bottom w:w="0" w:type="dxa"/>
              <w:right w:w="0" w:type="dxa"/>
            </w:tcMar>
            <w:vAlign w:val="center"/>
          </w:tcPr>
          <w:p w14:paraId="04808B29" w14:textId="77777777" w:rsidR="0003113B" w:rsidRPr="00050F51" w:rsidRDefault="0003113B" w:rsidP="002A3F71">
            <w:pPr>
              <w:widowControl w:val="0"/>
              <w:pBdr>
                <w:top w:val="nil"/>
                <w:left w:val="nil"/>
                <w:bottom w:val="nil"/>
                <w:right w:val="nil"/>
                <w:between w:val="nil"/>
              </w:pBdr>
              <w:jc w:val="center"/>
              <w:rPr>
                <w:rFonts w:ascii="Arial" w:eastAsia="Arial" w:hAnsi="Arial" w:cs="Arial"/>
                <w:sz w:val="17"/>
                <w:szCs w:val="17"/>
              </w:rPr>
            </w:pPr>
            <w:r w:rsidRPr="00050F51">
              <w:rPr>
                <w:rFonts w:ascii="Arial" w:eastAsia="Arial" w:hAnsi="Arial" w:cs="Arial"/>
                <w:sz w:val="17"/>
                <w:szCs w:val="17"/>
              </w:rPr>
              <w:t>10</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267593E"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1.09</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1D785F3"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3.24</w:t>
            </w:r>
          </w:p>
        </w:tc>
        <w:tc>
          <w:tcPr>
            <w:tcW w:w="14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43AA0BB" w14:textId="77777777"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1.55</w:t>
            </w:r>
          </w:p>
        </w:tc>
        <w:tc>
          <w:tcPr>
            <w:tcW w:w="17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834FD86" w14:textId="18FA9016" w:rsidR="0003113B" w:rsidRPr="00050F51" w:rsidRDefault="0003113B" w:rsidP="002A3F71">
            <w:pPr>
              <w:widowControl w:val="0"/>
              <w:jc w:val="center"/>
              <w:rPr>
                <w:rFonts w:ascii="Arial" w:eastAsia="Arial" w:hAnsi="Arial" w:cs="Arial"/>
                <w:sz w:val="17"/>
                <w:szCs w:val="17"/>
              </w:rPr>
            </w:pPr>
            <w:r w:rsidRPr="00050F51">
              <w:rPr>
                <w:rFonts w:ascii="Arial" w:eastAsia="Arial" w:hAnsi="Arial" w:cs="Arial"/>
                <w:sz w:val="17"/>
                <w:szCs w:val="17"/>
              </w:rPr>
              <w:t>4.47</w:t>
            </w:r>
          </w:p>
        </w:tc>
      </w:tr>
    </w:tbl>
    <w:p w14:paraId="1EC0249E" w14:textId="77777777" w:rsidR="0003113B" w:rsidRPr="00050F51" w:rsidRDefault="0003113B" w:rsidP="0003113B">
      <w:pPr>
        <w:rPr>
          <w:rFonts w:ascii="Arial" w:eastAsia="Arial" w:hAnsi="Arial" w:cs="Arial"/>
          <w:sz w:val="20"/>
          <w:szCs w:val="20"/>
        </w:rPr>
      </w:pPr>
    </w:p>
    <w:p w14:paraId="4C498462" w14:textId="77777777" w:rsidR="0003113B" w:rsidRPr="00050F51" w:rsidRDefault="0003113B" w:rsidP="0003113B">
      <w:pPr>
        <w:rPr>
          <w:rFonts w:ascii="Arial" w:eastAsia="Arial" w:hAnsi="Arial" w:cs="Arial"/>
          <w:sz w:val="20"/>
          <w:szCs w:val="20"/>
        </w:rPr>
      </w:pPr>
    </w:p>
    <w:p w14:paraId="3B688C47" w14:textId="77777777" w:rsidR="0003113B" w:rsidRPr="00050F51" w:rsidRDefault="0003113B" w:rsidP="0003113B">
      <w:pPr>
        <w:spacing w:before="240" w:after="60"/>
        <w:rPr>
          <w:rFonts w:ascii="Arial" w:eastAsia="Arial" w:hAnsi="Arial" w:cs="Arial"/>
          <w:sz w:val="22"/>
          <w:szCs w:val="22"/>
        </w:rPr>
      </w:pPr>
      <w:r w:rsidRPr="00050F51">
        <w:rPr>
          <w:rFonts w:ascii="Arial" w:eastAsia="Arial" w:hAnsi="Arial" w:cs="Arial"/>
          <w:noProof/>
          <w:sz w:val="22"/>
          <w:szCs w:val="22"/>
        </w:rPr>
        <w:drawing>
          <wp:inline distT="114300" distB="114300" distL="114300" distR="114300" wp14:anchorId="486CD1E5" wp14:editId="11BD06CD">
            <wp:extent cx="5486400" cy="4292600"/>
            <wp:effectExtent l="0" t="0" r="0" b="0"/>
            <wp:docPr id="212162666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
                    <a:srcRect/>
                    <a:stretch>
                      <a:fillRect/>
                    </a:stretch>
                  </pic:blipFill>
                  <pic:spPr>
                    <a:xfrm>
                      <a:off x="0" y="0"/>
                      <a:ext cx="5486400" cy="4292600"/>
                    </a:xfrm>
                    <a:prstGeom prst="rect">
                      <a:avLst/>
                    </a:prstGeom>
                    <a:ln/>
                  </pic:spPr>
                </pic:pic>
              </a:graphicData>
            </a:graphic>
          </wp:inline>
        </w:drawing>
      </w:r>
    </w:p>
    <w:p w14:paraId="5E60FEF4" w14:textId="4AA9EEEB" w:rsidR="0003113B" w:rsidRPr="00050F51" w:rsidRDefault="0003113B" w:rsidP="004E5254">
      <w:pPr>
        <w:spacing w:after="120"/>
        <w:rPr>
          <w:rFonts w:ascii="Arial" w:eastAsia="Arial" w:hAnsi="Arial" w:cs="Arial"/>
          <w:sz w:val="20"/>
          <w:szCs w:val="20"/>
        </w:rPr>
      </w:pPr>
      <w:r w:rsidRPr="00050F51">
        <w:rPr>
          <w:rFonts w:ascii="Arial" w:eastAsia="Arial" w:hAnsi="Arial" w:cs="Arial"/>
          <w:b/>
          <w:bCs/>
          <w:sz w:val="20"/>
          <w:szCs w:val="20"/>
        </w:rPr>
        <w:t>Fig. S18.</w:t>
      </w:r>
      <w:r w:rsidRPr="00050F51">
        <w:rPr>
          <w:rFonts w:ascii="Arial" w:eastAsia="Arial" w:hAnsi="Arial" w:cs="Arial"/>
          <w:sz w:val="20"/>
          <w:szCs w:val="20"/>
        </w:rPr>
        <w:t xml:space="preserve"> Version of Figure 2 with different income estimate without “all climate simulations” scenario for simplicity. Differences are in panel d only.</w:t>
      </w:r>
    </w:p>
    <w:p w14:paraId="4A21C203" w14:textId="77777777" w:rsidR="0003113B" w:rsidRPr="00050F51" w:rsidRDefault="0003113B" w:rsidP="0003113B">
      <w:pPr>
        <w:rPr>
          <w:rFonts w:ascii="Arial" w:eastAsia="Arial" w:hAnsi="Arial" w:cs="Arial"/>
          <w:sz w:val="22"/>
          <w:szCs w:val="22"/>
        </w:rPr>
      </w:pPr>
      <w:r w:rsidRPr="00050F51">
        <w:rPr>
          <w:rFonts w:ascii="Arial" w:eastAsia="Arial" w:hAnsi="Arial" w:cs="Arial"/>
          <w:noProof/>
          <w:sz w:val="22"/>
          <w:szCs w:val="22"/>
        </w:rPr>
        <w:lastRenderedPageBreak/>
        <w:drawing>
          <wp:inline distT="114300" distB="114300" distL="114300" distR="114300" wp14:anchorId="1BBA9A53" wp14:editId="60BF304D">
            <wp:extent cx="5486400" cy="1816100"/>
            <wp:effectExtent l="0" t="0" r="0" b="0"/>
            <wp:docPr id="212162666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
                    <a:srcRect/>
                    <a:stretch>
                      <a:fillRect/>
                    </a:stretch>
                  </pic:blipFill>
                  <pic:spPr>
                    <a:xfrm>
                      <a:off x="0" y="0"/>
                      <a:ext cx="5486400" cy="1816100"/>
                    </a:xfrm>
                    <a:prstGeom prst="rect">
                      <a:avLst/>
                    </a:prstGeom>
                    <a:ln/>
                  </pic:spPr>
                </pic:pic>
              </a:graphicData>
            </a:graphic>
          </wp:inline>
        </w:drawing>
      </w:r>
    </w:p>
    <w:p w14:paraId="48B4B6DD" w14:textId="61008EE7" w:rsidR="0003113B" w:rsidRPr="00050F51" w:rsidRDefault="0003113B" w:rsidP="004E5254">
      <w:pPr>
        <w:spacing w:after="120"/>
        <w:rPr>
          <w:rFonts w:ascii="Arial" w:eastAsia="Arial" w:hAnsi="Arial" w:cs="Arial"/>
          <w:sz w:val="20"/>
          <w:szCs w:val="20"/>
        </w:rPr>
      </w:pPr>
      <w:r w:rsidRPr="00050F51">
        <w:rPr>
          <w:rFonts w:ascii="Arial" w:eastAsia="Arial" w:hAnsi="Arial" w:cs="Arial"/>
          <w:b/>
          <w:bCs/>
          <w:sz w:val="20"/>
          <w:szCs w:val="20"/>
        </w:rPr>
        <w:t>Fig. S19.</w:t>
      </w:r>
      <w:r w:rsidRPr="00050F51">
        <w:rPr>
          <w:rFonts w:ascii="Arial" w:eastAsia="Arial" w:hAnsi="Arial" w:cs="Arial"/>
          <w:sz w:val="20"/>
          <w:szCs w:val="20"/>
        </w:rPr>
        <w:t xml:space="preserve"> Version of Figure 3 with different income estimate without “all climate simulations.”. Differences across all boxplots.</w:t>
      </w:r>
    </w:p>
    <w:p w14:paraId="0D1DC8B8" w14:textId="77777777" w:rsidR="004E5254" w:rsidRPr="00050F51" w:rsidRDefault="004E5254" w:rsidP="004E5254">
      <w:pPr>
        <w:spacing w:after="120"/>
        <w:rPr>
          <w:rFonts w:ascii="Arial" w:eastAsia="Arial" w:hAnsi="Arial" w:cs="Arial"/>
          <w:sz w:val="20"/>
          <w:szCs w:val="20"/>
        </w:rPr>
      </w:pPr>
    </w:p>
    <w:p w14:paraId="57D81573" w14:textId="77777777" w:rsidR="0003113B" w:rsidRPr="00050F51" w:rsidRDefault="0003113B" w:rsidP="0003113B">
      <w:pPr>
        <w:rPr>
          <w:rFonts w:ascii="Arial" w:eastAsia="Arial" w:hAnsi="Arial" w:cs="Arial"/>
          <w:b/>
          <w:bCs/>
          <w:sz w:val="20"/>
          <w:szCs w:val="20"/>
        </w:rPr>
      </w:pPr>
      <w:r w:rsidRPr="00050F51">
        <w:rPr>
          <w:rFonts w:ascii="Arial" w:eastAsia="Arial" w:hAnsi="Arial" w:cs="Arial"/>
          <w:noProof/>
          <w:sz w:val="22"/>
          <w:szCs w:val="22"/>
        </w:rPr>
        <w:drawing>
          <wp:inline distT="114300" distB="114300" distL="114300" distR="114300" wp14:anchorId="21ACE51F" wp14:editId="00DEA65D">
            <wp:extent cx="5486400" cy="2451100"/>
            <wp:effectExtent l="0" t="0" r="0" b="0"/>
            <wp:docPr id="212162665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a:stretch>
                      <a:fillRect/>
                    </a:stretch>
                  </pic:blipFill>
                  <pic:spPr>
                    <a:xfrm>
                      <a:off x="0" y="0"/>
                      <a:ext cx="5486400" cy="2451100"/>
                    </a:xfrm>
                    <a:prstGeom prst="rect">
                      <a:avLst/>
                    </a:prstGeom>
                    <a:ln/>
                  </pic:spPr>
                </pic:pic>
              </a:graphicData>
            </a:graphic>
          </wp:inline>
        </w:drawing>
      </w:r>
    </w:p>
    <w:p w14:paraId="17BBBC77" w14:textId="3DE743E5" w:rsidR="0003113B" w:rsidRPr="00050F51" w:rsidRDefault="0003113B" w:rsidP="004E5254">
      <w:pPr>
        <w:spacing w:after="120"/>
        <w:rPr>
          <w:rFonts w:ascii="Arial" w:eastAsia="Arial" w:hAnsi="Arial" w:cs="Arial"/>
          <w:sz w:val="20"/>
          <w:szCs w:val="20"/>
        </w:rPr>
      </w:pPr>
      <w:r w:rsidRPr="00050F51">
        <w:rPr>
          <w:rFonts w:ascii="Arial" w:eastAsia="Arial" w:hAnsi="Arial" w:cs="Arial"/>
          <w:b/>
          <w:bCs/>
          <w:sz w:val="20"/>
          <w:szCs w:val="20"/>
        </w:rPr>
        <w:t>Fig. S20.</w:t>
      </w:r>
      <w:r w:rsidRPr="00050F51">
        <w:rPr>
          <w:rFonts w:ascii="Arial" w:eastAsia="Arial" w:hAnsi="Arial" w:cs="Arial"/>
          <w:sz w:val="20"/>
          <w:szCs w:val="20"/>
        </w:rPr>
        <w:t xml:space="preserve"> Version of Figure 4 with different income estimate. Differences across all boxplots.</w:t>
      </w:r>
    </w:p>
    <w:p w14:paraId="1839D2FC" w14:textId="77777777" w:rsidR="0003113B" w:rsidRPr="00050F51" w:rsidRDefault="0003113B" w:rsidP="0003113B">
      <w:pPr>
        <w:spacing w:before="240" w:after="60"/>
        <w:rPr>
          <w:rFonts w:ascii="Arial" w:eastAsia="Arial" w:hAnsi="Arial" w:cs="Arial"/>
          <w:sz w:val="20"/>
          <w:szCs w:val="20"/>
        </w:rPr>
      </w:pPr>
    </w:p>
    <w:p w14:paraId="7D5FD866" w14:textId="77777777" w:rsidR="0003113B" w:rsidRPr="00050F51" w:rsidRDefault="0003113B" w:rsidP="0003113B">
      <w:pPr>
        <w:rPr>
          <w:rFonts w:ascii="Arial" w:eastAsia="Arial" w:hAnsi="Arial" w:cs="Arial"/>
          <w:sz w:val="20"/>
          <w:szCs w:val="20"/>
        </w:rPr>
      </w:pPr>
    </w:p>
    <w:p w14:paraId="60FDAC80" w14:textId="77777777" w:rsidR="0003113B" w:rsidRPr="00050F51" w:rsidRDefault="0003113B" w:rsidP="0003113B">
      <w:pPr>
        <w:rPr>
          <w:rFonts w:ascii="Arial" w:eastAsia="Arial" w:hAnsi="Arial" w:cs="Arial"/>
          <w:sz w:val="20"/>
          <w:szCs w:val="20"/>
        </w:rPr>
      </w:pPr>
      <w:r w:rsidRPr="00050F51">
        <w:rPr>
          <w:rFonts w:ascii="Arial" w:eastAsia="Arial" w:hAnsi="Arial" w:cs="Arial"/>
          <w:noProof/>
          <w:sz w:val="22"/>
          <w:szCs w:val="22"/>
        </w:rPr>
        <w:lastRenderedPageBreak/>
        <w:drawing>
          <wp:inline distT="114300" distB="114300" distL="114300" distR="114300" wp14:anchorId="78A0F7ED" wp14:editId="52543D81">
            <wp:extent cx="5486400" cy="4025900"/>
            <wp:effectExtent l="0" t="0" r="0" b="0"/>
            <wp:docPr id="212162666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a:stretch>
                      <a:fillRect/>
                    </a:stretch>
                  </pic:blipFill>
                  <pic:spPr>
                    <a:xfrm>
                      <a:off x="0" y="0"/>
                      <a:ext cx="5486400" cy="4025900"/>
                    </a:xfrm>
                    <a:prstGeom prst="rect">
                      <a:avLst/>
                    </a:prstGeom>
                    <a:ln/>
                  </pic:spPr>
                </pic:pic>
              </a:graphicData>
            </a:graphic>
          </wp:inline>
        </w:drawing>
      </w:r>
    </w:p>
    <w:p w14:paraId="49F0C9B9" w14:textId="05D1E88F" w:rsidR="0003113B" w:rsidRPr="00050F51" w:rsidRDefault="0003113B" w:rsidP="004E5254">
      <w:pPr>
        <w:spacing w:after="120"/>
        <w:rPr>
          <w:rFonts w:ascii="Arial" w:eastAsia="Arial" w:hAnsi="Arial" w:cs="Arial"/>
          <w:sz w:val="20"/>
          <w:szCs w:val="20"/>
        </w:rPr>
      </w:pPr>
      <w:r w:rsidRPr="00050F51">
        <w:rPr>
          <w:rFonts w:ascii="Arial" w:eastAsia="Arial" w:hAnsi="Arial" w:cs="Arial"/>
          <w:b/>
          <w:bCs/>
          <w:sz w:val="20"/>
          <w:szCs w:val="20"/>
        </w:rPr>
        <w:t>Fig. S21.</w:t>
      </w:r>
      <w:r w:rsidRPr="00050F51">
        <w:rPr>
          <w:rFonts w:ascii="Arial" w:eastAsia="Arial" w:hAnsi="Arial" w:cs="Arial"/>
          <w:sz w:val="20"/>
          <w:szCs w:val="20"/>
        </w:rPr>
        <w:t xml:space="preserve"> Version of Figure 5 with different income estimate. Differences in panel c only.</w:t>
      </w:r>
    </w:p>
    <w:p w14:paraId="35779A72" w14:textId="77777777" w:rsidR="0003113B" w:rsidRPr="00050F51" w:rsidRDefault="0003113B" w:rsidP="0003113B">
      <w:pPr>
        <w:pBdr>
          <w:top w:val="nil"/>
          <w:left w:val="nil"/>
          <w:bottom w:val="nil"/>
          <w:right w:val="nil"/>
          <w:between w:val="nil"/>
        </w:pBdr>
        <w:spacing w:before="240" w:after="60"/>
        <w:rPr>
          <w:rFonts w:ascii="Arial" w:eastAsia="Arial" w:hAnsi="Arial" w:cs="Arial"/>
          <w:b/>
          <w:bCs/>
          <w:sz w:val="20"/>
          <w:szCs w:val="20"/>
        </w:rPr>
      </w:pPr>
      <w:r w:rsidRPr="00050F51">
        <w:br w:type="page"/>
      </w:r>
    </w:p>
    <w:p w14:paraId="000002AC" w14:textId="7073BEB5" w:rsidR="0041056C" w:rsidRPr="00050F51" w:rsidRDefault="00000000" w:rsidP="00B56F00">
      <w:pPr>
        <w:pStyle w:val="SISectionHeading"/>
      </w:pPr>
      <w:r w:rsidRPr="00050F51">
        <w:lastRenderedPageBreak/>
        <w:t>Section S1</w:t>
      </w:r>
      <w:r w:rsidR="0003113B" w:rsidRPr="00050F51">
        <w:t>6</w:t>
      </w:r>
      <w:r w:rsidRPr="00050F51">
        <w:t>. Multi-family and non-residential water demand scenarios</w:t>
      </w:r>
    </w:p>
    <w:p w14:paraId="000002AD" w14:textId="77777777" w:rsidR="0041056C" w:rsidRPr="00050F51" w:rsidRDefault="00000000">
      <w:pPr>
        <w:pBdr>
          <w:top w:val="nil"/>
          <w:left w:val="nil"/>
          <w:bottom w:val="nil"/>
          <w:right w:val="nil"/>
          <w:between w:val="nil"/>
        </w:pBdr>
        <w:rPr>
          <w:rFonts w:ascii="Arial" w:eastAsia="Arial" w:hAnsi="Arial" w:cs="Arial"/>
          <w:color w:val="000000"/>
          <w:sz w:val="22"/>
          <w:szCs w:val="22"/>
        </w:rPr>
      </w:pPr>
      <w:r w:rsidRPr="00050F51">
        <w:rPr>
          <w:rFonts w:ascii="Arial" w:eastAsia="Arial" w:hAnsi="Arial" w:cs="Arial"/>
          <w:noProof/>
          <w:color w:val="000000"/>
          <w:sz w:val="22"/>
          <w:szCs w:val="22"/>
        </w:rPr>
        <w:drawing>
          <wp:inline distT="0" distB="0" distL="0" distR="0" wp14:anchorId="2A6E2613" wp14:editId="5EB7605F">
            <wp:extent cx="5486400" cy="3587750"/>
            <wp:effectExtent l="0" t="0" r="0" b="0"/>
            <wp:docPr id="212162667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5486400" cy="3587750"/>
                    </a:xfrm>
                    <a:prstGeom prst="rect">
                      <a:avLst/>
                    </a:prstGeom>
                    <a:ln/>
                  </pic:spPr>
                </pic:pic>
              </a:graphicData>
            </a:graphic>
          </wp:inline>
        </w:drawing>
      </w:r>
    </w:p>
    <w:p w14:paraId="000002AE" w14:textId="40E136C5" w:rsidR="0041056C" w:rsidRPr="00050F51" w:rsidRDefault="00000000" w:rsidP="004E5254">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b/>
          <w:bCs/>
          <w:color w:val="000000"/>
          <w:sz w:val="20"/>
          <w:szCs w:val="20"/>
        </w:rPr>
        <w:t>Fig. S</w:t>
      </w:r>
      <w:r w:rsidRPr="00050F51">
        <w:rPr>
          <w:rFonts w:ascii="Arial" w:eastAsia="Arial" w:hAnsi="Arial" w:cs="Arial"/>
          <w:b/>
          <w:bCs/>
          <w:sz w:val="20"/>
          <w:szCs w:val="20"/>
        </w:rPr>
        <w:t>22</w:t>
      </w:r>
      <w:r w:rsidRPr="00050F51">
        <w:rPr>
          <w:rFonts w:ascii="Arial" w:eastAsia="Arial" w:hAnsi="Arial" w:cs="Arial"/>
          <w:b/>
          <w:bCs/>
          <w:color w:val="000000"/>
          <w:sz w:val="20"/>
          <w:szCs w:val="20"/>
        </w:rPr>
        <w:t>.</w:t>
      </w:r>
      <w:r w:rsidRPr="00050F51">
        <w:rPr>
          <w:rFonts w:ascii="Arial" w:eastAsia="Arial" w:hAnsi="Arial" w:cs="Arial"/>
          <w:color w:val="000000"/>
          <w:sz w:val="20"/>
          <w:szCs w:val="20"/>
        </w:rPr>
        <w:t xml:space="preserve"> Monthly low, medium, and high water demand scenarios for (a) multi-family and (b) non-residential establishments. We determine annual average values using 2020 Urban Water Management Plan 2025-2045 projected values.</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{"citationID":"YZPXHoJe","properties":{"formattedCitation":"\\super 11\\nosupersub{}","plainCitation":"11","noteIndex":0},"citationItems":[{"id":7906,"uris":["http://zotero.org/users/3174049/items/B94P2NNH"],"itemData":{"id":7906,"type":"report","publisher":"City of Santa Cruz Water Department","publisher-place":"Santa Cruz, CA","title":"2020 Urban Water Management Plan","URL":"https://www.cityofsantacruz.com/home/showpublisheddocument/87122/637739611535800000","author":[{"family":"Perez","given":"Sarah Easley"}],"issued":{"date-parts":[["2021",11]]}}}],"schema":"https://github.com/citation-style-language/schema/raw/master/csl-citation.json"}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11</w:t>
      </w:r>
      <w:r w:rsidR="000E7DDB" w:rsidRPr="00050F51">
        <w:rPr>
          <w:rFonts w:ascii="Arial" w:eastAsia="Arial" w:hAnsi="Arial" w:cs="Arial"/>
          <w:color w:val="000000"/>
          <w:sz w:val="20"/>
          <w:szCs w:val="20"/>
        </w:rPr>
        <w:fldChar w:fldCharType="end"/>
      </w:r>
      <w:r w:rsidRPr="00050F51">
        <w:rPr>
          <w:rFonts w:ascii="Arial" w:eastAsia="Arial" w:hAnsi="Arial" w:cs="Arial"/>
          <w:color w:val="000000"/>
          <w:sz w:val="20"/>
          <w:szCs w:val="20"/>
        </w:rPr>
        <w:t xml:space="preserve"> Monthly anomalies, which remain the same across low, medium, and high scenarios, are calculated by averaging the difference between monthly water use and average annual water use for each year and each month of the year within each water demand category.</w:t>
      </w:r>
    </w:p>
    <w:p w14:paraId="000002AF" w14:textId="6D2BDDAF" w:rsidR="0041056C" w:rsidRPr="00050F51" w:rsidRDefault="00000000" w:rsidP="00B56F00">
      <w:pPr>
        <w:pStyle w:val="SISectionHeading"/>
      </w:pPr>
      <w:r w:rsidRPr="00050F51">
        <w:t>Section S1</w:t>
      </w:r>
      <w:r w:rsidR="0003113B" w:rsidRPr="00050F51">
        <w:t>7</w:t>
      </w:r>
      <w:r w:rsidRPr="00050F51">
        <w:t>. Details on operation and maintenance scenario</w:t>
      </w:r>
    </w:p>
    <w:p w14:paraId="000002B0" w14:textId="16D45FDC" w:rsidR="0041056C" w:rsidRPr="00050F51" w:rsidRDefault="00000000" w:rsidP="00967318">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color w:val="000000"/>
          <w:sz w:val="20"/>
          <w:szCs w:val="20"/>
        </w:rPr>
        <w:t>We develop an assumption about future operations and maintenance (O&amp;M) costs based on Santa Cruz’s 2016 and 2020 Long-Range Financial Plans, to capture the proportion of total utility costs that O&amp;M represents.</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{"citationID":"dtEby3KP","properties":{"formattedCitation":"\\super 28,29\\nosupersub{}","plainCitation":"28,29","noteIndex":0},"citationItems":[{"id":8933,"uris":["http://zotero.org/users/3174049/items/I5CAABX6"],"itemData":{"id":8933,"type":"report","publisher":"Water Department","publisher-place":"City of Santa Cruz","title":"Long Range Financial Plan (WT)","author":[{"family":"Menard","given":"Rosemary"}],"issued":{"date-parts":[["2016",6]]}}},{"id":8932,"uris":["http://zotero.org/users/3174049/items/CTBTTYPC"],"itemData":{"id":8932,"type":"report","publisher":"Water Department","publisher-place":"City of Santa Cruz","title":"2021 Water Department Long-Range Financial Plan and Water Rate Schedule for FY 2023 to FY 2027 (WT)","author":[{"family":"Menard","given":"Rosemary"}],"issued":{"date-parts":[["2021",9,9]]}}}],"schema":"https://github.com/citation-style-language/schema/raw/master/csl-citation.json"}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28,29</w:t>
      </w:r>
      <w:r w:rsidR="000E7DDB" w:rsidRPr="00050F51">
        <w:rPr>
          <w:rFonts w:ascii="Arial" w:eastAsia="Arial" w:hAnsi="Arial" w:cs="Arial"/>
          <w:color w:val="000000"/>
          <w:sz w:val="20"/>
          <w:szCs w:val="20"/>
        </w:rPr>
        <w:fldChar w:fldCharType="end"/>
      </w:r>
      <w:r w:rsidRPr="00050F51">
        <w:rPr>
          <w:rFonts w:ascii="Arial" w:eastAsia="Arial" w:hAnsi="Arial" w:cs="Arial"/>
          <w:color w:val="000000"/>
          <w:sz w:val="20"/>
          <w:szCs w:val="20"/>
        </w:rPr>
        <w:t xml:space="preserve"> Our scenario assumes current (2020), stationary conditions, with all costs in 2020 real dollars. Revenue is sourced from four water bill charges: elevation surcharges and rate stabilization fees (both assumed constant), fixed fees, and volumetric charges. Ten percent of total remaining revenue is fixed, with each household paying a constant monthly amount. The remaining revenue is collected through volumetric charges, with the ratio of consumption to IRF charges based on 2020 data.</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{"citationID":"EWNPDy92","properties":{"formattedCitation":"\\super 28\\nosupersub{}","plainCitation":"28","noteIndex":0},"citationItems":[{"id":8933,"uris":["http://zotero.org/users/3174049/items/I5CAABX6"],"itemData":{"id":8933,"type":"report","publisher":"Water Department","publisher-place":"City of Santa Cruz","title":"Long Range Financial Plan (WT)","author":[{"family":"Menard","given":"Rosemary"}],"issued":{"date-parts":[["2016",6]]}}}],"schema":"https://github.com/citation-style-language/schema/raw/master/csl-citation.json"}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28</w:t>
      </w:r>
      <w:r w:rsidR="000E7DDB" w:rsidRPr="00050F51">
        <w:rPr>
          <w:rFonts w:ascii="Arial" w:eastAsia="Arial" w:hAnsi="Arial" w:cs="Arial"/>
          <w:color w:val="000000"/>
          <w:sz w:val="20"/>
          <w:szCs w:val="20"/>
        </w:rPr>
        <w:fldChar w:fldCharType="end"/>
      </w:r>
      <w:r w:rsidRPr="00050F51">
        <w:rPr>
          <w:rFonts w:ascii="Arial" w:eastAsia="Arial" w:hAnsi="Arial" w:cs="Arial"/>
          <w:color w:val="000000"/>
          <w:sz w:val="20"/>
          <w:szCs w:val="20"/>
        </w:rPr>
        <w:t xml:space="preserve"> Using the same methodology as for rate increases, we calculate baseline tiered water rates and validate the results against 2022 proposed rates.</w:t>
      </w:r>
      <w:r w:rsidR="000E7DDB" w:rsidRPr="00050F51">
        <w:rPr>
          <w:rFonts w:ascii="Arial" w:eastAsia="Arial" w:hAnsi="Arial" w:cs="Arial"/>
          <w:color w:val="000000"/>
          <w:sz w:val="20"/>
          <w:szCs w:val="20"/>
        </w:rPr>
        <w:fldChar w:fldCharType="begin"/>
      </w:r>
      <w:r w:rsidR="000E7DDB" w:rsidRPr="00050F51">
        <w:rPr>
          <w:rFonts w:ascii="Arial" w:eastAsia="Arial" w:hAnsi="Arial" w:cs="Arial"/>
          <w:color w:val="000000"/>
          <w:sz w:val="20"/>
          <w:szCs w:val="20"/>
        </w:rPr>
        <w:instrText xml:space="preserve"> ADDIN ZOTERO_ITEM CSL_CITATION {"citationID":"jp6BuBkR","properties":{"formattedCitation":"\\super 29\\nosupersub{}","plainCitation":"29","noteIndex":0},"citationItems":[{"id":8932,"uris":["http://zotero.org/users/3174049/items/CTBTTYPC"],"itemData":{"id":8932,"type":"report","publisher":"Water Department","publisher-place":"City of Santa Cruz","title":"2021 Water Department Long-Range Financial Plan and Water Rate Schedule for FY 2023 to FY 2027 (WT)","author":[{"family":"Menard","given":"Rosemary"}],"issued":{"date-parts":[["2021",9,9]]}}}],"schema":"https://github.com/citation-style-language/schema/raw/master/csl-citation.json"} </w:instrText>
      </w:r>
      <w:r w:rsidR="000E7DDB" w:rsidRPr="00050F51">
        <w:rPr>
          <w:rFonts w:ascii="Arial" w:eastAsia="Arial" w:hAnsi="Arial" w:cs="Arial"/>
          <w:color w:val="000000"/>
          <w:sz w:val="20"/>
          <w:szCs w:val="20"/>
        </w:rPr>
        <w:fldChar w:fldCharType="separate"/>
      </w:r>
      <w:r w:rsidR="000E7DDB" w:rsidRPr="00050F51">
        <w:rPr>
          <w:rFonts w:ascii="Arial" w:hAnsi="Arial" w:cs="Arial"/>
          <w:color w:val="000000"/>
          <w:sz w:val="20"/>
          <w:vertAlign w:val="superscript"/>
          <w:lang w:val="en-US"/>
        </w:rPr>
        <w:t>29</w:t>
      </w:r>
      <w:r w:rsidR="000E7DDB" w:rsidRPr="00050F51">
        <w:rPr>
          <w:rFonts w:ascii="Arial" w:eastAsia="Arial" w:hAnsi="Arial" w:cs="Arial"/>
          <w:color w:val="000000"/>
          <w:sz w:val="20"/>
          <w:szCs w:val="20"/>
        </w:rPr>
        <w:fldChar w:fldCharType="end"/>
      </w:r>
      <w:r w:rsidRPr="00050F51">
        <w:rPr>
          <w:rFonts w:ascii="Arial" w:eastAsia="Arial" w:hAnsi="Arial" w:cs="Arial"/>
          <w:color w:val="000000"/>
          <w:sz w:val="20"/>
          <w:szCs w:val="20"/>
        </w:rPr>
        <w:t xml:space="preserve"> Required revenue and computed rates are detailed in Table S</w:t>
      </w:r>
      <w:r w:rsidR="00ED0DA5" w:rsidRPr="00050F51">
        <w:rPr>
          <w:rFonts w:ascii="Arial" w:eastAsia="Arial" w:hAnsi="Arial" w:cs="Arial"/>
          <w:color w:val="000000"/>
          <w:sz w:val="20"/>
          <w:szCs w:val="20"/>
        </w:rPr>
        <w:t>9</w:t>
      </w:r>
      <w:r w:rsidRPr="00050F51">
        <w:rPr>
          <w:rFonts w:ascii="Arial" w:eastAsia="Arial" w:hAnsi="Arial" w:cs="Arial"/>
          <w:color w:val="000000"/>
          <w:sz w:val="20"/>
          <w:szCs w:val="20"/>
        </w:rPr>
        <w:t>.</w:t>
      </w:r>
    </w:p>
    <w:p w14:paraId="000002B1" w14:textId="77777777" w:rsidR="0041056C" w:rsidRPr="00050F51" w:rsidRDefault="00000000">
      <w:pPr>
        <w:rPr>
          <w:rFonts w:ascii="Arial" w:eastAsia="Arial" w:hAnsi="Arial" w:cs="Arial"/>
          <w:b/>
          <w:bCs/>
          <w:color w:val="000000"/>
          <w:sz w:val="20"/>
          <w:szCs w:val="20"/>
        </w:rPr>
      </w:pPr>
      <w:r w:rsidRPr="00050F51">
        <w:br w:type="page"/>
      </w:r>
    </w:p>
    <w:p w14:paraId="000002B2" w14:textId="56459EFB" w:rsidR="0041056C" w:rsidRPr="00050F51" w:rsidRDefault="00000000" w:rsidP="004E5254">
      <w:pPr>
        <w:spacing w:before="120"/>
        <w:jc w:val="both"/>
        <w:rPr>
          <w:sz w:val="20"/>
          <w:szCs w:val="20"/>
        </w:rPr>
      </w:pPr>
      <w:r w:rsidRPr="00050F51">
        <w:rPr>
          <w:rFonts w:ascii="Arial" w:eastAsia="Arial" w:hAnsi="Arial" w:cs="Arial"/>
          <w:b/>
          <w:bCs/>
          <w:color w:val="000000"/>
          <w:sz w:val="20"/>
          <w:szCs w:val="20"/>
        </w:rPr>
        <w:lastRenderedPageBreak/>
        <w:t>Table S</w:t>
      </w:r>
      <w:r w:rsidR="00ED0DA5" w:rsidRPr="00050F51">
        <w:rPr>
          <w:rFonts w:ascii="Arial" w:eastAsia="Arial" w:hAnsi="Arial" w:cs="Arial"/>
          <w:b/>
          <w:bCs/>
          <w:sz w:val="20"/>
          <w:szCs w:val="20"/>
        </w:rPr>
        <w:t>9</w:t>
      </w:r>
      <w:r w:rsidRPr="00050F51">
        <w:rPr>
          <w:rFonts w:ascii="Arial" w:eastAsia="Arial" w:hAnsi="Arial" w:cs="Arial"/>
          <w:b/>
          <w:bCs/>
          <w:color w:val="000000"/>
          <w:sz w:val="20"/>
          <w:szCs w:val="20"/>
        </w:rPr>
        <w:t>.</w:t>
      </w:r>
      <w:r w:rsidRPr="00050F51">
        <w:rPr>
          <w:rFonts w:ascii="Arial" w:eastAsia="Arial" w:hAnsi="Arial" w:cs="Arial"/>
          <w:color w:val="000000"/>
          <w:sz w:val="20"/>
          <w:szCs w:val="20"/>
        </w:rPr>
        <w:t xml:space="preserve"> Fixed and volumetric water rates based on O&amp;M cost assumptions</w:t>
      </w:r>
    </w:p>
    <w:tbl>
      <w:tblPr>
        <w:tblStyle w:val="af0"/>
        <w:tblW w:w="4963" w:type="dxa"/>
        <w:tblLayout w:type="fixed"/>
        <w:tblLook w:val="0400" w:firstRow="0" w:lastRow="0" w:firstColumn="0" w:lastColumn="0" w:noHBand="0" w:noVBand="1"/>
      </w:tblPr>
      <w:tblGrid>
        <w:gridCol w:w="4202"/>
        <w:gridCol w:w="761"/>
      </w:tblGrid>
      <w:tr w:rsidR="0041056C" w:rsidRPr="00050F51" w14:paraId="6EA43A5F" w14:textId="77777777">
        <w:tc>
          <w:tcPr>
            <w:tcW w:w="420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B3" w14:textId="77777777" w:rsidR="0041056C" w:rsidRPr="00050F51" w:rsidRDefault="00000000">
            <w:pPr>
              <w:jc w:val="both"/>
              <w:rPr>
                <w:sz w:val="17"/>
                <w:szCs w:val="17"/>
              </w:rPr>
            </w:pPr>
            <w:r w:rsidRPr="00050F51">
              <w:rPr>
                <w:rFonts w:ascii="Arial" w:eastAsia="Arial" w:hAnsi="Arial" w:cs="Arial"/>
                <w:b/>
                <w:bCs/>
                <w:color w:val="000000"/>
                <w:sz w:val="17"/>
                <w:szCs w:val="17"/>
              </w:rPr>
              <w:t>Scenario</w:t>
            </w:r>
          </w:p>
        </w:tc>
        <w:tc>
          <w:tcPr>
            <w:tcW w:w="7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B4" w14:textId="77777777" w:rsidR="0041056C" w:rsidRPr="00050F51" w:rsidRDefault="00000000">
            <w:pPr>
              <w:jc w:val="both"/>
              <w:rPr>
                <w:sz w:val="17"/>
                <w:szCs w:val="17"/>
              </w:rPr>
            </w:pPr>
            <w:r w:rsidRPr="00050F51">
              <w:rPr>
                <w:rFonts w:ascii="Arial" w:eastAsia="Arial" w:hAnsi="Arial" w:cs="Arial"/>
                <w:b/>
                <w:bCs/>
                <w:color w:val="000000"/>
                <w:sz w:val="17"/>
                <w:szCs w:val="17"/>
              </w:rPr>
              <w:t>Baseline</w:t>
            </w:r>
          </w:p>
        </w:tc>
      </w:tr>
      <w:tr w:rsidR="0041056C" w:rsidRPr="00050F51" w14:paraId="2D60431A" w14:textId="77777777">
        <w:tc>
          <w:tcPr>
            <w:tcW w:w="420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B5" w14:textId="77777777" w:rsidR="0041056C" w:rsidRPr="00050F51" w:rsidRDefault="00000000">
            <w:pPr>
              <w:jc w:val="both"/>
              <w:rPr>
                <w:sz w:val="17"/>
                <w:szCs w:val="17"/>
              </w:rPr>
            </w:pPr>
            <w:r w:rsidRPr="00050F51">
              <w:rPr>
                <w:rFonts w:ascii="Arial" w:eastAsia="Arial" w:hAnsi="Arial" w:cs="Arial"/>
                <w:color w:val="000000"/>
                <w:sz w:val="17"/>
                <w:szCs w:val="17"/>
              </w:rPr>
              <w:t>Year</w:t>
            </w:r>
          </w:p>
        </w:tc>
        <w:tc>
          <w:tcPr>
            <w:tcW w:w="7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B6" w14:textId="77777777" w:rsidR="0041056C" w:rsidRPr="00050F51" w:rsidRDefault="00000000">
            <w:pPr>
              <w:jc w:val="both"/>
              <w:rPr>
                <w:sz w:val="17"/>
                <w:szCs w:val="17"/>
              </w:rPr>
            </w:pPr>
            <w:r w:rsidRPr="00050F51">
              <w:rPr>
                <w:rFonts w:ascii="Arial" w:eastAsia="Arial" w:hAnsi="Arial" w:cs="Arial"/>
                <w:color w:val="000000"/>
                <w:sz w:val="17"/>
                <w:szCs w:val="17"/>
              </w:rPr>
              <w:t>2020</w:t>
            </w:r>
          </w:p>
        </w:tc>
      </w:tr>
      <w:tr w:rsidR="0041056C" w:rsidRPr="00050F51" w14:paraId="60FB0832" w14:textId="77777777">
        <w:trPr>
          <w:trHeight w:val="230"/>
        </w:trPr>
        <w:tc>
          <w:tcPr>
            <w:tcW w:w="4963"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B7" w14:textId="77777777" w:rsidR="0041056C" w:rsidRPr="00050F51" w:rsidRDefault="00000000">
            <w:pPr>
              <w:jc w:val="both"/>
              <w:rPr>
                <w:sz w:val="17"/>
                <w:szCs w:val="17"/>
              </w:rPr>
            </w:pPr>
            <w:r w:rsidRPr="00050F51">
              <w:rPr>
                <w:rFonts w:ascii="Arial" w:eastAsia="Arial" w:hAnsi="Arial" w:cs="Arial"/>
                <w:b/>
                <w:bCs/>
                <w:color w:val="000000"/>
                <w:sz w:val="17"/>
                <w:szCs w:val="17"/>
              </w:rPr>
              <w:t>Revenue parameters</w:t>
            </w:r>
          </w:p>
        </w:tc>
      </w:tr>
      <w:tr w:rsidR="0041056C" w:rsidRPr="00050F51" w14:paraId="19765882" w14:textId="77777777">
        <w:tc>
          <w:tcPr>
            <w:tcW w:w="420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B9" w14:textId="77777777" w:rsidR="0041056C" w:rsidRPr="00050F51" w:rsidRDefault="00000000">
            <w:pPr>
              <w:jc w:val="both"/>
              <w:rPr>
                <w:sz w:val="17"/>
                <w:szCs w:val="17"/>
              </w:rPr>
            </w:pPr>
            <w:r w:rsidRPr="00050F51">
              <w:rPr>
                <w:rFonts w:ascii="Arial" w:eastAsia="Arial" w:hAnsi="Arial" w:cs="Arial"/>
                <w:color w:val="000000"/>
                <w:sz w:val="17"/>
                <w:szCs w:val="17"/>
              </w:rPr>
              <w:t>Total revenue required ($M)</w:t>
            </w:r>
          </w:p>
        </w:tc>
        <w:tc>
          <w:tcPr>
            <w:tcW w:w="7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BA" w14:textId="77777777" w:rsidR="0041056C" w:rsidRPr="00050F51" w:rsidRDefault="00000000">
            <w:pPr>
              <w:jc w:val="both"/>
              <w:rPr>
                <w:sz w:val="17"/>
                <w:szCs w:val="17"/>
              </w:rPr>
            </w:pPr>
            <w:r w:rsidRPr="00050F51">
              <w:rPr>
                <w:rFonts w:ascii="Arial" w:eastAsia="Arial" w:hAnsi="Arial" w:cs="Arial"/>
                <w:color w:val="000000"/>
                <w:sz w:val="17"/>
                <w:szCs w:val="17"/>
              </w:rPr>
              <w:t>45.1</w:t>
            </w:r>
          </w:p>
        </w:tc>
      </w:tr>
      <w:tr w:rsidR="0041056C" w:rsidRPr="00050F51" w14:paraId="6C2E2DBE" w14:textId="77777777">
        <w:tc>
          <w:tcPr>
            <w:tcW w:w="420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BB" w14:textId="77777777" w:rsidR="0041056C" w:rsidRPr="00050F51" w:rsidRDefault="00000000">
            <w:pPr>
              <w:jc w:val="both"/>
              <w:rPr>
                <w:sz w:val="17"/>
                <w:szCs w:val="17"/>
              </w:rPr>
            </w:pPr>
            <w:r w:rsidRPr="00050F51">
              <w:rPr>
                <w:rFonts w:ascii="Arial" w:eastAsia="Arial" w:hAnsi="Arial" w:cs="Arial"/>
                <w:color w:val="000000"/>
                <w:sz w:val="17"/>
                <w:szCs w:val="17"/>
              </w:rPr>
              <w:t>Revenue from fixed fees ($M)</w:t>
            </w:r>
          </w:p>
        </w:tc>
        <w:tc>
          <w:tcPr>
            <w:tcW w:w="7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BC" w14:textId="77777777" w:rsidR="0041056C" w:rsidRPr="00050F51" w:rsidRDefault="00000000">
            <w:pPr>
              <w:jc w:val="both"/>
              <w:rPr>
                <w:sz w:val="17"/>
                <w:szCs w:val="17"/>
              </w:rPr>
            </w:pPr>
            <w:r w:rsidRPr="00050F51">
              <w:rPr>
                <w:rFonts w:ascii="Arial" w:eastAsia="Arial" w:hAnsi="Arial" w:cs="Arial"/>
                <w:color w:val="000000"/>
                <w:sz w:val="17"/>
                <w:szCs w:val="17"/>
              </w:rPr>
              <w:t>4.0</w:t>
            </w:r>
          </w:p>
        </w:tc>
      </w:tr>
      <w:tr w:rsidR="0041056C" w:rsidRPr="00050F51" w14:paraId="429DCCE8" w14:textId="77777777">
        <w:tc>
          <w:tcPr>
            <w:tcW w:w="420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BD" w14:textId="77777777" w:rsidR="0041056C" w:rsidRPr="00050F51" w:rsidRDefault="00000000">
            <w:pPr>
              <w:jc w:val="both"/>
              <w:rPr>
                <w:sz w:val="17"/>
                <w:szCs w:val="17"/>
              </w:rPr>
            </w:pPr>
            <w:r w:rsidRPr="00050F51">
              <w:rPr>
                <w:rFonts w:ascii="Arial" w:eastAsia="Arial" w:hAnsi="Arial" w:cs="Arial"/>
                <w:color w:val="000000"/>
                <w:sz w:val="17"/>
                <w:szCs w:val="17"/>
              </w:rPr>
              <w:t>Revenue from volumetric consumption charges ($M)</w:t>
            </w:r>
          </w:p>
        </w:tc>
        <w:tc>
          <w:tcPr>
            <w:tcW w:w="7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BE" w14:textId="77777777" w:rsidR="0041056C" w:rsidRPr="00050F51" w:rsidRDefault="00000000">
            <w:pPr>
              <w:jc w:val="both"/>
              <w:rPr>
                <w:sz w:val="17"/>
                <w:szCs w:val="17"/>
              </w:rPr>
            </w:pPr>
            <w:r w:rsidRPr="00050F51">
              <w:rPr>
                <w:rFonts w:ascii="Arial" w:eastAsia="Arial" w:hAnsi="Arial" w:cs="Arial"/>
                <w:color w:val="000000"/>
                <w:sz w:val="17"/>
                <w:szCs w:val="17"/>
              </w:rPr>
              <w:t>28.1</w:t>
            </w:r>
          </w:p>
        </w:tc>
      </w:tr>
      <w:tr w:rsidR="0041056C" w:rsidRPr="00050F51" w14:paraId="3ACAB5ED" w14:textId="77777777">
        <w:tc>
          <w:tcPr>
            <w:tcW w:w="420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BF" w14:textId="77777777" w:rsidR="0041056C" w:rsidRPr="00050F51" w:rsidRDefault="00000000">
            <w:pPr>
              <w:jc w:val="both"/>
              <w:rPr>
                <w:sz w:val="17"/>
                <w:szCs w:val="17"/>
              </w:rPr>
            </w:pPr>
            <w:r w:rsidRPr="00050F51">
              <w:rPr>
                <w:rFonts w:ascii="Arial" w:eastAsia="Arial" w:hAnsi="Arial" w:cs="Arial"/>
                <w:color w:val="000000"/>
                <w:sz w:val="17"/>
                <w:szCs w:val="17"/>
              </w:rPr>
              <w:t>Revenue from volumetric IRF charges ($M)</w:t>
            </w:r>
          </w:p>
        </w:tc>
        <w:tc>
          <w:tcPr>
            <w:tcW w:w="7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0" w14:textId="77777777" w:rsidR="0041056C" w:rsidRPr="00050F51" w:rsidRDefault="00000000">
            <w:pPr>
              <w:jc w:val="both"/>
              <w:rPr>
                <w:sz w:val="17"/>
                <w:szCs w:val="17"/>
              </w:rPr>
            </w:pPr>
            <w:r w:rsidRPr="00050F51">
              <w:rPr>
                <w:rFonts w:ascii="Arial" w:eastAsia="Arial" w:hAnsi="Arial" w:cs="Arial"/>
                <w:color w:val="000000"/>
                <w:sz w:val="17"/>
                <w:szCs w:val="17"/>
              </w:rPr>
              <w:t>10.2</w:t>
            </w:r>
          </w:p>
        </w:tc>
      </w:tr>
      <w:tr w:rsidR="0041056C" w:rsidRPr="00050F51" w14:paraId="0DB2102E" w14:textId="77777777">
        <w:trPr>
          <w:trHeight w:val="230"/>
        </w:trPr>
        <w:tc>
          <w:tcPr>
            <w:tcW w:w="4963"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1" w14:textId="77777777" w:rsidR="0041056C" w:rsidRPr="00050F51" w:rsidRDefault="00000000">
            <w:pPr>
              <w:jc w:val="both"/>
              <w:rPr>
                <w:sz w:val="17"/>
                <w:szCs w:val="17"/>
              </w:rPr>
            </w:pPr>
            <w:r w:rsidRPr="00050F51">
              <w:rPr>
                <w:rFonts w:ascii="Arial" w:eastAsia="Arial" w:hAnsi="Arial" w:cs="Arial"/>
                <w:b/>
                <w:bCs/>
                <w:color w:val="000000"/>
                <w:sz w:val="17"/>
                <w:szCs w:val="17"/>
              </w:rPr>
              <w:t>Rates</w:t>
            </w:r>
          </w:p>
        </w:tc>
      </w:tr>
      <w:tr w:rsidR="0041056C" w:rsidRPr="00050F51" w14:paraId="03236857" w14:textId="77777777">
        <w:tc>
          <w:tcPr>
            <w:tcW w:w="420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3" w14:textId="77777777" w:rsidR="0041056C" w:rsidRPr="00050F51" w:rsidRDefault="00000000">
            <w:pPr>
              <w:jc w:val="both"/>
              <w:rPr>
                <w:sz w:val="17"/>
                <w:szCs w:val="17"/>
              </w:rPr>
            </w:pPr>
            <w:r w:rsidRPr="00050F51">
              <w:rPr>
                <w:rFonts w:ascii="Arial" w:eastAsia="Arial" w:hAnsi="Arial" w:cs="Arial"/>
                <w:color w:val="000000"/>
                <w:sz w:val="17"/>
                <w:szCs w:val="17"/>
              </w:rPr>
              <w:t>Fixed fee ($/month/household)</w:t>
            </w:r>
          </w:p>
        </w:tc>
        <w:tc>
          <w:tcPr>
            <w:tcW w:w="7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4" w14:textId="77777777" w:rsidR="0041056C" w:rsidRPr="00050F51" w:rsidRDefault="00000000">
            <w:pPr>
              <w:jc w:val="both"/>
              <w:rPr>
                <w:sz w:val="17"/>
                <w:szCs w:val="17"/>
              </w:rPr>
            </w:pPr>
            <w:r w:rsidRPr="00050F51">
              <w:rPr>
                <w:rFonts w:ascii="Arial" w:eastAsia="Arial" w:hAnsi="Arial" w:cs="Arial"/>
                <w:color w:val="000000"/>
                <w:sz w:val="17"/>
                <w:szCs w:val="17"/>
              </w:rPr>
              <w:t>12.24</w:t>
            </w:r>
          </w:p>
        </w:tc>
      </w:tr>
      <w:tr w:rsidR="0041056C" w:rsidRPr="00050F51" w14:paraId="00668ADB" w14:textId="77777777">
        <w:tc>
          <w:tcPr>
            <w:tcW w:w="420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5" w14:textId="77777777" w:rsidR="0041056C" w:rsidRPr="00050F51" w:rsidRDefault="00000000">
            <w:pPr>
              <w:jc w:val="both"/>
              <w:rPr>
                <w:sz w:val="17"/>
                <w:szCs w:val="17"/>
              </w:rPr>
            </w:pPr>
            <w:r w:rsidRPr="00050F51">
              <w:rPr>
                <w:rFonts w:ascii="Arial" w:eastAsia="Arial" w:hAnsi="Arial" w:cs="Arial"/>
                <w:color w:val="000000"/>
                <w:sz w:val="17"/>
                <w:szCs w:val="17"/>
              </w:rPr>
              <w:t>Consumption tier 1 ($/ccf)</w:t>
            </w:r>
          </w:p>
        </w:tc>
        <w:tc>
          <w:tcPr>
            <w:tcW w:w="7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6" w14:textId="77777777" w:rsidR="0041056C" w:rsidRPr="00050F51" w:rsidRDefault="00000000">
            <w:pPr>
              <w:jc w:val="both"/>
              <w:rPr>
                <w:sz w:val="17"/>
                <w:szCs w:val="17"/>
              </w:rPr>
            </w:pPr>
            <w:r w:rsidRPr="00050F51">
              <w:rPr>
                <w:rFonts w:ascii="Arial" w:eastAsia="Arial" w:hAnsi="Arial" w:cs="Arial"/>
                <w:color w:val="000000"/>
                <w:sz w:val="17"/>
                <w:szCs w:val="17"/>
              </w:rPr>
              <w:t>7.33</w:t>
            </w:r>
          </w:p>
        </w:tc>
      </w:tr>
      <w:tr w:rsidR="0041056C" w:rsidRPr="00050F51" w14:paraId="78E99E58" w14:textId="77777777">
        <w:tc>
          <w:tcPr>
            <w:tcW w:w="420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7" w14:textId="77777777" w:rsidR="0041056C" w:rsidRPr="00050F51" w:rsidRDefault="00000000">
            <w:pPr>
              <w:jc w:val="both"/>
              <w:rPr>
                <w:sz w:val="17"/>
                <w:szCs w:val="17"/>
              </w:rPr>
            </w:pPr>
            <w:r w:rsidRPr="00050F51">
              <w:rPr>
                <w:rFonts w:ascii="Arial" w:eastAsia="Arial" w:hAnsi="Arial" w:cs="Arial"/>
                <w:color w:val="000000"/>
                <w:sz w:val="17"/>
                <w:szCs w:val="17"/>
              </w:rPr>
              <w:t>Consumption tier 2 ($/ccf)</w:t>
            </w:r>
          </w:p>
        </w:tc>
        <w:tc>
          <w:tcPr>
            <w:tcW w:w="7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8" w14:textId="77777777" w:rsidR="0041056C" w:rsidRPr="00050F51" w:rsidRDefault="00000000">
            <w:pPr>
              <w:jc w:val="both"/>
              <w:rPr>
                <w:sz w:val="17"/>
                <w:szCs w:val="17"/>
              </w:rPr>
            </w:pPr>
            <w:r w:rsidRPr="00050F51">
              <w:rPr>
                <w:rFonts w:ascii="Arial" w:eastAsia="Arial" w:hAnsi="Arial" w:cs="Arial"/>
                <w:color w:val="000000"/>
                <w:sz w:val="17"/>
                <w:szCs w:val="17"/>
              </w:rPr>
              <w:t>9.90</w:t>
            </w:r>
          </w:p>
        </w:tc>
      </w:tr>
      <w:tr w:rsidR="0041056C" w:rsidRPr="00050F51" w14:paraId="356C7BF1" w14:textId="77777777">
        <w:tc>
          <w:tcPr>
            <w:tcW w:w="420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9" w14:textId="77777777" w:rsidR="0041056C" w:rsidRPr="00050F51" w:rsidRDefault="00000000">
            <w:pPr>
              <w:jc w:val="both"/>
              <w:rPr>
                <w:sz w:val="17"/>
                <w:szCs w:val="17"/>
              </w:rPr>
            </w:pPr>
            <w:r w:rsidRPr="00050F51">
              <w:rPr>
                <w:rFonts w:ascii="Arial" w:eastAsia="Arial" w:hAnsi="Arial" w:cs="Arial"/>
                <w:color w:val="000000"/>
                <w:sz w:val="17"/>
                <w:szCs w:val="17"/>
              </w:rPr>
              <w:t>Consumption tier 3 ($/ccf)</w:t>
            </w:r>
          </w:p>
        </w:tc>
        <w:tc>
          <w:tcPr>
            <w:tcW w:w="7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A" w14:textId="77777777" w:rsidR="0041056C" w:rsidRPr="00050F51" w:rsidRDefault="00000000">
            <w:pPr>
              <w:jc w:val="both"/>
              <w:rPr>
                <w:sz w:val="17"/>
                <w:szCs w:val="17"/>
              </w:rPr>
            </w:pPr>
            <w:r w:rsidRPr="00050F51">
              <w:rPr>
                <w:rFonts w:ascii="Arial" w:eastAsia="Arial" w:hAnsi="Arial" w:cs="Arial"/>
                <w:color w:val="000000"/>
                <w:sz w:val="17"/>
                <w:szCs w:val="17"/>
              </w:rPr>
              <w:t>12.10</w:t>
            </w:r>
          </w:p>
        </w:tc>
      </w:tr>
      <w:tr w:rsidR="0041056C" w:rsidRPr="00050F51" w14:paraId="1DDB9E4D" w14:textId="77777777">
        <w:tc>
          <w:tcPr>
            <w:tcW w:w="420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B" w14:textId="77777777" w:rsidR="0041056C" w:rsidRPr="00050F51" w:rsidRDefault="00000000">
            <w:pPr>
              <w:jc w:val="both"/>
              <w:rPr>
                <w:sz w:val="17"/>
                <w:szCs w:val="17"/>
              </w:rPr>
            </w:pPr>
            <w:r w:rsidRPr="00050F51">
              <w:rPr>
                <w:rFonts w:ascii="Arial" w:eastAsia="Arial" w:hAnsi="Arial" w:cs="Arial"/>
                <w:color w:val="000000"/>
                <w:sz w:val="17"/>
                <w:szCs w:val="17"/>
              </w:rPr>
              <w:t>IRF tier 1 ($/ccf)</w:t>
            </w:r>
          </w:p>
        </w:tc>
        <w:tc>
          <w:tcPr>
            <w:tcW w:w="7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C" w14:textId="77777777" w:rsidR="0041056C" w:rsidRPr="00050F51" w:rsidRDefault="00000000">
            <w:pPr>
              <w:jc w:val="both"/>
              <w:rPr>
                <w:sz w:val="17"/>
                <w:szCs w:val="17"/>
              </w:rPr>
            </w:pPr>
            <w:r w:rsidRPr="00050F51">
              <w:rPr>
                <w:rFonts w:ascii="Arial" w:eastAsia="Arial" w:hAnsi="Arial" w:cs="Arial"/>
                <w:color w:val="000000"/>
                <w:sz w:val="17"/>
                <w:szCs w:val="17"/>
              </w:rPr>
              <w:t>2.30</w:t>
            </w:r>
          </w:p>
        </w:tc>
      </w:tr>
      <w:tr w:rsidR="0041056C" w:rsidRPr="00050F51" w14:paraId="0D54A9F8" w14:textId="77777777">
        <w:tc>
          <w:tcPr>
            <w:tcW w:w="420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D" w14:textId="77777777" w:rsidR="0041056C" w:rsidRPr="00050F51" w:rsidRDefault="00000000">
            <w:pPr>
              <w:jc w:val="both"/>
              <w:rPr>
                <w:sz w:val="17"/>
                <w:szCs w:val="17"/>
              </w:rPr>
            </w:pPr>
            <w:r w:rsidRPr="00050F51">
              <w:rPr>
                <w:rFonts w:ascii="Arial" w:eastAsia="Arial" w:hAnsi="Arial" w:cs="Arial"/>
                <w:color w:val="000000"/>
                <w:sz w:val="17"/>
                <w:szCs w:val="17"/>
              </w:rPr>
              <w:t>IRF tier 2 ($/ccf)</w:t>
            </w:r>
          </w:p>
        </w:tc>
        <w:tc>
          <w:tcPr>
            <w:tcW w:w="7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E" w14:textId="77777777" w:rsidR="0041056C" w:rsidRPr="00050F51" w:rsidRDefault="00000000">
            <w:pPr>
              <w:jc w:val="both"/>
              <w:rPr>
                <w:sz w:val="17"/>
                <w:szCs w:val="17"/>
              </w:rPr>
            </w:pPr>
            <w:r w:rsidRPr="00050F51">
              <w:rPr>
                <w:rFonts w:ascii="Arial" w:eastAsia="Arial" w:hAnsi="Arial" w:cs="Arial"/>
                <w:color w:val="000000"/>
                <w:sz w:val="17"/>
                <w:szCs w:val="17"/>
              </w:rPr>
              <w:t>4.37</w:t>
            </w:r>
          </w:p>
        </w:tc>
      </w:tr>
      <w:tr w:rsidR="0041056C" w:rsidRPr="00050F51" w14:paraId="04095934" w14:textId="77777777">
        <w:tc>
          <w:tcPr>
            <w:tcW w:w="420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CF" w14:textId="77777777" w:rsidR="0041056C" w:rsidRPr="00050F51" w:rsidRDefault="00000000">
            <w:pPr>
              <w:jc w:val="both"/>
              <w:rPr>
                <w:sz w:val="17"/>
                <w:szCs w:val="17"/>
              </w:rPr>
            </w:pPr>
            <w:r w:rsidRPr="00050F51">
              <w:rPr>
                <w:rFonts w:ascii="Arial" w:eastAsia="Arial" w:hAnsi="Arial" w:cs="Arial"/>
                <w:color w:val="000000"/>
                <w:sz w:val="17"/>
                <w:szCs w:val="17"/>
              </w:rPr>
              <w:t>IRF tier 3 ($/ccf)</w:t>
            </w:r>
          </w:p>
        </w:tc>
        <w:tc>
          <w:tcPr>
            <w:tcW w:w="7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D0" w14:textId="77777777" w:rsidR="0041056C" w:rsidRPr="00050F51" w:rsidRDefault="00000000">
            <w:pPr>
              <w:jc w:val="both"/>
              <w:rPr>
                <w:sz w:val="17"/>
                <w:szCs w:val="17"/>
              </w:rPr>
            </w:pPr>
            <w:r w:rsidRPr="00050F51">
              <w:rPr>
                <w:rFonts w:ascii="Arial" w:eastAsia="Arial" w:hAnsi="Arial" w:cs="Arial"/>
                <w:color w:val="000000"/>
                <w:sz w:val="17"/>
                <w:szCs w:val="17"/>
              </w:rPr>
              <w:t>6.90</w:t>
            </w:r>
          </w:p>
        </w:tc>
      </w:tr>
    </w:tbl>
    <w:p w14:paraId="000002D1" w14:textId="77777777" w:rsidR="0041056C" w:rsidRPr="00050F51" w:rsidRDefault="0041056C">
      <w:pPr>
        <w:pBdr>
          <w:top w:val="nil"/>
          <w:left w:val="nil"/>
          <w:bottom w:val="nil"/>
          <w:right w:val="nil"/>
          <w:between w:val="nil"/>
        </w:pBdr>
        <w:rPr>
          <w:rFonts w:ascii="Arial" w:eastAsia="Arial" w:hAnsi="Arial" w:cs="Arial"/>
          <w:color w:val="000000"/>
          <w:sz w:val="20"/>
          <w:szCs w:val="20"/>
        </w:rPr>
      </w:pPr>
    </w:p>
    <w:p w14:paraId="000002D2" w14:textId="1AE1613E" w:rsidR="0041056C" w:rsidRPr="00050F51" w:rsidRDefault="00000000" w:rsidP="00B56F00">
      <w:pPr>
        <w:pStyle w:val="SISectionHeading"/>
      </w:pPr>
      <w:r w:rsidRPr="00050F51">
        <w:t>Section S1</w:t>
      </w:r>
      <w:r w:rsidR="00AD23CB" w:rsidRPr="00050F51">
        <w:t>8</w:t>
      </w:r>
      <w:r w:rsidRPr="00050F51">
        <w:t>. Additional assumptions for financing and rate design model</w:t>
      </w:r>
    </w:p>
    <w:p w14:paraId="000002D4" w14:textId="73686D6F" w:rsidR="0041056C" w:rsidRPr="00050F51" w:rsidRDefault="00000000" w:rsidP="00967318">
      <w:pPr>
        <w:pBdr>
          <w:top w:val="nil"/>
          <w:left w:val="nil"/>
          <w:bottom w:val="nil"/>
          <w:right w:val="nil"/>
          <w:between w:val="nil"/>
        </w:pBdr>
        <w:spacing w:after="120"/>
        <w:rPr>
          <w:rFonts w:ascii="Arial" w:eastAsia="Arial" w:hAnsi="Arial" w:cs="Arial"/>
          <w:color w:val="000000"/>
          <w:sz w:val="20"/>
          <w:szCs w:val="20"/>
        </w:rPr>
      </w:pPr>
      <w:r w:rsidRPr="00050F51">
        <w:rPr>
          <w:rFonts w:ascii="Arial" w:eastAsia="Arial" w:hAnsi="Arial" w:cs="Arial"/>
          <w:color w:val="000000"/>
          <w:sz w:val="20"/>
          <w:szCs w:val="20"/>
        </w:rPr>
        <w:t>Table S</w:t>
      </w:r>
      <w:r w:rsidR="00D54881" w:rsidRPr="00050F51">
        <w:rPr>
          <w:rFonts w:ascii="Arial" w:eastAsia="Arial" w:hAnsi="Arial" w:cs="Arial"/>
          <w:color w:val="000000"/>
          <w:sz w:val="20"/>
          <w:szCs w:val="20"/>
        </w:rPr>
        <w:t>10</w:t>
      </w:r>
      <w:r w:rsidRPr="00050F51">
        <w:rPr>
          <w:rFonts w:ascii="Arial" w:eastAsia="Arial" w:hAnsi="Arial" w:cs="Arial"/>
          <w:color w:val="000000"/>
          <w:sz w:val="20"/>
          <w:szCs w:val="20"/>
        </w:rPr>
        <w:t xml:space="preserve"> includes ratios used to calculate tier 2+ quantity and Infrastructure Reinvestment Fee (IRF) volumetric charges based on tier 1 costs, using historical water rates data in Santa Cruz. Table S</w:t>
      </w:r>
      <w:r w:rsidRPr="00050F51">
        <w:rPr>
          <w:rFonts w:ascii="Arial" w:eastAsia="Arial" w:hAnsi="Arial" w:cs="Arial"/>
          <w:sz w:val="20"/>
          <w:szCs w:val="20"/>
        </w:rPr>
        <w:t>1</w:t>
      </w:r>
      <w:r w:rsidR="00D54881" w:rsidRPr="00050F51">
        <w:rPr>
          <w:rFonts w:ascii="Arial" w:eastAsia="Arial" w:hAnsi="Arial" w:cs="Arial"/>
          <w:sz w:val="20"/>
          <w:szCs w:val="20"/>
        </w:rPr>
        <w:t>1</w:t>
      </w:r>
      <w:r w:rsidRPr="00050F51">
        <w:rPr>
          <w:rFonts w:ascii="Arial" w:eastAsia="Arial" w:hAnsi="Arial" w:cs="Arial"/>
          <w:color w:val="000000"/>
          <w:sz w:val="20"/>
          <w:szCs w:val="20"/>
        </w:rPr>
        <w:t xml:space="preserve"> includes additional infrastructure financing assumptions. Figure S23 illustrates the </w:t>
      </w:r>
      <w:r w:rsidRPr="00050F51">
        <w:rPr>
          <w:rFonts w:ascii="Arial" w:eastAsia="Arial" w:hAnsi="Arial" w:cs="Arial"/>
          <w:sz w:val="20"/>
          <w:szCs w:val="20"/>
        </w:rPr>
        <w:t>process from additional revenue requirements to updated rates and water demands.</w:t>
      </w:r>
    </w:p>
    <w:p w14:paraId="000002D5" w14:textId="44416B84" w:rsidR="0041056C" w:rsidRPr="00050F51" w:rsidRDefault="00000000" w:rsidP="004E5254">
      <w:pPr>
        <w:spacing w:before="120"/>
        <w:rPr>
          <w:sz w:val="20"/>
          <w:szCs w:val="20"/>
        </w:rPr>
      </w:pPr>
      <w:r w:rsidRPr="00050F51">
        <w:rPr>
          <w:rFonts w:ascii="Arial" w:eastAsia="Arial" w:hAnsi="Arial" w:cs="Arial"/>
          <w:b/>
          <w:bCs/>
          <w:sz w:val="20"/>
          <w:szCs w:val="20"/>
        </w:rPr>
        <w:t>Table S</w:t>
      </w:r>
      <w:r w:rsidR="00D54881" w:rsidRPr="00050F51">
        <w:rPr>
          <w:rFonts w:ascii="Arial" w:eastAsia="Arial" w:hAnsi="Arial" w:cs="Arial"/>
          <w:b/>
          <w:bCs/>
          <w:sz w:val="20"/>
          <w:szCs w:val="20"/>
        </w:rPr>
        <w:t>10</w:t>
      </w:r>
      <w:r w:rsidRPr="00050F51">
        <w:rPr>
          <w:rFonts w:ascii="Arial" w:eastAsia="Arial" w:hAnsi="Arial" w:cs="Arial"/>
          <w:b/>
          <w:bCs/>
          <w:sz w:val="20"/>
          <w:szCs w:val="20"/>
        </w:rPr>
        <w:t>.</w:t>
      </w:r>
      <w:r w:rsidRPr="00050F51">
        <w:rPr>
          <w:rFonts w:ascii="Arial" w:eastAsia="Arial" w:hAnsi="Arial" w:cs="Arial"/>
          <w:sz w:val="20"/>
          <w:szCs w:val="20"/>
        </w:rPr>
        <w:t xml:space="preserve"> Cost ratios between tier 1 and tiers 2+</w:t>
      </w:r>
    </w:p>
    <w:tbl>
      <w:tblPr>
        <w:tblStyle w:val="af1"/>
        <w:tblW w:w="3346" w:type="dxa"/>
        <w:tblLayout w:type="fixed"/>
        <w:tblLook w:val="0400" w:firstRow="0" w:lastRow="0" w:firstColumn="0" w:lastColumn="0" w:noHBand="0" w:noVBand="1"/>
      </w:tblPr>
      <w:tblGrid>
        <w:gridCol w:w="530"/>
        <w:gridCol w:w="1624"/>
        <w:gridCol w:w="1192"/>
      </w:tblGrid>
      <w:tr w:rsidR="0041056C" w:rsidRPr="00050F51" w14:paraId="75AFC5A7" w14:textId="77777777">
        <w:trPr>
          <w:trHeight w:val="311"/>
        </w:trPr>
        <w:tc>
          <w:tcPr>
            <w:tcW w:w="53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D6" w14:textId="77777777" w:rsidR="0041056C" w:rsidRPr="00050F51" w:rsidRDefault="00000000">
            <w:pPr>
              <w:jc w:val="both"/>
              <w:rPr>
                <w:sz w:val="17"/>
                <w:szCs w:val="17"/>
              </w:rPr>
            </w:pPr>
            <w:r w:rsidRPr="00050F51">
              <w:rPr>
                <w:rFonts w:ascii="Arial" w:eastAsia="Arial" w:hAnsi="Arial" w:cs="Arial"/>
                <w:b/>
                <w:bCs/>
                <w:sz w:val="17"/>
                <w:szCs w:val="17"/>
              </w:rPr>
              <w:t>Tier</w:t>
            </w:r>
          </w:p>
        </w:tc>
        <w:tc>
          <w:tcPr>
            <w:tcW w:w="162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D7" w14:textId="77777777" w:rsidR="0041056C" w:rsidRPr="00050F51" w:rsidRDefault="00000000">
            <w:pPr>
              <w:jc w:val="both"/>
              <w:rPr>
                <w:sz w:val="17"/>
                <w:szCs w:val="17"/>
              </w:rPr>
            </w:pPr>
            <w:r w:rsidRPr="00050F51">
              <w:rPr>
                <w:rFonts w:ascii="Arial" w:eastAsia="Arial" w:hAnsi="Arial" w:cs="Arial"/>
                <w:b/>
                <w:bCs/>
                <w:sz w:val="17"/>
                <w:szCs w:val="17"/>
              </w:rPr>
              <w:t>Quantity Charge</w:t>
            </w:r>
          </w:p>
        </w:tc>
        <w:tc>
          <w:tcPr>
            <w:tcW w:w="11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D8" w14:textId="77777777" w:rsidR="0041056C" w:rsidRPr="00050F51" w:rsidRDefault="00000000">
            <w:pPr>
              <w:jc w:val="both"/>
              <w:rPr>
                <w:sz w:val="17"/>
                <w:szCs w:val="17"/>
              </w:rPr>
            </w:pPr>
            <w:r w:rsidRPr="00050F51">
              <w:rPr>
                <w:rFonts w:ascii="Arial" w:eastAsia="Arial" w:hAnsi="Arial" w:cs="Arial"/>
                <w:b/>
                <w:bCs/>
                <w:sz w:val="17"/>
                <w:szCs w:val="17"/>
              </w:rPr>
              <w:t>IRF Charge</w:t>
            </w:r>
          </w:p>
        </w:tc>
      </w:tr>
      <w:tr w:rsidR="0041056C" w:rsidRPr="00050F51" w14:paraId="733E867C" w14:textId="77777777">
        <w:trPr>
          <w:trHeight w:val="230"/>
        </w:trPr>
        <w:tc>
          <w:tcPr>
            <w:tcW w:w="53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D9" w14:textId="77777777" w:rsidR="0041056C" w:rsidRPr="00050F51" w:rsidRDefault="00000000">
            <w:pPr>
              <w:jc w:val="both"/>
              <w:rPr>
                <w:sz w:val="17"/>
                <w:szCs w:val="17"/>
              </w:rPr>
            </w:pPr>
            <w:r w:rsidRPr="00050F51">
              <w:rPr>
                <w:rFonts w:ascii="Arial" w:eastAsia="Arial" w:hAnsi="Arial" w:cs="Arial"/>
                <w:b/>
                <w:bCs/>
                <w:sz w:val="17"/>
                <w:szCs w:val="17"/>
              </w:rPr>
              <w:t>2</w:t>
            </w:r>
          </w:p>
        </w:tc>
        <w:tc>
          <w:tcPr>
            <w:tcW w:w="162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DA" w14:textId="77777777" w:rsidR="0041056C" w:rsidRPr="00050F51" w:rsidRDefault="00000000">
            <w:pPr>
              <w:jc w:val="both"/>
              <w:rPr>
                <w:sz w:val="17"/>
                <w:szCs w:val="17"/>
              </w:rPr>
            </w:pPr>
            <w:r w:rsidRPr="00050F51">
              <w:rPr>
                <w:rFonts w:ascii="Arial" w:eastAsia="Arial" w:hAnsi="Arial" w:cs="Arial"/>
                <w:sz w:val="17"/>
                <w:szCs w:val="17"/>
              </w:rPr>
              <w:t>1.35</w:t>
            </w:r>
          </w:p>
        </w:tc>
        <w:tc>
          <w:tcPr>
            <w:tcW w:w="11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DB" w14:textId="77777777" w:rsidR="0041056C" w:rsidRPr="00050F51" w:rsidRDefault="00000000">
            <w:pPr>
              <w:jc w:val="both"/>
              <w:rPr>
                <w:sz w:val="17"/>
                <w:szCs w:val="17"/>
              </w:rPr>
            </w:pPr>
            <w:r w:rsidRPr="00050F51">
              <w:rPr>
                <w:rFonts w:ascii="Arial" w:eastAsia="Arial" w:hAnsi="Arial" w:cs="Arial"/>
                <w:sz w:val="17"/>
                <w:szCs w:val="17"/>
              </w:rPr>
              <w:t>1.9</w:t>
            </w:r>
          </w:p>
        </w:tc>
      </w:tr>
      <w:tr w:rsidR="0041056C" w:rsidRPr="00050F51" w14:paraId="40BA35C3" w14:textId="77777777">
        <w:trPr>
          <w:trHeight w:val="230"/>
        </w:trPr>
        <w:tc>
          <w:tcPr>
            <w:tcW w:w="53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DC" w14:textId="77777777" w:rsidR="0041056C" w:rsidRPr="00050F51" w:rsidRDefault="00000000">
            <w:pPr>
              <w:jc w:val="both"/>
              <w:rPr>
                <w:sz w:val="17"/>
                <w:szCs w:val="17"/>
              </w:rPr>
            </w:pPr>
            <w:r w:rsidRPr="00050F51">
              <w:rPr>
                <w:rFonts w:ascii="Arial" w:eastAsia="Arial" w:hAnsi="Arial" w:cs="Arial"/>
                <w:b/>
                <w:bCs/>
                <w:sz w:val="17"/>
                <w:szCs w:val="17"/>
              </w:rPr>
              <w:t>3</w:t>
            </w:r>
          </w:p>
        </w:tc>
        <w:tc>
          <w:tcPr>
            <w:tcW w:w="162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DD" w14:textId="77777777" w:rsidR="0041056C" w:rsidRPr="00050F51" w:rsidRDefault="00000000">
            <w:pPr>
              <w:jc w:val="both"/>
              <w:rPr>
                <w:sz w:val="17"/>
                <w:szCs w:val="17"/>
              </w:rPr>
            </w:pPr>
            <w:r w:rsidRPr="00050F51">
              <w:rPr>
                <w:rFonts w:ascii="Arial" w:eastAsia="Arial" w:hAnsi="Arial" w:cs="Arial"/>
                <w:sz w:val="17"/>
                <w:szCs w:val="17"/>
              </w:rPr>
              <w:t>1.65</w:t>
            </w:r>
          </w:p>
        </w:tc>
        <w:tc>
          <w:tcPr>
            <w:tcW w:w="11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2DE" w14:textId="77777777" w:rsidR="0041056C" w:rsidRPr="00050F51" w:rsidRDefault="00000000">
            <w:pPr>
              <w:jc w:val="both"/>
              <w:rPr>
                <w:sz w:val="17"/>
                <w:szCs w:val="17"/>
              </w:rPr>
            </w:pPr>
            <w:r w:rsidRPr="00050F51">
              <w:rPr>
                <w:rFonts w:ascii="Arial" w:eastAsia="Arial" w:hAnsi="Arial" w:cs="Arial"/>
                <w:sz w:val="17"/>
                <w:szCs w:val="17"/>
              </w:rPr>
              <w:t>3.0</w:t>
            </w:r>
          </w:p>
        </w:tc>
      </w:tr>
    </w:tbl>
    <w:p w14:paraId="000002DF" w14:textId="77777777" w:rsidR="0041056C" w:rsidRPr="00050F51" w:rsidRDefault="0041056C">
      <w:pPr>
        <w:rPr>
          <w:rFonts w:ascii="Arial" w:eastAsia="Arial" w:hAnsi="Arial" w:cs="Arial"/>
          <w:sz w:val="20"/>
          <w:szCs w:val="20"/>
        </w:rPr>
      </w:pPr>
    </w:p>
    <w:p w14:paraId="000002E0" w14:textId="05B52404" w:rsidR="0041056C" w:rsidRPr="00050F51" w:rsidRDefault="00000000" w:rsidP="004E5254">
      <w:pPr>
        <w:spacing w:before="120"/>
        <w:jc w:val="both"/>
        <w:rPr>
          <w:sz w:val="20"/>
          <w:szCs w:val="20"/>
        </w:rPr>
      </w:pPr>
      <w:r w:rsidRPr="00050F51">
        <w:rPr>
          <w:rFonts w:ascii="Arial" w:eastAsia="Arial" w:hAnsi="Arial" w:cs="Arial"/>
          <w:b/>
          <w:bCs/>
          <w:sz w:val="20"/>
          <w:szCs w:val="20"/>
        </w:rPr>
        <w:t>Table S1</w:t>
      </w:r>
      <w:r w:rsidR="00D54881" w:rsidRPr="00050F51">
        <w:rPr>
          <w:rFonts w:ascii="Arial" w:eastAsia="Arial" w:hAnsi="Arial" w:cs="Arial"/>
          <w:b/>
          <w:bCs/>
          <w:sz w:val="20"/>
          <w:szCs w:val="20"/>
        </w:rPr>
        <w:t>1</w:t>
      </w:r>
      <w:r w:rsidRPr="00050F51">
        <w:rPr>
          <w:rFonts w:ascii="Arial" w:eastAsia="Arial" w:hAnsi="Arial" w:cs="Arial"/>
          <w:b/>
          <w:bCs/>
          <w:sz w:val="20"/>
          <w:szCs w:val="20"/>
        </w:rPr>
        <w:t>.</w:t>
      </w:r>
      <w:r w:rsidRPr="00050F51">
        <w:rPr>
          <w:rFonts w:ascii="Arial" w:eastAsia="Arial" w:hAnsi="Arial" w:cs="Arial"/>
          <w:sz w:val="20"/>
          <w:szCs w:val="20"/>
        </w:rPr>
        <w:t xml:space="preserve"> Infrastructure financing assumptions</w:t>
      </w:r>
    </w:p>
    <w:tbl>
      <w:tblPr>
        <w:tblStyle w:val="af2"/>
        <w:tblW w:w="4402" w:type="dxa"/>
        <w:tblLayout w:type="fixed"/>
        <w:tblLook w:val="0400" w:firstRow="0" w:lastRow="0" w:firstColumn="0" w:lastColumn="0" w:noHBand="0" w:noVBand="1"/>
      </w:tblPr>
      <w:tblGrid>
        <w:gridCol w:w="3502"/>
        <w:gridCol w:w="900"/>
      </w:tblGrid>
      <w:tr w:rsidR="0041056C" w:rsidRPr="00050F51" w14:paraId="42AD5747" w14:textId="77777777" w:rsidTr="00E3741C">
        <w:trPr>
          <w:trHeight w:val="55"/>
        </w:trPr>
        <w:tc>
          <w:tcPr>
            <w:tcW w:w="3502"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bottom"/>
          </w:tcPr>
          <w:p w14:paraId="000002E1" w14:textId="77777777" w:rsidR="0041056C" w:rsidRPr="00050F51" w:rsidRDefault="00000000">
            <w:pPr>
              <w:jc w:val="both"/>
              <w:rPr>
                <w:sz w:val="17"/>
                <w:szCs w:val="17"/>
              </w:rPr>
            </w:pPr>
            <w:r w:rsidRPr="00050F51">
              <w:rPr>
                <w:rFonts w:ascii="Arial" w:eastAsia="Arial" w:hAnsi="Arial" w:cs="Arial"/>
                <w:b/>
                <w:bCs/>
                <w:sz w:val="17"/>
                <w:szCs w:val="17"/>
              </w:rPr>
              <w:t>Assumption Name</w:t>
            </w:r>
          </w:p>
        </w:tc>
        <w:tc>
          <w:tcPr>
            <w:tcW w:w="900"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bottom"/>
          </w:tcPr>
          <w:p w14:paraId="000002E2" w14:textId="77777777" w:rsidR="0041056C" w:rsidRPr="00050F51" w:rsidRDefault="00000000">
            <w:pPr>
              <w:jc w:val="both"/>
              <w:rPr>
                <w:sz w:val="17"/>
                <w:szCs w:val="17"/>
              </w:rPr>
            </w:pPr>
            <w:r w:rsidRPr="00050F51">
              <w:rPr>
                <w:rFonts w:ascii="Arial" w:eastAsia="Arial" w:hAnsi="Arial" w:cs="Arial"/>
                <w:b/>
                <w:bCs/>
                <w:sz w:val="17"/>
                <w:szCs w:val="17"/>
              </w:rPr>
              <w:t>Value</w:t>
            </w:r>
          </w:p>
        </w:tc>
      </w:tr>
      <w:tr w:rsidR="0041056C" w:rsidRPr="00050F51" w14:paraId="0EFA05AE" w14:textId="77777777">
        <w:tc>
          <w:tcPr>
            <w:tcW w:w="3502" w:type="dxa"/>
            <w:tcBorders>
              <w:top w:val="single" w:sz="6" w:space="0" w:color="000000"/>
              <w:left w:val="single" w:sz="6" w:space="0" w:color="000000"/>
              <w:bottom w:val="single" w:sz="6" w:space="0" w:color="000000"/>
              <w:right w:val="single" w:sz="6" w:space="0" w:color="000000"/>
            </w:tcBorders>
            <w:vAlign w:val="center"/>
          </w:tcPr>
          <w:p w14:paraId="000002E3" w14:textId="77777777" w:rsidR="0041056C" w:rsidRPr="00050F51" w:rsidRDefault="00000000">
            <w:pPr>
              <w:jc w:val="both"/>
              <w:rPr>
                <w:sz w:val="17"/>
                <w:szCs w:val="17"/>
              </w:rPr>
            </w:pPr>
            <w:r w:rsidRPr="00050F51">
              <w:rPr>
                <w:rFonts w:ascii="Arial" w:eastAsia="Arial" w:hAnsi="Arial" w:cs="Arial"/>
                <w:sz w:val="17"/>
                <w:szCs w:val="17"/>
              </w:rPr>
              <w:t>Loan interest rate</w:t>
            </w:r>
          </w:p>
        </w:tc>
        <w:tc>
          <w:tcPr>
            <w:tcW w:w="900" w:type="dxa"/>
            <w:tcBorders>
              <w:top w:val="single" w:sz="6" w:space="0" w:color="000000"/>
              <w:left w:val="single" w:sz="6" w:space="0" w:color="000000"/>
              <w:bottom w:val="single" w:sz="6" w:space="0" w:color="000000"/>
              <w:right w:val="single" w:sz="6" w:space="0" w:color="000000"/>
            </w:tcBorders>
            <w:vAlign w:val="center"/>
          </w:tcPr>
          <w:p w14:paraId="000002E4" w14:textId="77777777" w:rsidR="0041056C" w:rsidRPr="00050F51" w:rsidRDefault="00000000">
            <w:pPr>
              <w:jc w:val="both"/>
              <w:rPr>
                <w:sz w:val="17"/>
                <w:szCs w:val="17"/>
              </w:rPr>
            </w:pPr>
            <w:r w:rsidRPr="00050F51">
              <w:rPr>
                <w:rFonts w:ascii="Arial" w:eastAsia="Arial" w:hAnsi="Arial" w:cs="Arial"/>
                <w:sz w:val="17"/>
                <w:szCs w:val="17"/>
              </w:rPr>
              <w:t>3%</w:t>
            </w:r>
          </w:p>
        </w:tc>
      </w:tr>
      <w:tr w:rsidR="0041056C" w:rsidRPr="00050F51" w14:paraId="28B8913F" w14:textId="77777777">
        <w:tc>
          <w:tcPr>
            <w:tcW w:w="3502" w:type="dxa"/>
            <w:tcBorders>
              <w:top w:val="single" w:sz="6" w:space="0" w:color="000000"/>
              <w:left w:val="single" w:sz="6" w:space="0" w:color="000000"/>
              <w:bottom w:val="single" w:sz="6" w:space="0" w:color="000000"/>
              <w:right w:val="single" w:sz="6" w:space="0" w:color="000000"/>
            </w:tcBorders>
            <w:vAlign w:val="center"/>
          </w:tcPr>
          <w:p w14:paraId="000002E5" w14:textId="77777777" w:rsidR="0041056C" w:rsidRPr="00050F51" w:rsidRDefault="00000000">
            <w:pPr>
              <w:jc w:val="both"/>
              <w:rPr>
                <w:sz w:val="17"/>
                <w:szCs w:val="17"/>
              </w:rPr>
            </w:pPr>
            <w:r w:rsidRPr="00050F51">
              <w:rPr>
                <w:rFonts w:ascii="Arial" w:eastAsia="Arial" w:hAnsi="Arial" w:cs="Arial"/>
                <w:sz w:val="17"/>
                <w:szCs w:val="17"/>
              </w:rPr>
              <w:t>Loan amortization period</w:t>
            </w:r>
          </w:p>
        </w:tc>
        <w:tc>
          <w:tcPr>
            <w:tcW w:w="900" w:type="dxa"/>
            <w:tcBorders>
              <w:top w:val="single" w:sz="6" w:space="0" w:color="000000"/>
              <w:left w:val="single" w:sz="6" w:space="0" w:color="000000"/>
              <w:bottom w:val="single" w:sz="6" w:space="0" w:color="000000"/>
              <w:right w:val="single" w:sz="6" w:space="0" w:color="000000"/>
            </w:tcBorders>
            <w:vAlign w:val="center"/>
          </w:tcPr>
          <w:p w14:paraId="000002E6" w14:textId="77777777" w:rsidR="0041056C" w:rsidRPr="00050F51" w:rsidRDefault="00000000">
            <w:pPr>
              <w:jc w:val="both"/>
              <w:rPr>
                <w:sz w:val="17"/>
                <w:szCs w:val="17"/>
              </w:rPr>
            </w:pPr>
            <w:r w:rsidRPr="00050F51">
              <w:rPr>
                <w:rFonts w:ascii="Arial" w:eastAsia="Arial" w:hAnsi="Arial" w:cs="Arial"/>
                <w:sz w:val="17"/>
                <w:szCs w:val="17"/>
              </w:rPr>
              <w:t>30 years</w:t>
            </w:r>
          </w:p>
        </w:tc>
      </w:tr>
      <w:tr w:rsidR="0041056C" w:rsidRPr="00050F51" w14:paraId="4BA8D7BB" w14:textId="77777777">
        <w:tc>
          <w:tcPr>
            <w:tcW w:w="3502" w:type="dxa"/>
            <w:tcBorders>
              <w:top w:val="single" w:sz="6" w:space="0" w:color="000000"/>
              <w:left w:val="single" w:sz="6" w:space="0" w:color="000000"/>
              <w:bottom w:val="single" w:sz="6" w:space="0" w:color="000000"/>
              <w:right w:val="single" w:sz="6" w:space="0" w:color="000000"/>
            </w:tcBorders>
            <w:vAlign w:val="center"/>
          </w:tcPr>
          <w:p w14:paraId="000002E7" w14:textId="77777777" w:rsidR="0041056C" w:rsidRPr="00050F51" w:rsidRDefault="00000000">
            <w:pPr>
              <w:jc w:val="both"/>
              <w:rPr>
                <w:sz w:val="17"/>
                <w:szCs w:val="17"/>
              </w:rPr>
            </w:pPr>
            <w:r w:rsidRPr="00050F51">
              <w:rPr>
                <w:rFonts w:ascii="Arial" w:eastAsia="Arial" w:hAnsi="Arial" w:cs="Arial"/>
                <w:sz w:val="17"/>
                <w:szCs w:val="17"/>
              </w:rPr>
              <w:t>Pay-as-you-go proportion of capital costs</w:t>
            </w:r>
          </w:p>
        </w:tc>
        <w:tc>
          <w:tcPr>
            <w:tcW w:w="900" w:type="dxa"/>
            <w:tcBorders>
              <w:top w:val="single" w:sz="6" w:space="0" w:color="000000"/>
              <w:left w:val="single" w:sz="6" w:space="0" w:color="000000"/>
              <w:bottom w:val="single" w:sz="6" w:space="0" w:color="000000"/>
              <w:right w:val="single" w:sz="6" w:space="0" w:color="000000"/>
            </w:tcBorders>
            <w:vAlign w:val="center"/>
          </w:tcPr>
          <w:p w14:paraId="000002E8" w14:textId="77777777" w:rsidR="0041056C" w:rsidRPr="00050F51" w:rsidRDefault="00000000">
            <w:pPr>
              <w:jc w:val="both"/>
              <w:rPr>
                <w:sz w:val="17"/>
                <w:szCs w:val="17"/>
              </w:rPr>
            </w:pPr>
            <w:r w:rsidRPr="00050F51">
              <w:rPr>
                <w:rFonts w:ascii="Arial" w:eastAsia="Arial" w:hAnsi="Arial" w:cs="Arial"/>
                <w:sz w:val="17"/>
                <w:szCs w:val="17"/>
              </w:rPr>
              <w:t>15%</w:t>
            </w:r>
          </w:p>
        </w:tc>
      </w:tr>
      <w:tr w:rsidR="0041056C" w:rsidRPr="00050F51" w14:paraId="27690377" w14:textId="77777777">
        <w:tc>
          <w:tcPr>
            <w:tcW w:w="3502" w:type="dxa"/>
            <w:tcBorders>
              <w:top w:val="single" w:sz="6" w:space="0" w:color="000000"/>
              <w:left w:val="single" w:sz="6" w:space="0" w:color="000000"/>
              <w:bottom w:val="single" w:sz="6" w:space="0" w:color="000000"/>
              <w:right w:val="single" w:sz="6" w:space="0" w:color="000000"/>
            </w:tcBorders>
            <w:vAlign w:val="center"/>
          </w:tcPr>
          <w:p w14:paraId="000002E9" w14:textId="77777777" w:rsidR="0041056C" w:rsidRPr="00050F51" w:rsidRDefault="00000000">
            <w:pPr>
              <w:jc w:val="both"/>
              <w:rPr>
                <w:sz w:val="17"/>
                <w:szCs w:val="17"/>
              </w:rPr>
            </w:pPr>
            <w:r w:rsidRPr="00050F51">
              <w:rPr>
                <w:rFonts w:ascii="Arial" w:eastAsia="Arial" w:hAnsi="Arial" w:cs="Arial"/>
                <w:sz w:val="17"/>
                <w:szCs w:val="17"/>
              </w:rPr>
              <w:t>Debt-financed proportion of capital costs</w:t>
            </w:r>
          </w:p>
        </w:tc>
        <w:tc>
          <w:tcPr>
            <w:tcW w:w="900" w:type="dxa"/>
            <w:tcBorders>
              <w:top w:val="single" w:sz="6" w:space="0" w:color="000000"/>
              <w:left w:val="single" w:sz="6" w:space="0" w:color="000000"/>
              <w:bottom w:val="single" w:sz="6" w:space="0" w:color="000000"/>
              <w:right w:val="single" w:sz="6" w:space="0" w:color="000000"/>
            </w:tcBorders>
            <w:vAlign w:val="center"/>
          </w:tcPr>
          <w:p w14:paraId="000002EA" w14:textId="77777777" w:rsidR="0041056C" w:rsidRPr="00050F51" w:rsidRDefault="00000000">
            <w:pPr>
              <w:jc w:val="both"/>
              <w:rPr>
                <w:sz w:val="17"/>
                <w:szCs w:val="17"/>
              </w:rPr>
            </w:pPr>
            <w:r w:rsidRPr="00050F51">
              <w:rPr>
                <w:rFonts w:ascii="Arial" w:eastAsia="Arial" w:hAnsi="Arial" w:cs="Arial"/>
                <w:sz w:val="17"/>
                <w:szCs w:val="17"/>
              </w:rPr>
              <w:t>85%</w:t>
            </w:r>
          </w:p>
        </w:tc>
      </w:tr>
    </w:tbl>
    <w:p w14:paraId="000002EB" w14:textId="77777777" w:rsidR="0041056C" w:rsidRPr="00050F51" w:rsidRDefault="0041056C">
      <w:pPr>
        <w:rPr>
          <w:rFonts w:ascii="Arial" w:eastAsia="Arial" w:hAnsi="Arial" w:cs="Arial"/>
          <w:sz w:val="20"/>
          <w:szCs w:val="20"/>
        </w:rPr>
      </w:pPr>
    </w:p>
    <w:p w14:paraId="000002EC" w14:textId="77777777" w:rsidR="0041056C" w:rsidRPr="00050F51" w:rsidRDefault="00000000">
      <w:pPr>
        <w:pBdr>
          <w:top w:val="nil"/>
          <w:left w:val="nil"/>
          <w:bottom w:val="nil"/>
          <w:right w:val="nil"/>
          <w:between w:val="nil"/>
        </w:pBdr>
        <w:rPr>
          <w:rFonts w:ascii="Arial" w:eastAsia="Arial" w:hAnsi="Arial" w:cs="Arial"/>
          <w:sz w:val="20"/>
          <w:szCs w:val="20"/>
        </w:rPr>
      </w:pPr>
      <w:r w:rsidRPr="00050F51">
        <w:rPr>
          <w:rFonts w:ascii="Arial" w:eastAsia="Arial" w:hAnsi="Arial" w:cs="Arial"/>
          <w:noProof/>
          <w:sz w:val="20"/>
          <w:szCs w:val="20"/>
        </w:rPr>
        <w:lastRenderedPageBreak/>
        <w:drawing>
          <wp:inline distT="114300" distB="114300" distL="114300" distR="114300" wp14:anchorId="3BF90291" wp14:editId="5AE43749">
            <wp:extent cx="5486400" cy="5753100"/>
            <wp:effectExtent l="0" t="0" r="0" b="0"/>
            <wp:docPr id="21216266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2"/>
                    <a:srcRect/>
                    <a:stretch>
                      <a:fillRect/>
                    </a:stretch>
                  </pic:blipFill>
                  <pic:spPr>
                    <a:xfrm>
                      <a:off x="0" y="0"/>
                      <a:ext cx="5486400" cy="5753100"/>
                    </a:xfrm>
                    <a:prstGeom prst="rect">
                      <a:avLst/>
                    </a:prstGeom>
                    <a:ln/>
                  </pic:spPr>
                </pic:pic>
              </a:graphicData>
            </a:graphic>
          </wp:inline>
        </w:drawing>
      </w:r>
    </w:p>
    <w:p w14:paraId="000002ED" w14:textId="77777777" w:rsidR="0041056C" w:rsidRPr="00050F51" w:rsidRDefault="00000000" w:rsidP="004E5254">
      <w:pPr>
        <w:pBdr>
          <w:top w:val="nil"/>
          <w:left w:val="nil"/>
          <w:bottom w:val="nil"/>
          <w:right w:val="nil"/>
          <w:between w:val="nil"/>
        </w:pBdr>
        <w:spacing w:after="120"/>
        <w:rPr>
          <w:rFonts w:ascii="Arial" w:eastAsia="Arial" w:hAnsi="Arial" w:cs="Arial"/>
          <w:sz w:val="20"/>
          <w:szCs w:val="20"/>
        </w:rPr>
      </w:pPr>
      <w:r w:rsidRPr="00050F51">
        <w:rPr>
          <w:rFonts w:ascii="Arial" w:eastAsia="Arial" w:hAnsi="Arial" w:cs="Arial"/>
          <w:b/>
          <w:bCs/>
          <w:sz w:val="20"/>
          <w:szCs w:val="20"/>
        </w:rPr>
        <w:t>Fig. S23.</w:t>
      </w:r>
      <w:r w:rsidRPr="00050F51">
        <w:rPr>
          <w:rFonts w:ascii="Arial" w:eastAsia="Arial" w:hAnsi="Arial" w:cs="Arial"/>
          <w:sz w:val="20"/>
          <w:szCs w:val="20"/>
        </w:rPr>
        <w:t xml:space="preserve"> Time series illustrating how a new infrastructure investment (a) adds revenue requirements, which then (b) increases water rates, and (c) impacts single-family water demands via the link between water price and price elasticity.</w:t>
      </w:r>
    </w:p>
    <w:p w14:paraId="7DC95D38" w14:textId="77777777" w:rsidR="00D54881" w:rsidRPr="00050F51" w:rsidRDefault="00D54881">
      <w:pPr>
        <w:pBdr>
          <w:top w:val="nil"/>
          <w:left w:val="nil"/>
          <w:bottom w:val="nil"/>
          <w:right w:val="nil"/>
          <w:between w:val="nil"/>
        </w:pBdr>
        <w:rPr>
          <w:rFonts w:ascii="Arial" w:eastAsia="Arial" w:hAnsi="Arial" w:cs="Arial"/>
          <w:color w:val="000000"/>
          <w:sz w:val="20"/>
          <w:szCs w:val="20"/>
        </w:rPr>
      </w:pPr>
    </w:p>
    <w:p w14:paraId="000002F2" w14:textId="77777777" w:rsidR="0041056C" w:rsidRPr="00050F51" w:rsidRDefault="00000000">
      <w:pPr>
        <w:pBdr>
          <w:top w:val="nil"/>
          <w:left w:val="nil"/>
          <w:bottom w:val="nil"/>
          <w:right w:val="nil"/>
          <w:between w:val="nil"/>
        </w:pBdr>
        <w:rPr>
          <w:rFonts w:ascii="Arial" w:eastAsia="Arial" w:hAnsi="Arial" w:cs="Arial"/>
          <w:b/>
          <w:bCs/>
          <w:color w:val="000000"/>
          <w:sz w:val="20"/>
          <w:szCs w:val="20"/>
        </w:rPr>
      </w:pPr>
      <w:r w:rsidRPr="00050F51">
        <w:rPr>
          <w:rFonts w:ascii="Arial" w:eastAsia="Arial" w:hAnsi="Arial" w:cs="Arial"/>
          <w:b/>
          <w:bCs/>
          <w:color w:val="000000"/>
          <w:sz w:val="20"/>
          <w:szCs w:val="20"/>
        </w:rPr>
        <w:t>SI References</w:t>
      </w:r>
    </w:p>
    <w:p w14:paraId="00000307" w14:textId="77777777" w:rsidR="0041056C" w:rsidRPr="00050F51" w:rsidRDefault="0041056C">
      <w:pPr>
        <w:rPr>
          <w:rFonts w:ascii="Arial" w:eastAsia="Arial" w:hAnsi="Arial" w:cs="Arial"/>
          <w:b/>
          <w:bCs/>
          <w:color w:val="000000"/>
          <w:sz w:val="20"/>
          <w:szCs w:val="20"/>
        </w:rPr>
      </w:pPr>
    </w:p>
    <w:p w14:paraId="1EE0A5F7"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rPr>
        <w:fldChar w:fldCharType="begin"/>
      </w:r>
      <w:r w:rsidRPr="00050F51">
        <w:rPr>
          <w:rFonts w:ascii="Arial" w:hAnsi="Arial" w:cs="Arial"/>
          <w:sz w:val="20"/>
          <w:szCs w:val="20"/>
        </w:rPr>
        <w:instrText xml:space="preserve"> ADDIN ZOTERO_BIBL {"uncited":[],"omitted":[],"custom":[]} CSL_BIBLIOGRAPHY </w:instrText>
      </w:r>
      <w:r w:rsidRPr="00050F51">
        <w:rPr>
          <w:rFonts w:ascii="Arial" w:hAnsi="Arial" w:cs="Arial"/>
          <w:sz w:val="20"/>
          <w:szCs w:val="20"/>
        </w:rPr>
        <w:fldChar w:fldCharType="separate"/>
      </w:r>
      <w:r w:rsidRPr="00050F51">
        <w:rPr>
          <w:rFonts w:ascii="Arial" w:hAnsi="Arial" w:cs="Arial"/>
          <w:sz w:val="20"/>
          <w:szCs w:val="20"/>
          <w:lang w:val="en-US"/>
        </w:rPr>
        <w:t>1.</w:t>
      </w:r>
      <w:r w:rsidRPr="00050F51">
        <w:rPr>
          <w:rFonts w:ascii="Arial" w:hAnsi="Arial" w:cs="Arial"/>
          <w:sz w:val="20"/>
          <w:szCs w:val="20"/>
          <w:lang w:val="en-US"/>
        </w:rPr>
        <w:tab/>
        <w:t>Maurer, E. P., Wood, A. W., Adam, J. C., Lettenmaier, D. P. &amp; Nijssen, B. A Long-Term Hydrologically Based Dataset of Land Surface Fluxes and States for the Conterminous United States. https://journals.ametsoc.org/view/journals/clim/15/22/1520-0442_2002_015_3237_althbd_2.0.co_2.xml (2002).</w:t>
      </w:r>
    </w:p>
    <w:p w14:paraId="2B4BC01C"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2.</w:t>
      </w:r>
      <w:r w:rsidRPr="00050F51">
        <w:rPr>
          <w:rFonts w:ascii="Arial" w:hAnsi="Arial" w:cs="Arial"/>
          <w:sz w:val="20"/>
          <w:szCs w:val="20"/>
          <w:lang w:val="en-US"/>
        </w:rPr>
        <w:tab/>
        <w:t xml:space="preserve">Hydrosystems Research Group. </w:t>
      </w:r>
      <w:r w:rsidRPr="00050F51">
        <w:rPr>
          <w:rFonts w:ascii="Arial" w:hAnsi="Arial" w:cs="Arial"/>
          <w:i/>
          <w:iCs/>
          <w:sz w:val="20"/>
          <w:szCs w:val="20"/>
          <w:lang w:val="en-US"/>
        </w:rPr>
        <w:t>Vulnerability Assessment and Adaptation Planning for Santa Cruz Water Department</w:t>
      </w:r>
      <w:r w:rsidRPr="00050F51">
        <w:rPr>
          <w:rFonts w:ascii="Arial" w:hAnsi="Arial" w:cs="Arial"/>
          <w:sz w:val="20"/>
          <w:szCs w:val="20"/>
          <w:lang w:val="en-US"/>
        </w:rPr>
        <w:t>. (2021).</w:t>
      </w:r>
    </w:p>
    <w:p w14:paraId="1415C1AC"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3.</w:t>
      </w:r>
      <w:r w:rsidRPr="00050F51">
        <w:rPr>
          <w:rFonts w:ascii="Arial" w:hAnsi="Arial" w:cs="Arial"/>
          <w:sz w:val="20"/>
          <w:szCs w:val="20"/>
          <w:lang w:val="en-US"/>
        </w:rPr>
        <w:tab/>
        <w:t xml:space="preserve">Steinschneider, S. &amp; Brown, C. A semiparametric multivariate, multisite weather generator with low-frequency variability for use in climate risk assessments. </w:t>
      </w:r>
      <w:r w:rsidRPr="00050F51">
        <w:rPr>
          <w:rFonts w:ascii="Arial" w:hAnsi="Arial" w:cs="Arial"/>
          <w:i/>
          <w:iCs/>
          <w:sz w:val="20"/>
          <w:szCs w:val="20"/>
          <w:lang w:val="en-US"/>
        </w:rPr>
        <w:t>Water Resources Research</w:t>
      </w:r>
      <w:r w:rsidRPr="00050F51">
        <w:rPr>
          <w:rFonts w:ascii="Arial" w:hAnsi="Arial" w:cs="Arial"/>
          <w:sz w:val="20"/>
          <w:szCs w:val="20"/>
          <w:lang w:val="en-US"/>
        </w:rPr>
        <w:t xml:space="preserve"> </w:t>
      </w:r>
      <w:r w:rsidRPr="00050F51">
        <w:rPr>
          <w:rFonts w:ascii="Arial" w:hAnsi="Arial" w:cs="Arial"/>
          <w:b/>
          <w:bCs/>
          <w:sz w:val="20"/>
          <w:szCs w:val="20"/>
          <w:lang w:val="en-US"/>
        </w:rPr>
        <w:t>49</w:t>
      </w:r>
      <w:r w:rsidRPr="00050F51">
        <w:rPr>
          <w:rFonts w:ascii="Arial" w:hAnsi="Arial" w:cs="Arial"/>
          <w:sz w:val="20"/>
          <w:szCs w:val="20"/>
          <w:lang w:val="en-US"/>
        </w:rPr>
        <w:t>, 7205–7220 (2013).</w:t>
      </w:r>
    </w:p>
    <w:p w14:paraId="21B3B29C"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lastRenderedPageBreak/>
        <w:t>4.</w:t>
      </w:r>
      <w:r w:rsidRPr="00050F51">
        <w:rPr>
          <w:rFonts w:ascii="Arial" w:hAnsi="Arial" w:cs="Arial"/>
          <w:sz w:val="20"/>
          <w:szCs w:val="20"/>
          <w:lang w:val="en-US"/>
        </w:rPr>
        <w:tab/>
        <w:t xml:space="preserve">Eyring, V. </w:t>
      </w:r>
      <w:r w:rsidRPr="00050F51">
        <w:rPr>
          <w:rFonts w:ascii="Arial" w:hAnsi="Arial" w:cs="Arial"/>
          <w:i/>
          <w:iCs/>
          <w:sz w:val="20"/>
          <w:szCs w:val="20"/>
          <w:lang w:val="en-US"/>
        </w:rPr>
        <w:t>et al.</w:t>
      </w:r>
      <w:r w:rsidRPr="00050F51">
        <w:rPr>
          <w:rFonts w:ascii="Arial" w:hAnsi="Arial" w:cs="Arial"/>
          <w:sz w:val="20"/>
          <w:szCs w:val="20"/>
          <w:lang w:val="en-US"/>
        </w:rPr>
        <w:t xml:space="preserve"> Overview of the Coupled Model Intercomparison Project Phase 6 (CMIP6) experimental design and organization. </w:t>
      </w:r>
      <w:r w:rsidRPr="00050F51">
        <w:rPr>
          <w:rFonts w:ascii="Arial" w:hAnsi="Arial" w:cs="Arial"/>
          <w:i/>
          <w:iCs/>
          <w:sz w:val="20"/>
          <w:szCs w:val="20"/>
          <w:lang w:val="en-US"/>
        </w:rPr>
        <w:t>Geoscientific Model Development</w:t>
      </w:r>
      <w:r w:rsidRPr="00050F51">
        <w:rPr>
          <w:rFonts w:ascii="Arial" w:hAnsi="Arial" w:cs="Arial"/>
          <w:sz w:val="20"/>
          <w:szCs w:val="20"/>
          <w:lang w:val="en-US"/>
        </w:rPr>
        <w:t xml:space="preserve"> </w:t>
      </w:r>
      <w:r w:rsidRPr="00050F51">
        <w:rPr>
          <w:rFonts w:ascii="Arial" w:hAnsi="Arial" w:cs="Arial"/>
          <w:b/>
          <w:bCs/>
          <w:sz w:val="20"/>
          <w:szCs w:val="20"/>
          <w:lang w:val="en-US"/>
        </w:rPr>
        <w:t>9</w:t>
      </w:r>
      <w:r w:rsidRPr="00050F51">
        <w:rPr>
          <w:rFonts w:ascii="Arial" w:hAnsi="Arial" w:cs="Arial"/>
          <w:sz w:val="20"/>
          <w:szCs w:val="20"/>
          <w:lang w:val="en-US"/>
        </w:rPr>
        <w:t>, 1937–1958 (2016).</w:t>
      </w:r>
    </w:p>
    <w:p w14:paraId="05D7DD52"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5.</w:t>
      </w:r>
      <w:r w:rsidRPr="00050F51">
        <w:rPr>
          <w:rFonts w:ascii="Arial" w:hAnsi="Arial" w:cs="Arial"/>
          <w:sz w:val="20"/>
          <w:szCs w:val="20"/>
          <w:lang w:val="en-US"/>
        </w:rPr>
        <w:tab/>
        <w:t>Cal-Adapt. https://cal-adapt.org/.</w:t>
      </w:r>
    </w:p>
    <w:p w14:paraId="455253AD"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6.</w:t>
      </w:r>
      <w:r w:rsidRPr="00050F51">
        <w:rPr>
          <w:rFonts w:ascii="Arial" w:hAnsi="Arial" w:cs="Arial"/>
          <w:sz w:val="20"/>
          <w:szCs w:val="20"/>
          <w:lang w:val="en-US"/>
        </w:rPr>
        <w:tab/>
        <w:t>Pierce, D. W., Cayan, D. R., Feldman, D. R. &amp; Risser, M. D. Future Increases in North American Extreme Precipitation in CMIP6 Downscaled with LOCA. https://doi.org/10.1175/JHM-D-22-0194.1 (2023) doi:10.1175/JHM-D-22-0194.1.</w:t>
      </w:r>
    </w:p>
    <w:p w14:paraId="0260F93B"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7.</w:t>
      </w:r>
      <w:r w:rsidRPr="00050F51">
        <w:rPr>
          <w:rFonts w:ascii="Arial" w:hAnsi="Arial" w:cs="Arial"/>
          <w:sz w:val="20"/>
          <w:szCs w:val="20"/>
          <w:lang w:val="en-US"/>
        </w:rPr>
        <w:tab/>
        <w:t xml:space="preserve">Hydrosystems Research Group. </w:t>
      </w:r>
      <w:r w:rsidRPr="00050F51">
        <w:rPr>
          <w:rFonts w:ascii="Arial" w:hAnsi="Arial" w:cs="Arial"/>
          <w:i/>
          <w:iCs/>
          <w:sz w:val="20"/>
          <w:szCs w:val="20"/>
          <w:lang w:val="en-US"/>
        </w:rPr>
        <w:t>Vulnerability Assessment and Adaptation Planning for Santa Cruz Water Department</w:t>
      </w:r>
      <w:r w:rsidRPr="00050F51">
        <w:rPr>
          <w:rFonts w:ascii="Arial" w:hAnsi="Arial" w:cs="Arial"/>
          <w:sz w:val="20"/>
          <w:szCs w:val="20"/>
          <w:lang w:val="en-US"/>
        </w:rPr>
        <w:t>. (2023).</w:t>
      </w:r>
    </w:p>
    <w:p w14:paraId="5D45F6B1"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8.</w:t>
      </w:r>
      <w:r w:rsidRPr="00050F51">
        <w:rPr>
          <w:rFonts w:ascii="Arial" w:hAnsi="Arial" w:cs="Arial"/>
          <w:sz w:val="20"/>
          <w:szCs w:val="20"/>
          <w:lang w:val="en-US"/>
        </w:rPr>
        <w:tab/>
        <w:t>United States Geological Survey. San Lorenzo R a Big Trees CA. (2024).</w:t>
      </w:r>
    </w:p>
    <w:p w14:paraId="6015CF39"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9.</w:t>
      </w:r>
      <w:r w:rsidRPr="00050F51">
        <w:rPr>
          <w:rFonts w:ascii="Arial" w:hAnsi="Arial" w:cs="Arial"/>
          <w:sz w:val="20"/>
          <w:szCs w:val="20"/>
          <w:lang w:val="en-US"/>
        </w:rPr>
        <w:tab/>
        <w:t xml:space="preserve">Saltelli, A. </w:t>
      </w:r>
      <w:r w:rsidRPr="00050F51">
        <w:rPr>
          <w:rFonts w:ascii="Arial" w:hAnsi="Arial" w:cs="Arial"/>
          <w:i/>
          <w:iCs/>
          <w:sz w:val="20"/>
          <w:szCs w:val="20"/>
          <w:lang w:val="en-US"/>
        </w:rPr>
        <w:t>et al.</w:t>
      </w:r>
      <w:r w:rsidRPr="00050F51">
        <w:rPr>
          <w:rFonts w:ascii="Arial" w:hAnsi="Arial" w:cs="Arial"/>
          <w:sz w:val="20"/>
          <w:szCs w:val="20"/>
          <w:lang w:val="en-US"/>
        </w:rPr>
        <w:t xml:space="preserve"> </w:t>
      </w:r>
      <w:r w:rsidRPr="00050F51">
        <w:rPr>
          <w:rFonts w:ascii="Arial" w:hAnsi="Arial" w:cs="Arial"/>
          <w:i/>
          <w:iCs/>
          <w:sz w:val="20"/>
          <w:szCs w:val="20"/>
          <w:lang w:val="en-US"/>
        </w:rPr>
        <w:t>Global Sensitivity Analysis: The Primer</w:t>
      </w:r>
      <w:r w:rsidRPr="00050F51">
        <w:rPr>
          <w:rFonts w:ascii="Arial" w:hAnsi="Arial" w:cs="Arial"/>
          <w:sz w:val="20"/>
          <w:szCs w:val="20"/>
          <w:lang w:val="en-US"/>
        </w:rPr>
        <w:t>. (John Wiley &amp; Sons, 2008).</w:t>
      </w:r>
    </w:p>
    <w:p w14:paraId="3FBBB644"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10.</w:t>
      </w:r>
      <w:r w:rsidRPr="00050F51">
        <w:rPr>
          <w:rFonts w:ascii="Arial" w:hAnsi="Arial" w:cs="Arial"/>
          <w:sz w:val="20"/>
          <w:szCs w:val="20"/>
          <w:lang w:val="en-US"/>
        </w:rPr>
        <w:tab/>
        <w:t xml:space="preserve">Reed, P. M. </w:t>
      </w:r>
      <w:r w:rsidRPr="00050F51">
        <w:rPr>
          <w:rFonts w:ascii="Arial" w:hAnsi="Arial" w:cs="Arial"/>
          <w:i/>
          <w:iCs/>
          <w:sz w:val="20"/>
          <w:szCs w:val="20"/>
          <w:lang w:val="en-US"/>
        </w:rPr>
        <w:t>et al.</w:t>
      </w:r>
      <w:r w:rsidRPr="00050F51">
        <w:rPr>
          <w:rFonts w:ascii="Arial" w:hAnsi="Arial" w:cs="Arial"/>
          <w:sz w:val="20"/>
          <w:szCs w:val="20"/>
          <w:lang w:val="en-US"/>
        </w:rPr>
        <w:t xml:space="preserve"> </w:t>
      </w:r>
      <w:r w:rsidRPr="00050F51">
        <w:rPr>
          <w:rFonts w:ascii="Arial" w:hAnsi="Arial" w:cs="Arial"/>
          <w:i/>
          <w:iCs/>
          <w:sz w:val="20"/>
          <w:szCs w:val="20"/>
          <w:lang w:val="en-US"/>
        </w:rPr>
        <w:t>Addressing Uncertainty in MultiSector Dynamics Research — Addressing Uncertainty in MultiSector Dynamics Research Documentation</w:t>
      </w:r>
      <w:r w:rsidRPr="00050F51">
        <w:rPr>
          <w:rFonts w:ascii="Arial" w:hAnsi="Arial" w:cs="Arial"/>
          <w:sz w:val="20"/>
          <w:szCs w:val="20"/>
          <w:lang w:val="en-US"/>
        </w:rPr>
        <w:t>. (2022).</w:t>
      </w:r>
    </w:p>
    <w:p w14:paraId="1F4C3283"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11.</w:t>
      </w:r>
      <w:r w:rsidRPr="00050F51">
        <w:rPr>
          <w:rFonts w:ascii="Arial" w:hAnsi="Arial" w:cs="Arial"/>
          <w:sz w:val="20"/>
          <w:szCs w:val="20"/>
          <w:lang w:val="en-US"/>
        </w:rPr>
        <w:tab/>
        <w:t xml:space="preserve">Perez, S. E. </w:t>
      </w:r>
      <w:r w:rsidRPr="00050F51">
        <w:rPr>
          <w:rFonts w:ascii="Arial" w:hAnsi="Arial" w:cs="Arial"/>
          <w:i/>
          <w:iCs/>
          <w:sz w:val="20"/>
          <w:szCs w:val="20"/>
          <w:lang w:val="en-US"/>
        </w:rPr>
        <w:t>2020 Urban Water Management Plan</w:t>
      </w:r>
      <w:r w:rsidRPr="00050F51">
        <w:rPr>
          <w:rFonts w:ascii="Arial" w:hAnsi="Arial" w:cs="Arial"/>
          <w:sz w:val="20"/>
          <w:szCs w:val="20"/>
          <w:lang w:val="en-US"/>
        </w:rPr>
        <w:t>. https://www.cityofsantacruz.com/home/showpublisheddocument/87122/637739611535800000 (2021).</w:t>
      </w:r>
    </w:p>
    <w:p w14:paraId="493A7CF8"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12.</w:t>
      </w:r>
      <w:r w:rsidRPr="00050F51">
        <w:rPr>
          <w:rFonts w:ascii="Arial" w:hAnsi="Arial" w:cs="Arial"/>
          <w:sz w:val="20"/>
          <w:szCs w:val="20"/>
          <w:lang w:val="en-US"/>
        </w:rPr>
        <w:tab/>
        <w:t xml:space="preserve">Sebri, M. A meta-analysis of residential water demand studies. </w:t>
      </w:r>
      <w:r w:rsidRPr="00050F51">
        <w:rPr>
          <w:rFonts w:ascii="Arial" w:hAnsi="Arial" w:cs="Arial"/>
          <w:i/>
          <w:iCs/>
          <w:sz w:val="20"/>
          <w:szCs w:val="20"/>
          <w:lang w:val="en-US"/>
        </w:rPr>
        <w:t>Environ Dev Sustain</w:t>
      </w:r>
      <w:r w:rsidRPr="00050F51">
        <w:rPr>
          <w:rFonts w:ascii="Arial" w:hAnsi="Arial" w:cs="Arial"/>
          <w:sz w:val="20"/>
          <w:szCs w:val="20"/>
          <w:lang w:val="en-US"/>
        </w:rPr>
        <w:t xml:space="preserve"> </w:t>
      </w:r>
      <w:r w:rsidRPr="00050F51">
        <w:rPr>
          <w:rFonts w:ascii="Arial" w:hAnsi="Arial" w:cs="Arial"/>
          <w:b/>
          <w:bCs/>
          <w:sz w:val="20"/>
          <w:szCs w:val="20"/>
          <w:lang w:val="en-US"/>
        </w:rPr>
        <w:t>16</w:t>
      </w:r>
      <w:r w:rsidRPr="00050F51">
        <w:rPr>
          <w:rFonts w:ascii="Arial" w:hAnsi="Arial" w:cs="Arial"/>
          <w:sz w:val="20"/>
          <w:szCs w:val="20"/>
          <w:lang w:val="en-US"/>
        </w:rPr>
        <w:t>, 499–520 (2014).</w:t>
      </w:r>
    </w:p>
    <w:p w14:paraId="63D90478"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13.</w:t>
      </w:r>
      <w:r w:rsidRPr="00050F51">
        <w:rPr>
          <w:rFonts w:ascii="Arial" w:hAnsi="Arial" w:cs="Arial"/>
          <w:sz w:val="20"/>
          <w:szCs w:val="20"/>
          <w:lang w:val="en-US"/>
        </w:rPr>
        <w:tab/>
        <w:t xml:space="preserve">Dalhuisen, J. M., Florax, R. J. G. M., Groot, H. L. F. de &amp; Nijkamp, P. Price and Income Elasticities of Residential Water Demand: A Meta-Analysis. </w:t>
      </w:r>
      <w:r w:rsidRPr="00050F51">
        <w:rPr>
          <w:rFonts w:ascii="Arial" w:hAnsi="Arial" w:cs="Arial"/>
          <w:i/>
          <w:iCs/>
          <w:sz w:val="20"/>
          <w:szCs w:val="20"/>
          <w:lang w:val="en-US"/>
        </w:rPr>
        <w:t>Land Economics</w:t>
      </w:r>
      <w:r w:rsidRPr="00050F51">
        <w:rPr>
          <w:rFonts w:ascii="Arial" w:hAnsi="Arial" w:cs="Arial"/>
          <w:sz w:val="20"/>
          <w:szCs w:val="20"/>
          <w:lang w:val="en-US"/>
        </w:rPr>
        <w:t xml:space="preserve"> </w:t>
      </w:r>
      <w:r w:rsidRPr="00050F51">
        <w:rPr>
          <w:rFonts w:ascii="Arial" w:hAnsi="Arial" w:cs="Arial"/>
          <w:b/>
          <w:bCs/>
          <w:sz w:val="20"/>
          <w:szCs w:val="20"/>
          <w:lang w:val="en-US"/>
        </w:rPr>
        <w:t>79</w:t>
      </w:r>
      <w:r w:rsidRPr="00050F51">
        <w:rPr>
          <w:rFonts w:ascii="Arial" w:hAnsi="Arial" w:cs="Arial"/>
          <w:sz w:val="20"/>
          <w:szCs w:val="20"/>
          <w:lang w:val="en-US"/>
        </w:rPr>
        <w:t>, 292–308 (2003).</w:t>
      </w:r>
    </w:p>
    <w:p w14:paraId="178D4949"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14.</w:t>
      </w:r>
      <w:r w:rsidRPr="00050F51">
        <w:rPr>
          <w:rFonts w:ascii="Arial" w:hAnsi="Arial" w:cs="Arial"/>
          <w:sz w:val="20"/>
          <w:szCs w:val="20"/>
          <w:lang w:val="en-US"/>
        </w:rPr>
        <w:tab/>
        <w:t xml:space="preserve">Wichman, C. J. The Economics of Equity and Affordability in Residential Water Pricing. </w:t>
      </w:r>
      <w:r w:rsidRPr="00050F51">
        <w:rPr>
          <w:rFonts w:ascii="Arial" w:hAnsi="Arial" w:cs="Arial"/>
          <w:i/>
          <w:iCs/>
          <w:sz w:val="20"/>
          <w:szCs w:val="20"/>
          <w:lang w:val="en-US"/>
        </w:rPr>
        <w:t>Water Econs. Policy</w:t>
      </w:r>
      <w:r w:rsidRPr="00050F51">
        <w:rPr>
          <w:rFonts w:ascii="Arial" w:hAnsi="Arial" w:cs="Arial"/>
          <w:sz w:val="20"/>
          <w:szCs w:val="20"/>
          <w:lang w:val="en-US"/>
        </w:rPr>
        <w:t xml:space="preserve"> </w:t>
      </w:r>
      <w:r w:rsidRPr="00050F51">
        <w:rPr>
          <w:rFonts w:ascii="Arial" w:hAnsi="Arial" w:cs="Arial"/>
          <w:b/>
          <w:bCs/>
          <w:sz w:val="20"/>
          <w:szCs w:val="20"/>
          <w:lang w:val="en-US"/>
        </w:rPr>
        <w:t>11</w:t>
      </w:r>
      <w:r w:rsidRPr="00050F51">
        <w:rPr>
          <w:rFonts w:ascii="Arial" w:hAnsi="Arial" w:cs="Arial"/>
          <w:sz w:val="20"/>
          <w:szCs w:val="20"/>
          <w:lang w:val="en-US"/>
        </w:rPr>
        <w:t>, 2530002 (2025).</w:t>
      </w:r>
    </w:p>
    <w:p w14:paraId="22413942"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15.</w:t>
      </w:r>
      <w:r w:rsidRPr="00050F51">
        <w:rPr>
          <w:rFonts w:ascii="Arial" w:hAnsi="Arial" w:cs="Arial"/>
          <w:sz w:val="20"/>
          <w:szCs w:val="20"/>
          <w:lang w:val="en-US"/>
        </w:rPr>
        <w:tab/>
        <w:t xml:space="preserve">Skerker, J. B., Verma, A., Edwards, M., Rachunok, B. &amp; Fletcher, S. Alternative household water affordability metrics using water bill delinquency behavior. </w:t>
      </w:r>
      <w:r w:rsidRPr="00050F51">
        <w:rPr>
          <w:rFonts w:ascii="Arial" w:hAnsi="Arial" w:cs="Arial"/>
          <w:i/>
          <w:iCs/>
          <w:sz w:val="20"/>
          <w:szCs w:val="20"/>
          <w:lang w:val="en-US"/>
        </w:rPr>
        <w:t>Environ. Res. Lett.</w:t>
      </w:r>
      <w:r w:rsidRPr="00050F51">
        <w:rPr>
          <w:rFonts w:ascii="Arial" w:hAnsi="Arial" w:cs="Arial"/>
          <w:sz w:val="20"/>
          <w:szCs w:val="20"/>
          <w:lang w:val="en-US"/>
        </w:rPr>
        <w:t xml:space="preserve"> </w:t>
      </w:r>
      <w:r w:rsidRPr="00050F51">
        <w:rPr>
          <w:rFonts w:ascii="Arial" w:hAnsi="Arial" w:cs="Arial"/>
          <w:b/>
          <w:bCs/>
          <w:sz w:val="20"/>
          <w:szCs w:val="20"/>
          <w:lang w:val="en-US"/>
        </w:rPr>
        <w:t>19</w:t>
      </w:r>
      <w:r w:rsidRPr="00050F51">
        <w:rPr>
          <w:rFonts w:ascii="Arial" w:hAnsi="Arial" w:cs="Arial"/>
          <w:sz w:val="20"/>
          <w:szCs w:val="20"/>
          <w:lang w:val="en-US"/>
        </w:rPr>
        <w:t>, 074036 (2024).</w:t>
      </w:r>
    </w:p>
    <w:p w14:paraId="3B3E543F"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16.</w:t>
      </w:r>
      <w:r w:rsidRPr="00050F51">
        <w:rPr>
          <w:rFonts w:ascii="Arial" w:hAnsi="Arial" w:cs="Arial"/>
          <w:sz w:val="20"/>
          <w:szCs w:val="20"/>
          <w:lang w:val="en-US"/>
        </w:rPr>
        <w:tab/>
        <w:t xml:space="preserve">Benjamin Rachunok &amp; Sarah Fletcher. Socio-hydrological drought impacts on urban water affordability. </w:t>
      </w:r>
      <w:r w:rsidRPr="00050F51">
        <w:rPr>
          <w:rFonts w:ascii="Arial" w:hAnsi="Arial" w:cs="Arial"/>
          <w:i/>
          <w:iCs/>
          <w:sz w:val="20"/>
          <w:szCs w:val="20"/>
          <w:lang w:val="en-US"/>
        </w:rPr>
        <w:t>Nature Water</w:t>
      </w:r>
      <w:r w:rsidRPr="00050F51">
        <w:rPr>
          <w:rFonts w:ascii="Arial" w:hAnsi="Arial" w:cs="Arial"/>
          <w:sz w:val="20"/>
          <w:szCs w:val="20"/>
          <w:lang w:val="en-US"/>
        </w:rPr>
        <w:t xml:space="preserve"> </w:t>
      </w:r>
      <w:r w:rsidRPr="00050F51">
        <w:rPr>
          <w:rFonts w:ascii="Arial" w:hAnsi="Arial" w:cs="Arial"/>
          <w:b/>
          <w:bCs/>
          <w:sz w:val="20"/>
          <w:szCs w:val="20"/>
          <w:lang w:val="en-US"/>
        </w:rPr>
        <w:t>1</w:t>
      </w:r>
      <w:r w:rsidRPr="00050F51">
        <w:rPr>
          <w:rFonts w:ascii="Arial" w:hAnsi="Arial" w:cs="Arial"/>
          <w:sz w:val="20"/>
          <w:szCs w:val="20"/>
          <w:lang w:val="en-US"/>
        </w:rPr>
        <w:t>, 83–94 (2023).</w:t>
      </w:r>
    </w:p>
    <w:p w14:paraId="6132C25C"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17.</w:t>
      </w:r>
      <w:r w:rsidRPr="00050F51">
        <w:rPr>
          <w:rFonts w:ascii="Arial" w:hAnsi="Arial" w:cs="Arial"/>
          <w:sz w:val="20"/>
          <w:szCs w:val="20"/>
          <w:lang w:val="en-US"/>
        </w:rPr>
        <w:tab/>
        <w:t xml:space="preserve">Kennedy Jenks &amp; Hydrosystems Research Group. </w:t>
      </w:r>
      <w:r w:rsidRPr="00050F51">
        <w:rPr>
          <w:rFonts w:ascii="Arial" w:hAnsi="Arial" w:cs="Arial"/>
          <w:i/>
          <w:iCs/>
          <w:sz w:val="20"/>
          <w:szCs w:val="20"/>
          <w:lang w:val="en-US"/>
        </w:rPr>
        <w:t>Water Supply Augmentation Implementation Plan</w:t>
      </w:r>
      <w:r w:rsidRPr="00050F51">
        <w:rPr>
          <w:rFonts w:ascii="Arial" w:hAnsi="Arial" w:cs="Arial"/>
          <w:sz w:val="20"/>
          <w:szCs w:val="20"/>
          <w:lang w:val="en-US"/>
        </w:rPr>
        <w:t>. (2025).</w:t>
      </w:r>
    </w:p>
    <w:p w14:paraId="73573C94"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18.</w:t>
      </w:r>
      <w:r w:rsidRPr="00050F51">
        <w:rPr>
          <w:rFonts w:ascii="Arial" w:hAnsi="Arial" w:cs="Arial"/>
          <w:sz w:val="20"/>
          <w:szCs w:val="20"/>
          <w:lang w:val="en-US"/>
        </w:rPr>
        <w:tab/>
        <w:t xml:space="preserve">Balance Hydrologics, Inc. </w:t>
      </w:r>
      <w:r w:rsidRPr="00050F51">
        <w:rPr>
          <w:rFonts w:ascii="Arial" w:hAnsi="Arial" w:cs="Arial"/>
          <w:i/>
          <w:iCs/>
          <w:sz w:val="20"/>
          <w:szCs w:val="20"/>
          <w:lang w:val="en-US"/>
        </w:rPr>
        <w:t>Appendix D-1 Baseflow Hydrology and Climate Change Affects Modeling</w:t>
      </w:r>
      <w:r w:rsidRPr="00050F51">
        <w:rPr>
          <w:rFonts w:ascii="Arial" w:hAnsi="Arial" w:cs="Arial"/>
          <w:sz w:val="20"/>
          <w:szCs w:val="20"/>
          <w:lang w:val="en-US"/>
        </w:rPr>
        <w:t>. https://www.cityofsantacruz.com/home/showpublisheddocument/86975/637731703715270000 (2020).</w:t>
      </w:r>
    </w:p>
    <w:p w14:paraId="74BBEEF3"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19.</w:t>
      </w:r>
      <w:r w:rsidRPr="00050F51">
        <w:rPr>
          <w:rFonts w:ascii="Arial" w:hAnsi="Arial" w:cs="Arial"/>
          <w:sz w:val="20"/>
          <w:szCs w:val="20"/>
          <w:lang w:val="en-US"/>
        </w:rPr>
        <w:tab/>
        <w:t xml:space="preserve">Elsner, M. M. </w:t>
      </w:r>
      <w:r w:rsidRPr="00050F51">
        <w:rPr>
          <w:rFonts w:ascii="Arial" w:hAnsi="Arial" w:cs="Arial"/>
          <w:i/>
          <w:iCs/>
          <w:sz w:val="20"/>
          <w:szCs w:val="20"/>
          <w:lang w:val="en-US"/>
        </w:rPr>
        <w:t>et al.</w:t>
      </w:r>
      <w:r w:rsidRPr="00050F51">
        <w:rPr>
          <w:rFonts w:ascii="Arial" w:hAnsi="Arial" w:cs="Arial"/>
          <w:sz w:val="20"/>
          <w:szCs w:val="20"/>
          <w:lang w:val="en-US"/>
        </w:rPr>
        <w:t xml:space="preserve"> Implications of 21st century climate change for the hydrology of Washington State. </w:t>
      </w:r>
      <w:r w:rsidRPr="00050F51">
        <w:rPr>
          <w:rFonts w:ascii="Arial" w:hAnsi="Arial" w:cs="Arial"/>
          <w:i/>
          <w:iCs/>
          <w:sz w:val="20"/>
          <w:szCs w:val="20"/>
          <w:lang w:val="en-US"/>
        </w:rPr>
        <w:t>Climatic Change</w:t>
      </w:r>
      <w:r w:rsidRPr="00050F51">
        <w:rPr>
          <w:rFonts w:ascii="Arial" w:hAnsi="Arial" w:cs="Arial"/>
          <w:sz w:val="20"/>
          <w:szCs w:val="20"/>
          <w:lang w:val="en-US"/>
        </w:rPr>
        <w:t xml:space="preserve"> </w:t>
      </w:r>
      <w:r w:rsidRPr="00050F51">
        <w:rPr>
          <w:rFonts w:ascii="Arial" w:hAnsi="Arial" w:cs="Arial"/>
          <w:b/>
          <w:bCs/>
          <w:sz w:val="20"/>
          <w:szCs w:val="20"/>
          <w:lang w:val="en-US"/>
        </w:rPr>
        <w:t>102</w:t>
      </w:r>
      <w:r w:rsidRPr="00050F51">
        <w:rPr>
          <w:rFonts w:ascii="Arial" w:hAnsi="Arial" w:cs="Arial"/>
          <w:sz w:val="20"/>
          <w:szCs w:val="20"/>
          <w:lang w:val="en-US"/>
        </w:rPr>
        <w:t>, 225–260 (2010).</w:t>
      </w:r>
    </w:p>
    <w:p w14:paraId="68CAE3C6"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20.</w:t>
      </w:r>
      <w:r w:rsidRPr="00050F51">
        <w:rPr>
          <w:rFonts w:ascii="Arial" w:hAnsi="Arial" w:cs="Arial"/>
          <w:sz w:val="20"/>
          <w:szCs w:val="20"/>
          <w:lang w:val="en-US"/>
        </w:rPr>
        <w:tab/>
        <w:t xml:space="preserve">Palmer, R. N. &amp; Characklis, G. W. Reducing the costs of meeting regional water demand through risk-based transfer agreements. </w:t>
      </w:r>
      <w:r w:rsidRPr="00050F51">
        <w:rPr>
          <w:rFonts w:ascii="Arial" w:hAnsi="Arial" w:cs="Arial"/>
          <w:i/>
          <w:iCs/>
          <w:sz w:val="20"/>
          <w:szCs w:val="20"/>
          <w:lang w:val="en-US"/>
        </w:rPr>
        <w:t>Journal of Environmental Management</w:t>
      </w:r>
      <w:r w:rsidRPr="00050F51">
        <w:rPr>
          <w:rFonts w:ascii="Arial" w:hAnsi="Arial" w:cs="Arial"/>
          <w:sz w:val="20"/>
          <w:szCs w:val="20"/>
          <w:lang w:val="en-US"/>
        </w:rPr>
        <w:t xml:space="preserve"> </w:t>
      </w:r>
      <w:r w:rsidRPr="00050F51">
        <w:rPr>
          <w:rFonts w:ascii="Arial" w:hAnsi="Arial" w:cs="Arial"/>
          <w:b/>
          <w:bCs/>
          <w:sz w:val="20"/>
          <w:szCs w:val="20"/>
          <w:lang w:val="en-US"/>
        </w:rPr>
        <w:t>90</w:t>
      </w:r>
      <w:r w:rsidRPr="00050F51">
        <w:rPr>
          <w:rFonts w:ascii="Arial" w:hAnsi="Arial" w:cs="Arial"/>
          <w:sz w:val="20"/>
          <w:szCs w:val="20"/>
          <w:lang w:val="en-US"/>
        </w:rPr>
        <w:t>, 1703–1714 (2009).</w:t>
      </w:r>
    </w:p>
    <w:p w14:paraId="4A911ABD"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21.</w:t>
      </w:r>
      <w:r w:rsidRPr="00050F51">
        <w:rPr>
          <w:rFonts w:ascii="Arial" w:hAnsi="Arial" w:cs="Arial"/>
          <w:sz w:val="20"/>
          <w:szCs w:val="20"/>
          <w:lang w:val="en-US"/>
        </w:rPr>
        <w:tab/>
        <w:t xml:space="preserve">Hadka, D. &amp; Reed, P. Borg: An Auto-Adaptive Many-Objective Evolutionary Computing Framework. </w:t>
      </w:r>
      <w:r w:rsidRPr="00050F51">
        <w:rPr>
          <w:rFonts w:ascii="Arial" w:hAnsi="Arial" w:cs="Arial"/>
          <w:i/>
          <w:iCs/>
          <w:sz w:val="20"/>
          <w:szCs w:val="20"/>
          <w:lang w:val="en-US"/>
        </w:rPr>
        <w:t>Evolutionary Computation</w:t>
      </w:r>
      <w:r w:rsidRPr="00050F51">
        <w:rPr>
          <w:rFonts w:ascii="Arial" w:hAnsi="Arial" w:cs="Arial"/>
          <w:sz w:val="20"/>
          <w:szCs w:val="20"/>
          <w:lang w:val="en-US"/>
        </w:rPr>
        <w:t xml:space="preserve"> </w:t>
      </w:r>
      <w:r w:rsidRPr="00050F51">
        <w:rPr>
          <w:rFonts w:ascii="Arial" w:hAnsi="Arial" w:cs="Arial"/>
          <w:b/>
          <w:bCs/>
          <w:sz w:val="20"/>
          <w:szCs w:val="20"/>
          <w:lang w:val="en-US"/>
        </w:rPr>
        <w:t>21</w:t>
      </w:r>
      <w:r w:rsidRPr="00050F51">
        <w:rPr>
          <w:rFonts w:ascii="Arial" w:hAnsi="Arial" w:cs="Arial"/>
          <w:sz w:val="20"/>
          <w:szCs w:val="20"/>
          <w:lang w:val="en-US"/>
        </w:rPr>
        <w:t>, 231–259 (2013).</w:t>
      </w:r>
    </w:p>
    <w:p w14:paraId="3BBBAF82"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22.</w:t>
      </w:r>
      <w:r w:rsidRPr="00050F51">
        <w:rPr>
          <w:rFonts w:ascii="Arial" w:hAnsi="Arial" w:cs="Arial"/>
          <w:sz w:val="20"/>
          <w:szCs w:val="20"/>
          <w:lang w:val="en-US"/>
        </w:rPr>
        <w:tab/>
        <w:t xml:space="preserve">Olmstead, S. M., Michael Hanemann, W. &amp; Stavins, R. N. Water demand under alternative price structures. </w:t>
      </w:r>
      <w:r w:rsidRPr="00050F51">
        <w:rPr>
          <w:rFonts w:ascii="Arial" w:hAnsi="Arial" w:cs="Arial"/>
          <w:i/>
          <w:iCs/>
          <w:sz w:val="20"/>
          <w:szCs w:val="20"/>
          <w:lang w:val="en-US"/>
        </w:rPr>
        <w:t>Journal of Environmental Economics and Management</w:t>
      </w:r>
      <w:r w:rsidRPr="00050F51">
        <w:rPr>
          <w:rFonts w:ascii="Arial" w:hAnsi="Arial" w:cs="Arial"/>
          <w:sz w:val="20"/>
          <w:szCs w:val="20"/>
          <w:lang w:val="en-US"/>
        </w:rPr>
        <w:t xml:space="preserve"> </w:t>
      </w:r>
      <w:r w:rsidRPr="00050F51">
        <w:rPr>
          <w:rFonts w:ascii="Arial" w:hAnsi="Arial" w:cs="Arial"/>
          <w:b/>
          <w:bCs/>
          <w:sz w:val="20"/>
          <w:szCs w:val="20"/>
          <w:lang w:val="en-US"/>
        </w:rPr>
        <w:t>54</w:t>
      </w:r>
      <w:r w:rsidRPr="00050F51">
        <w:rPr>
          <w:rFonts w:ascii="Arial" w:hAnsi="Arial" w:cs="Arial"/>
          <w:sz w:val="20"/>
          <w:szCs w:val="20"/>
          <w:lang w:val="en-US"/>
        </w:rPr>
        <w:t>, 181–198 (2007).</w:t>
      </w:r>
    </w:p>
    <w:p w14:paraId="2A48E8D1"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23.</w:t>
      </w:r>
      <w:r w:rsidRPr="00050F51">
        <w:rPr>
          <w:rFonts w:ascii="Arial" w:hAnsi="Arial" w:cs="Arial"/>
          <w:sz w:val="20"/>
          <w:szCs w:val="20"/>
          <w:lang w:val="en-US"/>
        </w:rPr>
        <w:tab/>
        <w:t xml:space="preserve">Klassert, C., Sigel, K., Klauer, B. &amp; Gawel, E. Increasing Block Tariffs in an Arid Developing Country: A Discrete/Continuous Choice Model of Residential Water Demand in Jordan. </w:t>
      </w:r>
      <w:r w:rsidRPr="00050F51">
        <w:rPr>
          <w:rFonts w:ascii="Arial" w:hAnsi="Arial" w:cs="Arial"/>
          <w:i/>
          <w:iCs/>
          <w:sz w:val="20"/>
          <w:szCs w:val="20"/>
          <w:lang w:val="en-US"/>
        </w:rPr>
        <w:t>Water</w:t>
      </w:r>
      <w:r w:rsidRPr="00050F51">
        <w:rPr>
          <w:rFonts w:ascii="Arial" w:hAnsi="Arial" w:cs="Arial"/>
          <w:sz w:val="20"/>
          <w:szCs w:val="20"/>
          <w:lang w:val="en-US"/>
        </w:rPr>
        <w:t xml:space="preserve"> </w:t>
      </w:r>
      <w:r w:rsidRPr="00050F51">
        <w:rPr>
          <w:rFonts w:ascii="Arial" w:hAnsi="Arial" w:cs="Arial"/>
          <w:b/>
          <w:bCs/>
          <w:sz w:val="20"/>
          <w:szCs w:val="20"/>
          <w:lang w:val="en-US"/>
        </w:rPr>
        <w:t>10</w:t>
      </w:r>
      <w:r w:rsidRPr="00050F51">
        <w:rPr>
          <w:rFonts w:ascii="Arial" w:hAnsi="Arial" w:cs="Arial"/>
          <w:sz w:val="20"/>
          <w:szCs w:val="20"/>
          <w:lang w:val="en-US"/>
        </w:rPr>
        <w:t>, 248 (2018).</w:t>
      </w:r>
    </w:p>
    <w:p w14:paraId="4A18648E"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24.</w:t>
      </w:r>
      <w:r w:rsidRPr="00050F51">
        <w:rPr>
          <w:rFonts w:ascii="Arial" w:hAnsi="Arial" w:cs="Arial"/>
          <w:sz w:val="20"/>
          <w:szCs w:val="20"/>
          <w:lang w:val="en-US"/>
        </w:rPr>
        <w:tab/>
        <w:t xml:space="preserve">Worthington, A. C. &amp; Hoffman, M. An Empirical Survey of Residential Water Demand Modelling. </w:t>
      </w:r>
      <w:r w:rsidRPr="00050F51">
        <w:rPr>
          <w:rFonts w:ascii="Arial" w:hAnsi="Arial" w:cs="Arial"/>
          <w:i/>
          <w:iCs/>
          <w:sz w:val="20"/>
          <w:szCs w:val="20"/>
          <w:lang w:val="en-US"/>
        </w:rPr>
        <w:t>Journal of Economic Surveys</w:t>
      </w:r>
      <w:r w:rsidRPr="00050F51">
        <w:rPr>
          <w:rFonts w:ascii="Arial" w:hAnsi="Arial" w:cs="Arial"/>
          <w:sz w:val="20"/>
          <w:szCs w:val="20"/>
          <w:lang w:val="en-US"/>
        </w:rPr>
        <w:t xml:space="preserve"> </w:t>
      </w:r>
      <w:r w:rsidRPr="00050F51">
        <w:rPr>
          <w:rFonts w:ascii="Arial" w:hAnsi="Arial" w:cs="Arial"/>
          <w:b/>
          <w:bCs/>
          <w:sz w:val="20"/>
          <w:szCs w:val="20"/>
          <w:lang w:val="en-US"/>
        </w:rPr>
        <w:t>22</w:t>
      </w:r>
      <w:r w:rsidRPr="00050F51">
        <w:rPr>
          <w:rFonts w:ascii="Arial" w:hAnsi="Arial" w:cs="Arial"/>
          <w:sz w:val="20"/>
          <w:szCs w:val="20"/>
          <w:lang w:val="en-US"/>
        </w:rPr>
        <w:t>, 842–871 (2008).</w:t>
      </w:r>
    </w:p>
    <w:p w14:paraId="24D67221"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25.</w:t>
      </w:r>
      <w:r w:rsidRPr="00050F51">
        <w:rPr>
          <w:rFonts w:ascii="Arial" w:hAnsi="Arial" w:cs="Arial"/>
          <w:sz w:val="20"/>
          <w:szCs w:val="20"/>
          <w:lang w:val="en-US"/>
        </w:rPr>
        <w:tab/>
        <w:t xml:space="preserve">Rodell, M. </w:t>
      </w:r>
      <w:r w:rsidRPr="00050F51">
        <w:rPr>
          <w:rFonts w:ascii="Arial" w:hAnsi="Arial" w:cs="Arial"/>
          <w:i/>
          <w:iCs/>
          <w:sz w:val="20"/>
          <w:szCs w:val="20"/>
          <w:lang w:val="en-US"/>
        </w:rPr>
        <w:t>et al.</w:t>
      </w:r>
      <w:r w:rsidRPr="00050F51">
        <w:rPr>
          <w:rFonts w:ascii="Arial" w:hAnsi="Arial" w:cs="Arial"/>
          <w:sz w:val="20"/>
          <w:szCs w:val="20"/>
          <w:lang w:val="en-US"/>
        </w:rPr>
        <w:t xml:space="preserve"> The Global Land Data Assimilation System in: Bulletin of the American Meteorological Society Volume 85 Issue 3 (2004). </w:t>
      </w:r>
      <w:r w:rsidRPr="00050F51">
        <w:rPr>
          <w:rFonts w:ascii="Arial" w:hAnsi="Arial" w:cs="Arial"/>
          <w:i/>
          <w:iCs/>
          <w:sz w:val="20"/>
          <w:szCs w:val="20"/>
          <w:lang w:val="en-US"/>
        </w:rPr>
        <w:t>Bulletin of the American Meteorological Society</w:t>
      </w:r>
      <w:r w:rsidRPr="00050F51">
        <w:rPr>
          <w:rFonts w:ascii="Arial" w:hAnsi="Arial" w:cs="Arial"/>
          <w:sz w:val="20"/>
          <w:szCs w:val="20"/>
          <w:lang w:val="en-US"/>
        </w:rPr>
        <w:t xml:space="preserve"> </w:t>
      </w:r>
      <w:r w:rsidRPr="00050F51">
        <w:rPr>
          <w:rFonts w:ascii="Arial" w:hAnsi="Arial" w:cs="Arial"/>
          <w:b/>
          <w:bCs/>
          <w:sz w:val="20"/>
          <w:szCs w:val="20"/>
          <w:lang w:val="en-US"/>
        </w:rPr>
        <w:t>85</w:t>
      </w:r>
      <w:r w:rsidRPr="00050F51">
        <w:rPr>
          <w:rFonts w:ascii="Arial" w:hAnsi="Arial" w:cs="Arial"/>
          <w:sz w:val="20"/>
          <w:szCs w:val="20"/>
          <w:lang w:val="en-US"/>
        </w:rPr>
        <w:t>, 381–394 (2004).</w:t>
      </w:r>
    </w:p>
    <w:p w14:paraId="51E52DF6"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26.</w:t>
      </w:r>
      <w:r w:rsidRPr="00050F51">
        <w:rPr>
          <w:rFonts w:ascii="Arial" w:hAnsi="Arial" w:cs="Arial"/>
          <w:sz w:val="20"/>
          <w:szCs w:val="20"/>
          <w:lang w:val="en-US"/>
        </w:rPr>
        <w:tab/>
        <w:t xml:space="preserve">California Public Utilities Commission. </w:t>
      </w:r>
      <w:r w:rsidRPr="00050F51">
        <w:rPr>
          <w:rFonts w:ascii="Arial" w:hAnsi="Arial" w:cs="Arial"/>
          <w:i/>
          <w:iCs/>
          <w:sz w:val="20"/>
          <w:szCs w:val="20"/>
          <w:lang w:val="en-US"/>
        </w:rPr>
        <w:t>2021/2022 Annual Affordability Report</w:t>
      </w:r>
      <w:r w:rsidRPr="00050F51">
        <w:rPr>
          <w:rFonts w:ascii="Arial" w:hAnsi="Arial" w:cs="Arial"/>
          <w:sz w:val="20"/>
          <w:szCs w:val="20"/>
          <w:lang w:val="en-US"/>
        </w:rPr>
        <w:t>. https://www.cpuc.ca.gov/-/media/cpuc-website/divisions/energy-division/documents/affordability-proceeding/2021-2022/2021-and-2022-annual-affordability-report.pdf (2023).</w:t>
      </w:r>
    </w:p>
    <w:p w14:paraId="60210544"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lastRenderedPageBreak/>
        <w:t>27.</w:t>
      </w:r>
      <w:r w:rsidRPr="00050F51">
        <w:rPr>
          <w:rFonts w:ascii="Arial" w:hAnsi="Arial" w:cs="Arial"/>
          <w:sz w:val="20"/>
          <w:szCs w:val="20"/>
          <w:lang w:val="en-US"/>
        </w:rPr>
        <w:tab/>
        <w:t xml:space="preserve">Azizi, K., Barnes, J. L., Anderies, J. M. &amp; Garcia, M. Equity implications of efficient water conservation programs. </w:t>
      </w:r>
      <w:r w:rsidRPr="00050F51">
        <w:rPr>
          <w:rFonts w:ascii="Arial" w:hAnsi="Arial" w:cs="Arial"/>
          <w:i/>
          <w:iCs/>
          <w:sz w:val="20"/>
          <w:szCs w:val="20"/>
          <w:lang w:val="en-US"/>
        </w:rPr>
        <w:t>Environ. Res. Lett.</w:t>
      </w:r>
      <w:r w:rsidRPr="00050F51">
        <w:rPr>
          <w:rFonts w:ascii="Arial" w:hAnsi="Arial" w:cs="Arial"/>
          <w:sz w:val="20"/>
          <w:szCs w:val="20"/>
          <w:lang w:val="en-US"/>
        </w:rPr>
        <w:t xml:space="preserve"> </w:t>
      </w:r>
      <w:r w:rsidRPr="00050F51">
        <w:rPr>
          <w:rFonts w:ascii="Arial" w:hAnsi="Arial" w:cs="Arial"/>
          <w:b/>
          <w:bCs/>
          <w:sz w:val="20"/>
          <w:szCs w:val="20"/>
          <w:lang w:val="en-US"/>
        </w:rPr>
        <w:t>19</w:t>
      </w:r>
      <w:r w:rsidRPr="00050F51">
        <w:rPr>
          <w:rFonts w:ascii="Arial" w:hAnsi="Arial" w:cs="Arial"/>
          <w:sz w:val="20"/>
          <w:szCs w:val="20"/>
          <w:lang w:val="en-US"/>
        </w:rPr>
        <w:t>, 094015 (2024).</w:t>
      </w:r>
    </w:p>
    <w:p w14:paraId="6DD3E5CE"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28.</w:t>
      </w:r>
      <w:r w:rsidRPr="00050F51">
        <w:rPr>
          <w:rFonts w:ascii="Arial" w:hAnsi="Arial" w:cs="Arial"/>
          <w:sz w:val="20"/>
          <w:szCs w:val="20"/>
          <w:lang w:val="en-US"/>
        </w:rPr>
        <w:tab/>
        <w:t xml:space="preserve">Menard, R. </w:t>
      </w:r>
      <w:r w:rsidRPr="00050F51">
        <w:rPr>
          <w:rFonts w:ascii="Arial" w:hAnsi="Arial" w:cs="Arial"/>
          <w:i/>
          <w:iCs/>
          <w:sz w:val="20"/>
          <w:szCs w:val="20"/>
          <w:lang w:val="en-US"/>
        </w:rPr>
        <w:t>Long Range Financial Plan (WT)</w:t>
      </w:r>
      <w:r w:rsidRPr="00050F51">
        <w:rPr>
          <w:rFonts w:ascii="Arial" w:hAnsi="Arial" w:cs="Arial"/>
          <w:sz w:val="20"/>
          <w:szCs w:val="20"/>
          <w:lang w:val="en-US"/>
        </w:rPr>
        <w:t>. (2016).</w:t>
      </w:r>
    </w:p>
    <w:p w14:paraId="75240373" w14:textId="77777777" w:rsidR="00FA370E" w:rsidRPr="00050F51" w:rsidRDefault="00FA370E" w:rsidP="00FA370E">
      <w:pPr>
        <w:pStyle w:val="Bibliography"/>
        <w:spacing w:line="240" w:lineRule="auto"/>
        <w:rPr>
          <w:rFonts w:ascii="Arial" w:hAnsi="Arial" w:cs="Arial"/>
          <w:sz w:val="20"/>
          <w:szCs w:val="20"/>
          <w:lang w:val="en-US"/>
        </w:rPr>
      </w:pPr>
      <w:r w:rsidRPr="00050F51">
        <w:rPr>
          <w:rFonts w:ascii="Arial" w:hAnsi="Arial" w:cs="Arial"/>
          <w:sz w:val="20"/>
          <w:szCs w:val="20"/>
          <w:lang w:val="en-US"/>
        </w:rPr>
        <w:t>29.</w:t>
      </w:r>
      <w:r w:rsidRPr="00050F51">
        <w:rPr>
          <w:rFonts w:ascii="Arial" w:hAnsi="Arial" w:cs="Arial"/>
          <w:sz w:val="20"/>
          <w:szCs w:val="20"/>
          <w:lang w:val="en-US"/>
        </w:rPr>
        <w:tab/>
        <w:t xml:space="preserve">Menard, R. </w:t>
      </w:r>
      <w:r w:rsidRPr="00050F51">
        <w:rPr>
          <w:rFonts w:ascii="Arial" w:hAnsi="Arial" w:cs="Arial"/>
          <w:i/>
          <w:iCs/>
          <w:sz w:val="20"/>
          <w:szCs w:val="20"/>
          <w:lang w:val="en-US"/>
        </w:rPr>
        <w:t>2021 Water Department Long-Range Financial Plan and Water Rate Schedule for FY 2023 to FY 2027 (WT)</w:t>
      </w:r>
      <w:r w:rsidRPr="00050F51">
        <w:rPr>
          <w:rFonts w:ascii="Arial" w:hAnsi="Arial" w:cs="Arial"/>
          <w:sz w:val="20"/>
          <w:szCs w:val="20"/>
          <w:lang w:val="en-US"/>
        </w:rPr>
        <w:t>. (2021).</w:t>
      </w:r>
    </w:p>
    <w:p w14:paraId="49D1C74C" w14:textId="01A5371C" w:rsidR="000E7DDB" w:rsidRDefault="00FA370E" w:rsidP="00FA370E">
      <w:r w:rsidRPr="00050F51">
        <w:rPr>
          <w:rFonts w:ascii="Arial" w:hAnsi="Arial" w:cs="Arial"/>
          <w:sz w:val="20"/>
          <w:szCs w:val="20"/>
        </w:rPr>
        <w:fldChar w:fldCharType="end"/>
      </w:r>
    </w:p>
    <w:sectPr w:rsidR="000E7DDB" w:rsidSect="004E5254">
      <w:headerReference w:type="default" r:id="rId33"/>
      <w:footerReference w:type="default" r:id="rId34"/>
      <w:pgSz w:w="12240" w:h="15840"/>
      <w:pgMar w:top="1440" w:right="1800" w:bottom="1440" w:left="180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6BEEB5" w14:textId="77777777" w:rsidR="00FB1A08" w:rsidRDefault="00FB1A08">
      <w:r>
        <w:separator/>
      </w:r>
    </w:p>
  </w:endnote>
  <w:endnote w:type="continuationSeparator" w:id="0">
    <w:p w14:paraId="0599A0D6" w14:textId="77777777" w:rsidR="00FB1A08" w:rsidRDefault="00FB1A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9AF8C01A-3F36-264B-A83F-B7B3B58BEB5A}"/>
    <w:embedBold r:id="rId2" w:fontKey="{1DD4CB6D-9F8F-0E42-9A53-CE91F71DD54F}"/>
    <w:embedItalic r:id="rId3" w:fontKey="{45C4DF84-F0F9-2642-B00A-F118D5BB1C7E}"/>
    <w:embedBoldItalic r:id="rId4" w:fontKey="{8F2D553C-6ED8-C345-AAE3-60D882657C09}"/>
  </w:font>
  <w:font w:name="Cambria">
    <w:panose1 w:val="02040503050406030204"/>
    <w:charset w:val="00"/>
    <w:family w:val="roman"/>
    <w:pitch w:val="variable"/>
    <w:sig w:usb0="E00006FF" w:usb1="420024FF" w:usb2="02000000" w:usb3="00000000" w:csb0="0000019F" w:csb1="00000000"/>
    <w:embedRegular r:id="rId5" w:fontKey="{A29B0AD1-79F9-BD40-B6BF-4EDABE5CA09E}"/>
    <w:embedBold r:id="rId6" w:fontKey="{8DA12144-884B-524C-BBE8-DAF712F0A4E6}"/>
    <w:embedBoldItalic r:id="rId7" w:fontKey="{6E04592C-2A92-6648-BFD6-D45A12D5DD96}"/>
  </w:font>
  <w:font w:name="Times">
    <w:panose1 w:val="00000500000000020000"/>
    <w:charset w:val="00"/>
    <w:family w:val="auto"/>
    <w:pitch w:val="default"/>
  </w:font>
  <w:font w:name="Calibri">
    <w:panose1 w:val="020F0502020204030204"/>
    <w:charset w:val="00"/>
    <w:family w:val="swiss"/>
    <w:pitch w:val="variable"/>
    <w:sig w:usb0="E4002EFF" w:usb1="C200247B" w:usb2="00000009" w:usb3="00000000" w:csb0="000001FF" w:csb1="00000000"/>
    <w:embedRegular r:id="rId9" w:fontKey="{2A9A90D6-C3D7-5C46-8777-B5F8E05B211E}"/>
    <w:embedBold r:id="rId10" w:fontKey="{DEC07BE4-200E-324B-99D3-C6DC6F8362BF}"/>
    <w:embedItalic r:id="rId11" w:fontKey="{AAFF4BEB-DB19-4B4D-80D1-964BC22AA6AC}"/>
    <w:embedBoldItalic r:id="rId12" w:fontKey="{12AC08CC-B1CF-6140-9F60-67FD7F1D6C1D}"/>
  </w:font>
  <w:font w:name="Tahoma">
    <w:panose1 w:val="020B0604030504040204"/>
    <w:charset w:val="00"/>
    <w:family w:val="swiss"/>
    <w:pitch w:val="variable"/>
    <w:sig w:usb0="E1002EFF" w:usb1="C000605B" w:usb2="00000029" w:usb3="00000000" w:csb0="000101FF" w:csb1="00000000"/>
    <w:embedRegular r:id="rId13" w:fontKey="{CDAF8A4D-432A-774A-AAFF-0051F653BB5E}"/>
  </w:font>
  <w:font w:name="Courier New">
    <w:panose1 w:val="02070309020205020404"/>
    <w:charset w:val="00"/>
    <w:family w:val="modern"/>
    <w:pitch w:val="fixed"/>
    <w:sig w:usb0="E0002EFF" w:usb1="C0007843" w:usb2="00000009" w:usb3="00000000" w:csb0="000001FF" w:csb1="00000000"/>
    <w:embedRegular r:id="rId14" w:fontKey="{4CA54569-9AD0-8441-A67F-51E2654F153C}"/>
  </w:font>
  <w:font w:name="Arial">
    <w:panose1 w:val="020B0604020202020204"/>
    <w:charset w:val="00"/>
    <w:family w:val="swiss"/>
    <w:pitch w:val="variable"/>
    <w:sig w:usb0="E0002EFF" w:usb1="C000785B" w:usb2="00000009" w:usb3="00000000" w:csb0="000001FF" w:csb1="00000000"/>
    <w:embedRegular r:id="rId15" w:fontKey="{C12DAE10-E8ED-6C44-9E05-48317C4E1AC6}"/>
    <w:embedBold r:id="rId16" w:fontKey="{A249AB19-C759-414D-98A3-455400F757A2}"/>
    <w:embedItalic r:id="rId17" w:fontKey="{CBBC5EC8-0E4C-944C-97CE-503FF88DAB6D}"/>
  </w:font>
  <w:font w:name="Cambria Math">
    <w:panose1 w:val="02040503050406030204"/>
    <w:charset w:val="00"/>
    <w:family w:val="roman"/>
    <w:pitch w:val="variable"/>
    <w:sig w:usb0="E00002FF" w:usb1="420024FF" w:usb2="00000000" w:usb3="00000000" w:csb0="0000019F" w:csb1="00000000"/>
    <w:embedRegular r:id="rId18" w:fontKey="{04BE8CB2-64B9-F844-9834-E705C70013E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30A" w14:textId="5552142B" w:rsidR="0041056C" w:rsidRPr="00E578C3" w:rsidRDefault="00000000">
    <w:pPr>
      <w:pBdr>
        <w:top w:val="nil"/>
        <w:left w:val="nil"/>
        <w:bottom w:val="nil"/>
        <w:right w:val="nil"/>
        <w:between w:val="nil"/>
      </w:pBdr>
      <w:tabs>
        <w:tab w:val="center" w:pos="4680"/>
        <w:tab w:val="right" w:pos="9360"/>
      </w:tabs>
      <w:jc w:val="right"/>
      <w:rPr>
        <w:rFonts w:ascii="Arial" w:hAnsi="Arial" w:cs="Arial"/>
        <w:color w:val="000000"/>
        <w:sz w:val="20"/>
        <w:szCs w:val="20"/>
      </w:rPr>
    </w:pPr>
    <w:r w:rsidRPr="00E578C3">
      <w:rPr>
        <w:rFonts w:ascii="Arial" w:hAnsi="Arial" w:cs="Arial"/>
        <w:color w:val="000000"/>
        <w:sz w:val="20"/>
        <w:szCs w:val="20"/>
      </w:rPr>
      <w:fldChar w:fldCharType="begin"/>
    </w:r>
    <w:r w:rsidRPr="00E578C3">
      <w:rPr>
        <w:rFonts w:ascii="Arial" w:hAnsi="Arial" w:cs="Arial"/>
        <w:color w:val="000000"/>
        <w:sz w:val="20"/>
        <w:szCs w:val="20"/>
      </w:rPr>
      <w:instrText>PAGE</w:instrText>
    </w:r>
    <w:r w:rsidRPr="00E578C3">
      <w:rPr>
        <w:rFonts w:ascii="Arial" w:hAnsi="Arial" w:cs="Arial"/>
        <w:color w:val="000000"/>
        <w:sz w:val="20"/>
        <w:szCs w:val="20"/>
      </w:rPr>
      <w:fldChar w:fldCharType="separate"/>
    </w:r>
    <w:r w:rsidR="001C3F79" w:rsidRPr="00E578C3">
      <w:rPr>
        <w:rFonts w:ascii="Arial" w:hAnsi="Arial" w:cs="Arial"/>
        <w:noProof/>
        <w:color w:val="000000"/>
        <w:sz w:val="20"/>
        <w:szCs w:val="20"/>
      </w:rPr>
      <w:t>1</w:t>
    </w:r>
    <w:r w:rsidRPr="00E578C3">
      <w:rPr>
        <w:rFonts w:ascii="Arial" w:hAnsi="Arial" w:cs="Arial"/>
        <w:color w:val="000000"/>
        <w:sz w:val="20"/>
        <w:szCs w:val="20"/>
      </w:rPr>
      <w:fldChar w:fldCharType="end"/>
    </w:r>
  </w:p>
  <w:p w14:paraId="0000030B" w14:textId="77777777" w:rsidR="0041056C" w:rsidRDefault="0041056C">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33599A" w14:textId="77777777" w:rsidR="00FB1A08" w:rsidRDefault="00FB1A08">
      <w:r>
        <w:separator/>
      </w:r>
    </w:p>
  </w:footnote>
  <w:footnote w:type="continuationSeparator" w:id="0">
    <w:p w14:paraId="0326C24A" w14:textId="77777777" w:rsidR="00FB1A08" w:rsidRDefault="00FB1A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308" w14:textId="77777777" w:rsidR="0041056C" w:rsidRDefault="0041056C">
    <w:pPr>
      <w:jc w:val="right"/>
      <w:rPr>
        <w:sz w:val="20"/>
        <w:szCs w:val="20"/>
      </w:rPr>
    </w:pPr>
  </w:p>
  <w:p w14:paraId="00000309" w14:textId="77777777" w:rsidR="0041056C" w:rsidRDefault="0041056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730644"/>
    <w:multiLevelType w:val="multilevel"/>
    <w:tmpl w:val="049ACC30"/>
    <w:lvl w:ilvl="0">
      <w:start w:val="1"/>
      <w:numFmt w:val="decimal"/>
      <w:pStyle w:val="ListBullet"/>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ECD47ED"/>
    <w:multiLevelType w:val="multilevel"/>
    <w:tmpl w:val="166EF398"/>
    <w:lvl w:ilvl="0">
      <w:start w:val="1"/>
      <w:numFmt w:val="decimal"/>
      <w:pStyle w:val="ListBullet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967932305">
    <w:abstractNumId w:val="0"/>
  </w:num>
  <w:num w:numId="2" w16cid:durableId="1646665636">
    <w:abstractNumId w:val="1"/>
  </w:num>
  <w:num w:numId="3" w16cid:durableId="187749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57679277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90309996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278351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421544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409423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13910948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4409049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1"/>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056C"/>
    <w:rsid w:val="00016438"/>
    <w:rsid w:val="0003113B"/>
    <w:rsid w:val="00050F51"/>
    <w:rsid w:val="00077D5B"/>
    <w:rsid w:val="000B3A50"/>
    <w:rsid w:val="000E7DDB"/>
    <w:rsid w:val="00164CCD"/>
    <w:rsid w:val="001B4E46"/>
    <w:rsid w:val="001C3F79"/>
    <w:rsid w:val="001D65D9"/>
    <w:rsid w:val="0022316E"/>
    <w:rsid w:val="002A3F71"/>
    <w:rsid w:val="002C68F2"/>
    <w:rsid w:val="0034345C"/>
    <w:rsid w:val="00355BB8"/>
    <w:rsid w:val="0041056C"/>
    <w:rsid w:val="00445A9A"/>
    <w:rsid w:val="00457D31"/>
    <w:rsid w:val="004E5254"/>
    <w:rsid w:val="00551C8A"/>
    <w:rsid w:val="00664F55"/>
    <w:rsid w:val="008414D5"/>
    <w:rsid w:val="008723AF"/>
    <w:rsid w:val="00926C6C"/>
    <w:rsid w:val="009535AA"/>
    <w:rsid w:val="00967318"/>
    <w:rsid w:val="009D34D8"/>
    <w:rsid w:val="00A941EC"/>
    <w:rsid w:val="00AD23CB"/>
    <w:rsid w:val="00B56F00"/>
    <w:rsid w:val="00D11DB3"/>
    <w:rsid w:val="00D54881"/>
    <w:rsid w:val="00E3741C"/>
    <w:rsid w:val="00E578C3"/>
    <w:rsid w:val="00ED0DA5"/>
    <w:rsid w:val="00ED1122"/>
    <w:rsid w:val="00ED280F"/>
    <w:rsid w:val="00FA370E"/>
    <w:rsid w:val="00FB1A08"/>
    <w:rsid w:val="00FF4C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0AEE230"/>
  <w15:docId w15:val="{4765FFC6-26BA-E644-AA64-A75B9D692F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spacing w:before="240" w:after="60"/>
      <w:outlineLvl w:val="0"/>
    </w:pPr>
    <w:rPr>
      <w:b/>
      <w:bCs/>
    </w:rPr>
  </w:style>
  <w:style w:type="paragraph" w:styleId="Heading2">
    <w:name w:val="heading 2"/>
    <w:basedOn w:val="Normal"/>
    <w:next w:val="Normal"/>
    <w:link w:val="Heading2Char"/>
    <w:uiPriority w:val="9"/>
    <w:semiHidden/>
    <w:unhideWhenUsed/>
    <w:qFormat/>
    <w:pPr>
      <w:keepNext/>
      <w:spacing w:before="240" w:after="60"/>
      <w:outlineLvl w:val="1"/>
    </w:pPr>
    <w:rPr>
      <w:rFonts w:ascii="Cambria" w:eastAsia="Cambria" w:hAnsi="Cambria" w:cs="Cambria"/>
      <w:b/>
      <w:bCs/>
      <w:i/>
      <w:iCs/>
      <w:sz w:val="28"/>
      <w:szCs w:val="28"/>
    </w:rPr>
  </w:style>
  <w:style w:type="paragraph" w:styleId="Heading3">
    <w:name w:val="heading 3"/>
    <w:basedOn w:val="Normal"/>
    <w:next w:val="Normal"/>
    <w:uiPriority w:val="9"/>
    <w:semiHidden/>
    <w:unhideWhenUsed/>
    <w:qFormat/>
    <w:pPr>
      <w:keepNext/>
      <w:spacing w:line="480" w:lineRule="auto"/>
      <w:outlineLvl w:val="2"/>
    </w:pPr>
    <w:rPr>
      <w:rFonts w:ascii="Times" w:eastAsia="Times" w:hAnsi="Times" w:cs="Times"/>
      <w:b/>
      <w:bCs/>
    </w:rPr>
  </w:style>
  <w:style w:type="paragraph" w:styleId="Heading4">
    <w:name w:val="heading 4"/>
    <w:basedOn w:val="Normal"/>
    <w:next w:val="Normal"/>
    <w:uiPriority w:val="9"/>
    <w:semiHidden/>
    <w:unhideWhenUsed/>
    <w:qFormat/>
    <w:pPr>
      <w:keepNext/>
      <w:spacing w:line="480" w:lineRule="auto"/>
      <w:outlineLvl w:val="3"/>
    </w:pPr>
    <w:rPr>
      <w:rFonts w:ascii="Times" w:eastAsia="Times" w:hAnsi="Times" w:cs="Times"/>
      <w:b/>
      <w:bCs/>
      <w:color w:val="0000FF"/>
      <w:sz w:val="44"/>
      <w:szCs w:val="44"/>
    </w:rPr>
  </w:style>
  <w:style w:type="paragraph" w:styleId="Heading5">
    <w:name w:val="heading 5"/>
    <w:basedOn w:val="Normal"/>
    <w:next w:val="Normal"/>
    <w:link w:val="Heading5Char"/>
    <w:uiPriority w:val="9"/>
    <w:semiHidden/>
    <w:unhideWhenUsed/>
    <w:qFormat/>
    <w:pPr>
      <w:spacing w:before="240" w:after="60"/>
      <w:outlineLvl w:val="4"/>
    </w:pPr>
    <w:rPr>
      <w:rFonts w:ascii="Calibri" w:eastAsia="Calibri" w:hAnsi="Calibri" w:cs="Calibri"/>
      <w:b/>
      <w:bCs/>
      <w:i/>
      <w:iCs/>
      <w:sz w:val="26"/>
      <w:szCs w:val="26"/>
    </w:rPr>
  </w:style>
  <w:style w:type="paragraph" w:styleId="Heading6">
    <w:name w:val="heading 6"/>
    <w:basedOn w:val="Normal"/>
    <w:next w:val="Normal"/>
    <w:link w:val="Heading6Char"/>
    <w:uiPriority w:val="9"/>
    <w:semiHidden/>
    <w:unhideWhenUsed/>
    <w:qFormat/>
    <w:pPr>
      <w:spacing w:before="240" w:after="60"/>
      <w:outlineLvl w:val="5"/>
    </w:pPr>
    <w:rPr>
      <w:rFonts w:ascii="Calibri" w:eastAsia="Calibri" w:hAnsi="Calibri" w:cs="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rPr>
  </w:style>
  <w:style w:type="paragraph" w:styleId="Heading8">
    <w:name w:val="heading 8"/>
    <w:basedOn w:val="Normal"/>
    <w:next w:val="Normal"/>
    <w:link w:val="Heading8Char"/>
    <w:semiHidden/>
    <w:qFormat/>
    <w:rsid w:val="007411A1"/>
    <w:pPr>
      <w:spacing w:before="240" w:after="60"/>
      <w:outlineLvl w:val="7"/>
    </w:pPr>
    <w:rPr>
      <w:rFonts w:ascii="Calibri" w:hAnsi="Calibri"/>
      <w:i/>
      <w:iCs/>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before="240" w:after="60"/>
      <w:jc w:val="center"/>
    </w:pPr>
    <w:rPr>
      <w:rFonts w:ascii="Cambria" w:eastAsia="Cambria" w:hAnsi="Cambria" w:cs="Cambria"/>
      <w:b/>
      <w:bCs/>
      <w:sz w:val="32"/>
      <w:szCs w:val="32"/>
    </w:rPr>
  </w:style>
  <w:style w:type="table" w:customStyle="1" w:styleId="TableNormal1">
    <w:name w:val="TableNormal"/>
    <w:tblPr>
      <w:tblCellMar>
        <w:top w:w="100" w:type="dxa"/>
        <w:left w:w="100" w:type="dxa"/>
        <w:bottom w:w="100" w:type="dxa"/>
        <w:right w:w="100" w:type="dxa"/>
      </w:tblCellMar>
    </w:tblPr>
  </w:style>
  <w:style w:type="character" w:styleId="PageNumber">
    <w:name w:val="page number"/>
    <w:basedOn w:val="DefaultParagraphFont"/>
    <w:semiHidden/>
    <w:rsid w:val="00477182"/>
  </w:style>
  <w:style w:type="character" w:customStyle="1" w:styleId="Heading1Char">
    <w:name w:val="Heading 1 Char"/>
    <w:basedOn w:val="DefaultParagraphFont"/>
    <w:link w:val="Heading1"/>
    <w:semiHidden/>
    <w:rsid w:val="00FF04E3"/>
    <w:rPr>
      <w:b/>
      <w:bCs/>
      <w:kern w:val="32"/>
      <w:sz w:val="24"/>
      <w:szCs w:val="24"/>
    </w:rPr>
  </w:style>
  <w:style w:type="character" w:customStyle="1" w:styleId="Heading2Char">
    <w:name w:val="Heading 2 Char"/>
    <w:basedOn w:val="DefaultParagraphFont"/>
    <w:link w:val="Heading2"/>
    <w:semiHidden/>
    <w:rsid w:val="00FF04E3"/>
    <w:rPr>
      <w:rFonts w:ascii="Cambria" w:hAnsi="Cambria"/>
      <w:b/>
      <w:bCs/>
      <w:i/>
      <w:iCs/>
      <w:sz w:val="28"/>
      <w:szCs w:val="28"/>
    </w:rPr>
  </w:style>
  <w:style w:type="character" w:customStyle="1" w:styleId="Heading5Char">
    <w:name w:val="Heading 5 Char"/>
    <w:basedOn w:val="DefaultParagraphFont"/>
    <w:link w:val="Heading5"/>
    <w:semiHidden/>
    <w:rsid w:val="00FF04E3"/>
    <w:rPr>
      <w:rFonts w:ascii="Calibri" w:hAnsi="Calibri"/>
      <w:b/>
      <w:bCs/>
      <w:i/>
      <w:iCs/>
      <w:sz w:val="26"/>
      <w:szCs w:val="26"/>
    </w:rPr>
  </w:style>
  <w:style w:type="character" w:customStyle="1" w:styleId="Heading6Char">
    <w:name w:val="Heading 6 Char"/>
    <w:basedOn w:val="DefaultParagraphFont"/>
    <w:link w:val="Heading6"/>
    <w:semiHidden/>
    <w:rsid w:val="00FF04E3"/>
    <w:rPr>
      <w:rFonts w:ascii="Calibri" w:hAnsi="Calibri"/>
      <w:b/>
      <w:bCs/>
      <w:sz w:val="22"/>
      <w:szCs w:val="22"/>
    </w:rPr>
  </w:style>
  <w:style w:type="character" w:customStyle="1" w:styleId="Heading7Char">
    <w:name w:val="Heading 7 Char"/>
    <w:basedOn w:val="DefaultParagraphFont"/>
    <w:link w:val="Heading7"/>
    <w:semiHidden/>
    <w:rsid w:val="00FF04E3"/>
    <w:rPr>
      <w:rFonts w:ascii="Calibri" w:hAnsi="Calibri"/>
      <w:sz w:val="24"/>
      <w:szCs w:val="24"/>
    </w:rPr>
  </w:style>
  <w:style w:type="character" w:customStyle="1" w:styleId="Heading8Char">
    <w:name w:val="Heading 8 Char"/>
    <w:basedOn w:val="DefaultParagraphFont"/>
    <w:link w:val="Heading8"/>
    <w:semiHidden/>
    <w:rsid w:val="00FF04E3"/>
    <w:rPr>
      <w:rFonts w:ascii="Calibri" w:hAnsi="Calibri"/>
      <w:i/>
      <w:iCs/>
      <w:sz w:val="24"/>
      <w:szCs w:val="24"/>
    </w:rPr>
  </w:style>
  <w:style w:type="character" w:customStyle="1" w:styleId="Heading9Char">
    <w:name w:val="Heading 9 Char"/>
    <w:basedOn w:val="DefaultParagraphFont"/>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basedOn w:val="DefaultParagraphFont"/>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pPr>
      <w:tabs>
        <w:tab w:val="left" w:pos="380"/>
      </w:tabs>
      <w:spacing w:line="480" w:lineRule="auto"/>
      <w:ind w:left="384" w:hanging="384"/>
    </w:pPr>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basedOn w:val="DefaultParagraphFont"/>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basedOn w:val="DefaultParagraphFont"/>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basedOn w:val="DefaultParagraphFont"/>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basedOn w:val="DefaultParagraphFont"/>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basedOn w:val="DefaultParagraphFont"/>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basedOn w:val="DefaultParagraphFont"/>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basedOn w:val="DefaultParagraphFont"/>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basedOn w:val="CommentText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basedOn w:val="DefaultParagraphFont"/>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basedOn w:val="DefaultParagraphFont"/>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basedOn w:val="DefaultParagraphFont"/>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basedOn w:val="DefaultParagraphFont"/>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basedOn w:val="DefaultParagraphFont"/>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basedOn w:val="DefaultParagraphFont"/>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basedOn w:val="DefaultParagraphFont"/>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tabs>
        <w:tab w:val="num" w:pos="720"/>
      </w:tabs>
      <w:ind w:left="720" w:hanging="720"/>
      <w:contextualSpacing/>
    </w:pPr>
  </w:style>
  <w:style w:type="paragraph" w:styleId="ListBullet4">
    <w:name w:val="List Bullet 4"/>
    <w:basedOn w:val="Normal"/>
    <w:semiHidden/>
    <w:rsid w:val="00405336"/>
    <w:pPr>
      <w:tabs>
        <w:tab w:val="num" w:pos="720"/>
      </w:tabs>
      <w:ind w:left="720" w:hanging="720"/>
      <w:contextualSpacing/>
    </w:pPr>
  </w:style>
  <w:style w:type="paragraph" w:styleId="ListBullet5">
    <w:name w:val="List Bullet 5"/>
    <w:basedOn w:val="Normal"/>
    <w:semiHidden/>
    <w:rsid w:val="00405336"/>
    <w:pPr>
      <w:tabs>
        <w:tab w:val="num" w:pos="720"/>
      </w:tabs>
      <w:ind w:left="720" w:hanging="720"/>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tabs>
        <w:tab w:val="num" w:pos="720"/>
      </w:tabs>
      <w:ind w:left="720" w:hanging="720"/>
      <w:contextualSpacing/>
    </w:pPr>
  </w:style>
  <w:style w:type="paragraph" w:styleId="ListNumber2">
    <w:name w:val="List Number 2"/>
    <w:basedOn w:val="Normal"/>
    <w:semiHidden/>
    <w:rsid w:val="00405336"/>
    <w:pPr>
      <w:tabs>
        <w:tab w:val="num" w:pos="720"/>
      </w:tabs>
      <w:ind w:left="720" w:hanging="720"/>
      <w:contextualSpacing/>
    </w:pPr>
  </w:style>
  <w:style w:type="paragraph" w:styleId="ListNumber3">
    <w:name w:val="List Number 3"/>
    <w:basedOn w:val="Normal"/>
    <w:semiHidden/>
    <w:rsid w:val="00405336"/>
    <w:pPr>
      <w:tabs>
        <w:tab w:val="num" w:pos="720"/>
      </w:tabs>
      <w:ind w:left="720" w:hanging="720"/>
      <w:contextualSpacing/>
    </w:pPr>
  </w:style>
  <w:style w:type="paragraph" w:styleId="ListNumber4">
    <w:name w:val="List Number 4"/>
    <w:basedOn w:val="Normal"/>
    <w:semiHidden/>
    <w:rsid w:val="00405336"/>
    <w:pPr>
      <w:tabs>
        <w:tab w:val="num" w:pos="720"/>
      </w:tabs>
      <w:ind w:left="720" w:hanging="720"/>
      <w:contextualSpacing/>
    </w:pPr>
  </w:style>
  <w:style w:type="paragraph" w:styleId="ListNumber5">
    <w:name w:val="List Number 5"/>
    <w:basedOn w:val="Normal"/>
    <w:semiHidden/>
    <w:rsid w:val="00405336"/>
    <w:pPr>
      <w:tabs>
        <w:tab w:val="num" w:pos="720"/>
      </w:tabs>
      <w:ind w:left="720" w:hanging="720"/>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rPr>
  </w:style>
  <w:style w:type="character" w:customStyle="1" w:styleId="MessageHeaderChar">
    <w:name w:val="Message Header Char"/>
    <w:basedOn w:val="DefaultParagraphFont"/>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style>
  <w:style w:type="paragraph" w:styleId="NormalWeb">
    <w:name w:val="Normal (Web)"/>
    <w:basedOn w:val="Normal"/>
    <w:uiPriority w:val="99"/>
    <w:semiHidden/>
    <w:rsid w:val="00405336"/>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basedOn w:val="DefaultParagraphFont"/>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basedOn w:val="DefaultParagraphFont"/>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basedOn w:val="DefaultParagraphFont"/>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basedOn w:val="DefaultParagraphFont"/>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basedOn w:val="DefaultParagraphFont"/>
    <w:link w:val="Signature"/>
    <w:semiHidden/>
    <w:rsid w:val="00FF04E3"/>
    <w:rPr>
      <w:sz w:val="24"/>
    </w:rPr>
  </w:style>
  <w:style w:type="character" w:customStyle="1" w:styleId="SubtitleChar">
    <w:name w:val="Subtitle Char"/>
    <w:basedOn w:val="DefaultParagraphFont"/>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character" w:customStyle="1" w:styleId="TitleChar">
    <w:name w:val="Title Char"/>
    <w:basedOn w:val="DefaultParagraphFont"/>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basedOn w:val="DefaultParagraphFont"/>
    <w:semiHidden/>
    <w:rsid w:val="007402FC"/>
    <w:rPr>
      <w:color w:val="0000FF"/>
      <w:u w:val="single"/>
    </w:rPr>
  </w:style>
  <w:style w:type="character" w:styleId="Emphasis">
    <w:name w:val="Emphasis"/>
    <w:basedOn w:val="DefaultParagraphFont"/>
    <w:uiPriority w:val="20"/>
    <w:qFormat/>
    <w:rsid w:val="00B42F9C"/>
    <w:rPr>
      <w:i/>
      <w:iCs/>
    </w:rPr>
  </w:style>
  <w:style w:type="character" w:styleId="CommentReference">
    <w:name w:val="annotation reference"/>
    <w:basedOn w:val="DefaultParagraphFont"/>
    <w:semiHidden/>
    <w:rsid w:val="009258B8"/>
    <w:rPr>
      <w:sz w:val="16"/>
      <w:szCs w:val="16"/>
    </w:rPr>
  </w:style>
  <w:style w:type="character" w:styleId="FollowedHyperlink">
    <w:name w:val="FollowedHyperlink"/>
    <w:basedOn w:val="DefaultParagraphFont"/>
    <w:semiHidden/>
    <w:unhideWhenUsed/>
    <w:rsid w:val="00611A19"/>
    <w:rPr>
      <w:color w:val="800080" w:themeColor="followedHyperlink"/>
      <w:u w:val="single"/>
    </w:rPr>
  </w:style>
  <w:style w:type="character" w:styleId="UnresolvedMention">
    <w:name w:val="Unresolved Mention"/>
    <w:basedOn w:val="DefaultParagraphFont"/>
    <w:uiPriority w:val="99"/>
    <w:semiHidden/>
    <w:unhideWhenUsed/>
    <w:rsid w:val="00707236"/>
    <w:rPr>
      <w:color w:val="605E5C"/>
      <w:shd w:val="clear" w:color="auto" w:fill="E1DFDD"/>
    </w:rPr>
  </w:style>
  <w:style w:type="character" w:customStyle="1" w:styleId="apple-tab-span">
    <w:name w:val="apple-tab-span"/>
    <w:basedOn w:val="DefaultParagraphFont"/>
    <w:rsid w:val="00B25D6E"/>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paragraph" w:styleId="Subtitle">
    <w:name w:val="Subtitle"/>
    <w:basedOn w:val="Normal"/>
    <w:next w:val="Normal"/>
    <w:link w:val="SubtitleChar"/>
    <w:uiPriority w:val="11"/>
    <w:qFormat/>
    <w:pPr>
      <w:spacing w:after="60"/>
      <w:jc w:val="center"/>
    </w:pPr>
    <w:rPr>
      <w:rFonts w:ascii="Cambria" w:eastAsia="Cambria" w:hAnsi="Cambria" w:cs="Cambria"/>
    </w:r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CellMar>
        <w:top w:w="15" w:type="dxa"/>
        <w:left w:w="15" w:type="dxa"/>
        <w:bottom w:w="15" w:type="dxa"/>
        <w:right w:w="15" w:type="dxa"/>
      </w:tblCellMar>
    </w:tblPr>
  </w:style>
  <w:style w:type="table" w:customStyle="1" w:styleId="ae">
    <w:basedOn w:val="TableNormal"/>
    <w:tblPr>
      <w:tblStyleRowBandSize w:val="1"/>
      <w:tblStyleColBandSize w:val="1"/>
      <w:tblCellMar>
        <w:top w:w="15" w:type="dxa"/>
        <w:left w:w="15" w:type="dxa"/>
        <w:bottom w:w="15" w:type="dxa"/>
        <w:right w:w="15" w:type="dxa"/>
      </w:tblCellMar>
    </w:tblPr>
  </w:style>
  <w:style w:type="table" w:customStyle="1" w:styleId="af">
    <w:basedOn w:val="TableNormal"/>
    <w:tblPr>
      <w:tblStyleRowBandSize w:val="1"/>
      <w:tblStyleColBandSize w:val="1"/>
      <w:tblCellMar>
        <w:top w:w="15" w:type="dxa"/>
        <w:left w:w="15" w:type="dxa"/>
        <w:bottom w:w="15" w:type="dxa"/>
        <w:right w:w="15" w:type="dxa"/>
      </w:tblCellMar>
    </w:tblPr>
  </w:style>
  <w:style w:type="table" w:customStyle="1" w:styleId="af0">
    <w:basedOn w:val="TableNormal"/>
    <w:tblPr>
      <w:tblStyleRowBandSize w:val="1"/>
      <w:tblStyleColBandSize w:val="1"/>
      <w:tblCellMar>
        <w:top w:w="15" w:type="dxa"/>
        <w:left w:w="15" w:type="dxa"/>
        <w:bottom w:w="15" w:type="dxa"/>
        <w:right w:w="15" w:type="dxa"/>
      </w:tblCellMar>
    </w:tblPr>
  </w:style>
  <w:style w:type="table" w:customStyle="1" w:styleId="af1">
    <w:basedOn w:val="TableNormal"/>
    <w:tblPr>
      <w:tblStyleRowBandSize w:val="1"/>
      <w:tblStyleColBandSize w:val="1"/>
      <w:tblCellMar>
        <w:top w:w="15" w:type="dxa"/>
        <w:left w:w="15" w:type="dxa"/>
        <w:bottom w:w="15" w:type="dxa"/>
        <w:right w:w="15" w:type="dxa"/>
      </w:tblCellMar>
    </w:tblPr>
  </w:style>
  <w:style w:type="table" w:customStyle="1" w:styleId="af2">
    <w:basedOn w:val="TableNormal"/>
    <w:tblPr>
      <w:tblStyleRowBandSize w:val="1"/>
      <w:tblStyleColBandSize w:val="1"/>
      <w:tblCellMar>
        <w:top w:w="15" w:type="dxa"/>
        <w:left w:w="15" w:type="dxa"/>
        <w:bottom w:w="15" w:type="dxa"/>
        <w:right w:w="15" w:type="dxa"/>
      </w:tblCellMar>
    </w:tblPr>
  </w:style>
  <w:style w:type="table" w:styleId="TableGrid">
    <w:name w:val="Table Grid"/>
    <w:basedOn w:val="TableNormal"/>
    <w:uiPriority w:val="39"/>
    <w:rsid w:val="00E578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SectionHeading">
    <w:name w:val="SI Section Heading"/>
    <w:basedOn w:val="NormalIndent"/>
    <w:qFormat/>
    <w:rsid w:val="00B56F00"/>
    <w:pPr>
      <w:spacing w:before="240" w:after="60"/>
      <w:ind w:left="0"/>
    </w:pPr>
    <w:rPr>
      <w:rFonts w:ascii="Arial" w:eastAsia="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jp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mailto:sfletcher@stanford.edu"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ntTable" Target="fontTable.xml"/><Relationship Id="rId8" Type="http://schemas.openxmlformats.org/officeDocument/2006/relationships/hyperlink" Target="about:blank"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jf+x9tdhFEPzBbGcOB1gdTcWCXA==">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155</TotalTime>
  <Pages>34</Pages>
  <Words>17584</Words>
  <Characters>100232</Characters>
  <Application>Microsoft Office Word</Application>
  <DocSecurity>0</DocSecurity>
  <Lines>835</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Brooks Hanson</dc:creator>
  <cp:lastModifiedBy>Jenny Beth Skerker</cp:lastModifiedBy>
  <cp:revision>15</cp:revision>
  <dcterms:created xsi:type="dcterms:W3CDTF">2025-04-11T03:19:00Z</dcterms:created>
  <dcterms:modified xsi:type="dcterms:W3CDTF">2026-02-08T22:28:00Z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zotero-version="7.0.32"&gt;&lt;session id="bViYFrXR"/&gt;&lt;style id="http://www.zotero.org/styles/nature" hasBibliography="1" bibliographyStyleHasBeenSet="1"/&gt;&lt;prefs&gt;&lt;pref name="fieldType" value="Field"/&gt;&lt;/prefs&gt;&lt;/data&gt;</vt:lpwstr>
  </property>
</Properties>
</file>