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5C5A7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</w:rPr>
      </w:pPr>
      <w:r w:rsidRPr="00D00081">
        <w:rPr>
          <w:rFonts w:ascii="Arial" w:hAnsi="Arial" w:cs="Arial"/>
          <w:b/>
          <w:bCs/>
          <w:i/>
          <w:iCs/>
          <w:noProof/>
          <w:sz w:val="24"/>
          <w14:ligatures w14:val="standardContextual"/>
        </w:rPr>
        <w:drawing>
          <wp:inline distT="0" distB="0" distL="0" distR="0" wp14:anchorId="4961E8EC" wp14:editId="07B9F3DE">
            <wp:extent cx="5835015" cy="5412509"/>
            <wp:effectExtent l="0" t="0" r="0" b="0"/>
            <wp:docPr id="488744747" name="Picture 1" descr="A close-up of a networ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744747" name="Picture 1" descr="A close-up of a network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015" cy="5412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C5377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  <w:r w:rsidRPr="00D00081">
        <w:rPr>
          <w:rFonts w:ascii="Arial" w:hAnsi="Arial" w:cs="Arial"/>
          <w:b/>
          <w:bCs/>
          <w:i/>
          <w:iCs/>
          <w:sz w:val="24"/>
        </w:rPr>
        <w:t xml:space="preserve"> </w:t>
      </w:r>
      <w:r w:rsidRPr="00D00081">
        <w:rPr>
          <w:rFonts w:ascii="Arial" w:hAnsi="Arial" w:cs="Arial"/>
          <w:b/>
          <w:bCs/>
          <w:sz w:val="24"/>
        </w:rPr>
        <w:t xml:space="preserve">Supplementary Figure 1. Protein–protein interaction (PPI) network of all DEGs. </w:t>
      </w:r>
      <w:r w:rsidRPr="00D00081">
        <w:rPr>
          <w:rFonts w:ascii="Arial" w:hAnsi="Arial" w:cs="Arial"/>
          <w:sz w:val="24"/>
        </w:rPr>
        <w:t>Data were exported from STRING (version 12) and visualized in Cytoscape. Blue nodes represent downregulated DEGs; red nodes represent upregulated DEGs.</w:t>
      </w:r>
    </w:p>
    <w:p w14:paraId="3C9AADC2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</w:p>
    <w:p w14:paraId="1508C7CB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</w:p>
    <w:p w14:paraId="0CE56D4C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</w:p>
    <w:p w14:paraId="589EB913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</w:p>
    <w:p w14:paraId="5C2EFE25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</w:rPr>
      </w:pPr>
    </w:p>
    <w:p w14:paraId="11D8AF08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sz w:val="24"/>
        </w:rPr>
      </w:pPr>
      <w:r w:rsidRPr="00D00081">
        <w:rPr>
          <w:rFonts w:ascii="Arial" w:hAnsi="Arial" w:cs="Arial"/>
          <w:b/>
          <w:bCs/>
          <w:noProof/>
          <w:sz w:val="24"/>
          <w14:ligatures w14:val="standardContextual"/>
        </w:rPr>
        <w:lastRenderedPageBreak/>
        <w:drawing>
          <wp:inline distT="0" distB="0" distL="0" distR="0" wp14:anchorId="201511CE" wp14:editId="03CD37DC">
            <wp:extent cx="5835015" cy="3398982"/>
            <wp:effectExtent l="0" t="0" r="0" b="5080"/>
            <wp:docPr id="1443135810" name="Picture 2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135810" name="Picture 2" descr="A close-up of a diagram&#10;&#10;AI-generated content may be incorrect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015" cy="3398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BF745D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  <w:lang w:val="en-US"/>
        </w:rPr>
      </w:pPr>
      <w:r w:rsidRPr="00D00081">
        <w:rPr>
          <w:rFonts w:ascii="Arial" w:hAnsi="Arial" w:cs="Arial"/>
          <w:b/>
          <w:bCs/>
          <w:sz w:val="24"/>
        </w:rPr>
        <w:t>Supplementary Figure 2.</w:t>
      </w:r>
      <w:r w:rsidRPr="00D00081">
        <w:rPr>
          <w:rFonts w:ascii="Arial" w:hAnsi="Arial" w:cs="Arial"/>
          <w:sz w:val="24"/>
        </w:rPr>
        <w:t xml:space="preserve"> </w:t>
      </w:r>
      <w:r w:rsidRPr="00D00081">
        <w:rPr>
          <w:rFonts w:ascii="Arial" w:hAnsi="Arial" w:cs="Arial"/>
          <w:b/>
          <w:bCs/>
          <w:sz w:val="24"/>
        </w:rPr>
        <w:t xml:space="preserve">Gene expression of TLRs and proinflammatory factors </w:t>
      </w:r>
      <w:r w:rsidRPr="00D00081">
        <w:rPr>
          <w:rFonts w:ascii="Arial" w:hAnsi="Arial" w:cs="Arial"/>
          <w:sz w:val="24"/>
        </w:rPr>
        <w:t>qPCR validation of TLRs and proinflammatory in a larger cohort (NSC n = 14, AIS n = 32-36). Data was analyzed using a two-tailed Mann–Whitney U test. Significance defined by *P&lt;0.05, **P&lt;0.01, ***P&lt;0.001. Figure layout was designed using the BioRender.com platform.</w:t>
      </w:r>
    </w:p>
    <w:p w14:paraId="0BDFDEF1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26787E26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778C2CED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57A477FB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5B9BCA00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02A13879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7E001E98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65A2A69A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sz w:val="24"/>
          <w:lang w:val="en-US"/>
        </w:rPr>
      </w:pPr>
    </w:p>
    <w:p w14:paraId="2BDE5CC1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b/>
          <w:bCs/>
          <w:i/>
          <w:iCs/>
          <w:noProof/>
          <w:sz w:val="24"/>
          <w:lang w:val="en-US"/>
          <w14:ligatures w14:val="standardContextual"/>
        </w:rPr>
      </w:pPr>
      <w:r>
        <w:rPr>
          <w:rFonts w:ascii="Arial" w:hAnsi="Arial" w:cs="Arial"/>
          <w:b/>
          <w:bCs/>
          <w:i/>
          <w:iCs/>
          <w:noProof/>
          <w:sz w:val="24"/>
          <w:lang w:val="en-US"/>
          <w14:ligatures w14:val="standardContextual"/>
        </w:rPr>
        <w:lastRenderedPageBreak/>
        <w:drawing>
          <wp:inline distT="0" distB="0" distL="0" distR="0" wp14:anchorId="5EE3EF68" wp14:editId="72E4ACD7">
            <wp:extent cx="5834718" cy="4117443"/>
            <wp:effectExtent l="0" t="0" r="0" b="0"/>
            <wp:docPr id="107885102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851023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015" cy="4117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9926CB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  <w:r w:rsidRPr="00D00081">
        <w:rPr>
          <w:rFonts w:ascii="Arial" w:hAnsi="Arial" w:cs="Arial"/>
          <w:b/>
          <w:bCs/>
          <w:sz w:val="24"/>
        </w:rPr>
        <w:t xml:space="preserve">Supplementary Figure 3. </w:t>
      </w:r>
      <w:r w:rsidRPr="00D00081">
        <w:rPr>
          <w:rFonts w:ascii="Arial" w:hAnsi="Arial" w:cs="Arial"/>
          <w:sz w:val="24"/>
        </w:rPr>
        <w:t xml:space="preserve">(A) Metabolic activity of osteoblasts in HA–Col1 3D culture comparing NSC and AIS groups throughout the mineralization period. (B) Quantification of Alizarin Red staining in </w:t>
      </w:r>
      <w:r>
        <w:rPr>
          <w:rFonts w:ascii="Arial" w:hAnsi="Arial" w:cs="Arial"/>
          <w:sz w:val="24"/>
        </w:rPr>
        <w:t xml:space="preserve">2D </w:t>
      </w:r>
      <w:r w:rsidRPr="00D00081">
        <w:rPr>
          <w:rFonts w:ascii="Arial" w:hAnsi="Arial" w:cs="Arial"/>
          <w:sz w:val="24"/>
        </w:rPr>
        <w:t xml:space="preserve">monolayer osteoblast cultures. Student’s </w:t>
      </w:r>
      <w:r w:rsidRPr="00D00081">
        <w:rPr>
          <w:rFonts w:ascii="Arial" w:hAnsi="Arial" w:cs="Arial"/>
          <w:i/>
          <w:iCs/>
          <w:sz w:val="24"/>
        </w:rPr>
        <w:t>t</w:t>
      </w:r>
      <w:r w:rsidRPr="00D00081">
        <w:rPr>
          <w:rFonts w:ascii="Arial" w:hAnsi="Arial" w:cs="Arial"/>
          <w:sz w:val="24"/>
        </w:rPr>
        <w:t>-test was used for statistical analysis. (C) Metabolic activity of osteoblasts in HA–Col1 3D culture comparing CTRL-CM, TLR2A-CM, and TLR4A-CM groups throughout the mineralization period.</w:t>
      </w:r>
    </w:p>
    <w:p w14:paraId="6A71E294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</w:p>
    <w:p w14:paraId="2E0E47BF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</w:p>
    <w:p w14:paraId="74E32727" w14:textId="77777777" w:rsidR="00B77D06" w:rsidRPr="00D00081" w:rsidRDefault="00B77D06" w:rsidP="00B77D06">
      <w:pPr>
        <w:spacing w:line="480" w:lineRule="auto"/>
        <w:jc w:val="both"/>
        <w:rPr>
          <w:rFonts w:ascii="Arial" w:hAnsi="Arial" w:cs="Arial"/>
          <w:sz w:val="24"/>
        </w:rPr>
      </w:pPr>
    </w:p>
    <w:p w14:paraId="2383C8C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D06"/>
    <w:rsid w:val="00143E6E"/>
    <w:rsid w:val="002978F5"/>
    <w:rsid w:val="003852CF"/>
    <w:rsid w:val="004E780C"/>
    <w:rsid w:val="00B77D0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B05AA"/>
  <w15:chartTrackingRefBased/>
  <w15:docId w15:val="{8F9C8AF4-9664-4715-AC29-268F7B1E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D06"/>
    <w:pPr>
      <w:spacing w:after="0" w:line="240" w:lineRule="auto"/>
    </w:pPr>
    <w:rPr>
      <w:rFonts w:ascii="Arial Unicode MS" w:eastAsia="Arial Unicode MS" w:hAnsi="Times New Roman" w:cs="Times New Roman"/>
      <w:kern w:val="0"/>
      <w:sz w:val="20"/>
      <w:lang w:val="en-CA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D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D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D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D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D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D0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D0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D0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D0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D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D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D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D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D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D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D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D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D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D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7D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D0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7D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D0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7D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D0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7D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D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D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D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</Words>
  <Characters>881</Characters>
  <Application>Microsoft Office Word</Application>
  <DocSecurity>0</DocSecurity>
  <Lines>15</Lines>
  <Paragraphs>3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2025-10-09T11:46:00Z</dcterms:created>
  <dcterms:modified xsi:type="dcterms:W3CDTF">2025-10-09T11:46:00Z</dcterms:modified>
</cp:coreProperties>
</file>