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934AC" w14:textId="77777777" w:rsidR="0063693C" w:rsidRDefault="0063693C" w:rsidP="0063693C">
      <w:pPr>
        <w:spacing w:line="276" w:lineRule="auto"/>
        <w:jc w:val="center"/>
        <w:rPr>
          <w:rFonts w:ascii="Times New Roman" w:hAnsi="Times New Roman" w:cs="Times New Roman"/>
          <w:b/>
          <w:bCs/>
          <w:sz w:val="24"/>
          <w:szCs w:val="24"/>
        </w:rPr>
      </w:pPr>
      <w:r w:rsidRPr="001E1F5D">
        <w:rPr>
          <w:rFonts w:ascii="Times New Roman" w:hAnsi="Times New Roman" w:cs="Times New Roman"/>
          <w:b/>
          <w:bCs/>
          <w:sz w:val="24"/>
          <w:szCs w:val="24"/>
        </w:rPr>
        <w:t>Cross-Equatorial Climate Linkages: Insights into Monsoon–Glaciation–Insolation Dynamics from Bakhira Lake Sediments</w:t>
      </w:r>
      <w:r>
        <w:rPr>
          <w:rFonts w:ascii="Times New Roman" w:hAnsi="Times New Roman" w:cs="Times New Roman"/>
          <w:b/>
          <w:bCs/>
          <w:sz w:val="24"/>
          <w:szCs w:val="24"/>
        </w:rPr>
        <w:t>, Ganga Plain, India</w:t>
      </w:r>
    </w:p>
    <w:p w14:paraId="35E816BB" w14:textId="072127A2" w:rsidR="00A8402B" w:rsidRPr="00CB214C" w:rsidRDefault="00A8402B" w:rsidP="00A8402B">
      <w:pPr>
        <w:pStyle w:val="Heading4"/>
        <w:shd w:val="clear" w:color="auto" w:fill="FFFFFF"/>
        <w:spacing w:before="75" w:after="75" w:line="360" w:lineRule="auto"/>
        <w:jc w:val="center"/>
        <w:rPr>
          <w:rFonts w:ascii="Times New Roman" w:hAnsi="Times New Roman" w:cs="Times New Roman"/>
          <w:i w:val="0"/>
          <w:color w:val="auto"/>
          <w:sz w:val="24"/>
          <w:szCs w:val="24"/>
        </w:rPr>
      </w:pPr>
      <w:r w:rsidRPr="00CB214C">
        <w:rPr>
          <w:rFonts w:ascii="Times New Roman" w:hAnsi="Times New Roman" w:cs="Times New Roman"/>
          <w:bCs/>
          <w:i w:val="0"/>
          <w:color w:val="auto"/>
          <w:sz w:val="24"/>
          <w:szCs w:val="24"/>
        </w:rPr>
        <w:t>Nazakat Ali</w:t>
      </w:r>
      <w:r w:rsidRPr="00CB214C">
        <w:rPr>
          <w:rFonts w:ascii="Times New Roman" w:hAnsi="Times New Roman" w:cs="Times New Roman"/>
          <w:bCs/>
          <w:i w:val="0"/>
          <w:color w:val="auto"/>
          <w:sz w:val="24"/>
          <w:szCs w:val="24"/>
          <w:vertAlign w:val="superscript"/>
        </w:rPr>
        <w:t>1,2</w:t>
      </w:r>
      <w:r w:rsidRPr="00CB214C">
        <w:rPr>
          <w:rFonts w:ascii="Times New Roman" w:hAnsi="Times New Roman" w:cs="Times New Roman"/>
          <w:bCs/>
          <w:i w:val="0"/>
          <w:color w:val="auto"/>
          <w:sz w:val="24"/>
          <w:szCs w:val="24"/>
        </w:rPr>
        <w:t>, Sajid Ali</w:t>
      </w:r>
      <w:r w:rsidRPr="00CB214C">
        <w:rPr>
          <w:rFonts w:ascii="Times New Roman" w:hAnsi="Times New Roman" w:cs="Times New Roman"/>
          <w:bCs/>
          <w:i w:val="0"/>
          <w:color w:val="auto"/>
          <w:sz w:val="24"/>
          <w:szCs w:val="24"/>
          <w:vertAlign w:val="superscript"/>
        </w:rPr>
        <w:t>3*</w:t>
      </w:r>
      <w:r w:rsidRPr="00CB214C">
        <w:rPr>
          <w:rFonts w:ascii="Times New Roman" w:hAnsi="Times New Roman" w:cs="Times New Roman"/>
          <w:bCs/>
          <w:i w:val="0"/>
          <w:color w:val="auto"/>
          <w:sz w:val="24"/>
          <w:szCs w:val="24"/>
        </w:rPr>
        <w:t xml:space="preserve">, </w:t>
      </w:r>
      <w:r w:rsidRPr="00CB214C">
        <w:rPr>
          <w:rFonts w:ascii="Times New Roman" w:hAnsi="Times New Roman" w:cs="Times New Roman"/>
          <w:i w:val="0"/>
          <w:color w:val="auto"/>
          <w:sz w:val="24"/>
          <w:szCs w:val="24"/>
        </w:rPr>
        <w:t>Anupam Sharma</w:t>
      </w:r>
      <w:r w:rsidRPr="00CB214C">
        <w:rPr>
          <w:rFonts w:ascii="Times New Roman" w:hAnsi="Times New Roman" w:cs="Times New Roman"/>
          <w:bCs/>
          <w:i w:val="0"/>
          <w:color w:val="auto"/>
          <w:sz w:val="24"/>
          <w:szCs w:val="24"/>
          <w:vertAlign w:val="superscript"/>
        </w:rPr>
        <w:t>1,2</w:t>
      </w:r>
      <w:r>
        <w:rPr>
          <w:rFonts w:ascii="Times New Roman" w:hAnsi="Times New Roman" w:cs="Times New Roman"/>
          <w:bCs/>
          <w:i w:val="0"/>
          <w:color w:val="auto"/>
          <w:sz w:val="24"/>
          <w:szCs w:val="24"/>
        </w:rPr>
        <w:t xml:space="preserve">, </w:t>
      </w:r>
      <w:r w:rsidRPr="00CB214C">
        <w:rPr>
          <w:rFonts w:ascii="Times New Roman" w:hAnsi="Times New Roman" w:cs="Times New Roman"/>
          <w:bCs/>
          <w:i w:val="0"/>
          <w:color w:val="auto"/>
          <w:sz w:val="24"/>
          <w:szCs w:val="24"/>
        </w:rPr>
        <w:t>Ali M Khan</w:t>
      </w:r>
      <w:r w:rsidRPr="00CB214C">
        <w:rPr>
          <w:rFonts w:ascii="Times New Roman" w:hAnsi="Times New Roman" w:cs="Times New Roman"/>
          <w:bCs/>
          <w:i w:val="0"/>
          <w:color w:val="auto"/>
          <w:sz w:val="24"/>
          <w:szCs w:val="24"/>
          <w:vertAlign w:val="superscript"/>
        </w:rPr>
        <w:t>4</w:t>
      </w:r>
      <w:r w:rsidRPr="00CB214C">
        <w:rPr>
          <w:rFonts w:ascii="Times New Roman" w:hAnsi="Times New Roman" w:cs="Times New Roman"/>
          <w:bCs/>
          <w:i w:val="0"/>
          <w:color w:val="auto"/>
          <w:sz w:val="24"/>
          <w:szCs w:val="24"/>
        </w:rPr>
        <w:t>, Shivansh Saxena</w:t>
      </w:r>
      <w:r w:rsidRPr="00CB214C">
        <w:rPr>
          <w:rFonts w:ascii="Times New Roman" w:hAnsi="Times New Roman" w:cs="Times New Roman"/>
          <w:bCs/>
          <w:i w:val="0"/>
          <w:color w:val="auto"/>
          <w:sz w:val="24"/>
          <w:szCs w:val="24"/>
          <w:vertAlign w:val="superscript"/>
        </w:rPr>
        <w:t>1,2</w:t>
      </w:r>
      <w:r w:rsidRPr="00CB214C">
        <w:rPr>
          <w:rFonts w:ascii="Times New Roman" w:hAnsi="Times New Roman" w:cs="Times New Roman"/>
          <w:bCs/>
          <w:i w:val="0"/>
          <w:color w:val="auto"/>
          <w:sz w:val="24"/>
          <w:szCs w:val="24"/>
        </w:rPr>
        <w:t>,</w:t>
      </w:r>
      <w:r w:rsidRPr="00CB214C">
        <w:rPr>
          <w:rFonts w:ascii="Times New Roman" w:hAnsi="Times New Roman" w:cs="Times New Roman"/>
          <w:i w:val="0"/>
          <w:color w:val="auto"/>
          <w:sz w:val="24"/>
          <w:szCs w:val="24"/>
        </w:rPr>
        <w:t xml:space="preserve"> Ishwar Chandra Rahi</w:t>
      </w:r>
      <w:r w:rsidRPr="00CB214C">
        <w:rPr>
          <w:rFonts w:ascii="Times New Roman" w:hAnsi="Times New Roman" w:cs="Times New Roman"/>
          <w:bCs/>
          <w:i w:val="0"/>
          <w:color w:val="auto"/>
          <w:sz w:val="24"/>
          <w:szCs w:val="24"/>
          <w:vertAlign w:val="superscript"/>
        </w:rPr>
        <w:t>1</w:t>
      </w:r>
      <w:r w:rsidRPr="00CB214C">
        <w:rPr>
          <w:rFonts w:ascii="Times New Roman" w:hAnsi="Times New Roman" w:cs="Times New Roman"/>
          <w:i w:val="0"/>
          <w:color w:val="auto"/>
          <w:sz w:val="24"/>
          <w:szCs w:val="24"/>
        </w:rPr>
        <w:t>, Rajveer Sharma</w:t>
      </w:r>
      <w:r w:rsidRPr="00CB214C">
        <w:rPr>
          <w:rFonts w:ascii="Times New Roman" w:hAnsi="Times New Roman" w:cs="Times New Roman"/>
          <w:i w:val="0"/>
          <w:color w:val="auto"/>
          <w:sz w:val="24"/>
          <w:szCs w:val="24"/>
          <w:vertAlign w:val="superscript"/>
        </w:rPr>
        <w:t>5</w:t>
      </w:r>
      <w:r w:rsidRPr="00CB214C">
        <w:rPr>
          <w:rFonts w:ascii="Times New Roman" w:hAnsi="Times New Roman" w:cs="Times New Roman"/>
          <w:i w:val="0"/>
          <w:color w:val="auto"/>
          <w:sz w:val="24"/>
          <w:szCs w:val="24"/>
        </w:rPr>
        <w:t>, Pankaj Kumar</w:t>
      </w:r>
      <w:r w:rsidRPr="00CB214C">
        <w:rPr>
          <w:rFonts w:ascii="Times New Roman" w:hAnsi="Times New Roman" w:cs="Times New Roman"/>
          <w:i w:val="0"/>
          <w:color w:val="auto"/>
          <w:sz w:val="24"/>
          <w:szCs w:val="24"/>
          <w:vertAlign w:val="superscript"/>
        </w:rPr>
        <w:t>5</w:t>
      </w:r>
      <w:r w:rsidR="000A6E3F">
        <w:rPr>
          <w:rFonts w:ascii="Times New Roman" w:hAnsi="Times New Roman" w:cs="Times New Roman"/>
          <w:i w:val="0"/>
          <w:color w:val="auto"/>
          <w:sz w:val="24"/>
          <w:szCs w:val="24"/>
        </w:rPr>
        <w:t xml:space="preserve">, </w:t>
      </w:r>
      <w:r w:rsidRPr="00CB214C">
        <w:rPr>
          <w:rFonts w:ascii="Times New Roman" w:hAnsi="Times New Roman" w:cs="Times New Roman"/>
          <w:i w:val="0"/>
          <w:color w:val="auto"/>
          <w:sz w:val="24"/>
          <w:szCs w:val="24"/>
        </w:rPr>
        <w:t xml:space="preserve"> P. S. Ranhotra</w:t>
      </w:r>
      <w:r w:rsidRPr="00CB214C">
        <w:rPr>
          <w:rFonts w:ascii="Times New Roman" w:hAnsi="Times New Roman" w:cs="Times New Roman"/>
          <w:bCs/>
          <w:i w:val="0"/>
          <w:color w:val="auto"/>
          <w:sz w:val="24"/>
          <w:szCs w:val="24"/>
          <w:vertAlign w:val="superscript"/>
        </w:rPr>
        <w:t>1,2</w:t>
      </w:r>
      <w:r w:rsidRPr="00CB214C">
        <w:rPr>
          <w:rFonts w:ascii="Times New Roman" w:hAnsi="Times New Roman" w:cs="Times New Roman"/>
          <w:i w:val="0"/>
          <w:color w:val="auto"/>
          <w:sz w:val="24"/>
          <w:szCs w:val="24"/>
        </w:rPr>
        <w:t>, Kamlesh Kumar</w:t>
      </w:r>
      <w:r w:rsidRPr="00CB214C">
        <w:rPr>
          <w:rFonts w:ascii="Times New Roman" w:hAnsi="Times New Roman" w:cs="Times New Roman"/>
          <w:bCs/>
          <w:i w:val="0"/>
          <w:color w:val="auto"/>
          <w:sz w:val="24"/>
          <w:szCs w:val="24"/>
          <w:vertAlign w:val="superscript"/>
        </w:rPr>
        <w:t>1,2</w:t>
      </w:r>
      <w:r w:rsidRPr="00CB214C">
        <w:rPr>
          <w:rFonts w:ascii="Times New Roman" w:hAnsi="Times New Roman" w:cs="Times New Roman"/>
          <w:i w:val="0"/>
          <w:color w:val="auto"/>
          <w:sz w:val="24"/>
          <w:szCs w:val="24"/>
        </w:rPr>
        <w:t>, Manoj M. C.</w:t>
      </w:r>
      <w:r w:rsidRPr="00CB214C">
        <w:rPr>
          <w:rFonts w:ascii="Times New Roman" w:hAnsi="Times New Roman" w:cs="Times New Roman"/>
          <w:bCs/>
          <w:i w:val="0"/>
          <w:color w:val="auto"/>
          <w:sz w:val="24"/>
          <w:szCs w:val="24"/>
          <w:vertAlign w:val="superscript"/>
        </w:rPr>
        <w:t>1,2</w:t>
      </w:r>
      <w:r w:rsidRPr="00CB214C">
        <w:rPr>
          <w:rFonts w:ascii="Times New Roman" w:hAnsi="Times New Roman" w:cs="Times New Roman"/>
          <w:i w:val="0"/>
          <w:color w:val="auto"/>
          <w:sz w:val="24"/>
          <w:szCs w:val="24"/>
        </w:rPr>
        <w:t xml:space="preserve">, </w:t>
      </w:r>
      <w:r w:rsidRPr="00CB214C">
        <w:rPr>
          <w:rFonts w:ascii="Times New Roman" w:hAnsi="Times New Roman" w:cs="Times New Roman"/>
          <w:bCs/>
          <w:i w:val="0"/>
          <w:color w:val="auto"/>
          <w:sz w:val="24"/>
          <w:szCs w:val="24"/>
        </w:rPr>
        <w:t>Biswajeet Thakur</w:t>
      </w:r>
      <w:r w:rsidRPr="00CB214C">
        <w:rPr>
          <w:rFonts w:ascii="Times New Roman" w:hAnsi="Times New Roman" w:cs="Times New Roman"/>
          <w:bCs/>
          <w:i w:val="0"/>
          <w:color w:val="auto"/>
          <w:sz w:val="24"/>
          <w:szCs w:val="24"/>
          <w:vertAlign w:val="superscript"/>
        </w:rPr>
        <w:t>1,2*</w:t>
      </w:r>
    </w:p>
    <w:p w14:paraId="4A0C43FE" w14:textId="77777777" w:rsidR="0063693C" w:rsidRDefault="0063693C" w:rsidP="00310B7B">
      <w:pPr>
        <w:spacing w:line="360" w:lineRule="auto"/>
        <w:jc w:val="both"/>
        <w:rPr>
          <w:rFonts w:ascii="Times New Roman" w:hAnsi="Times New Roman" w:cs="Times New Roman"/>
          <w:b/>
          <w:bCs/>
          <w:sz w:val="24"/>
          <w:szCs w:val="24"/>
        </w:rPr>
      </w:pPr>
    </w:p>
    <w:p w14:paraId="7A752661" w14:textId="77777777" w:rsidR="0063693C" w:rsidRDefault="0063693C" w:rsidP="00310B7B">
      <w:pPr>
        <w:spacing w:line="360" w:lineRule="auto"/>
        <w:jc w:val="both"/>
        <w:rPr>
          <w:rFonts w:ascii="Times New Roman" w:hAnsi="Times New Roman" w:cs="Times New Roman"/>
          <w:b/>
          <w:bCs/>
          <w:sz w:val="24"/>
          <w:szCs w:val="24"/>
        </w:rPr>
      </w:pPr>
    </w:p>
    <w:p w14:paraId="3A920624" w14:textId="16049D1E" w:rsidR="00BD268C" w:rsidRDefault="00BD268C" w:rsidP="00310B7B">
      <w:pPr>
        <w:spacing w:line="360" w:lineRule="auto"/>
        <w:jc w:val="both"/>
        <w:rPr>
          <w:rFonts w:ascii="Times New Roman" w:hAnsi="Times New Roman" w:cs="Times New Roman"/>
          <w:b/>
          <w:bCs/>
          <w:sz w:val="24"/>
          <w:szCs w:val="24"/>
        </w:rPr>
      </w:pPr>
      <w:r w:rsidRPr="00BD268C">
        <w:rPr>
          <w:rFonts w:ascii="Times New Roman" w:hAnsi="Times New Roman" w:cs="Times New Roman"/>
          <w:b/>
          <w:bCs/>
          <w:sz w:val="24"/>
          <w:szCs w:val="24"/>
        </w:rPr>
        <w:t>Supplementary Information</w:t>
      </w:r>
    </w:p>
    <w:p w14:paraId="0E925584" w14:textId="77777777" w:rsidR="00487F65" w:rsidRDefault="00487F65" w:rsidP="00487F65">
      <w:pPr>
        <w:spacing w:line="360" w:lineRule="auto"/>
        <w:jc w:val="both"/>
        <w:rPr>
          <w:rFonts w:ascii="Times New Roman" w:hAnsi="Times New Roman" w:cs="Times New Roman"/>
          <w:b/>
          <w:bCs/>
          <w:sz w:val="24"/>
          <w:szCs w:val="24"/>
        </w:rPr>
      </w:pPr>
      <w:r w:rsidRPr="00785740">
        <w:rPr>
          <w:rFonts w:ascii="Times New Roman" w:hAnsi="Times New Roman" w:cs="Times New Roman"/>
          <w:b/>
          <w:bCs/>
          <w:sz w:val="24"/>
          <w:szCs w:val="24"/>
        </w:rPr>
        <w:t>Materials and Methods</w:t>
      </w:r>
    </w:p>
    <w:p w14:paraId="5CC2971C" w14:textId="593D61F0" w:rsidR="00310B7B" w:rsidRDefault="00310B7B" w:rsidP="00310B7B">
      <w:pPr>
        <w:spacing w:line="360" w:lineRule="auto"/>
        <w:jc w:val="both"/>
        <w:rPr>
          <w:rFonts w:ascii="Times New Roman" w:hAnsi="Times New Roman" w:cs="Times New Roman"/>
          <w:sz w:val="24"/>
          <w:szCs w:val="24"/>
        </w:rPr>
      </w:pPr>
      <w:r w:rsidRPr="00785740">
        <w:rPr>
          <w:rFonts w:ascii="Times New Roman" w:hAnsi="Times New Roman" w:cs="Times New Roman"/>
          <w:sz w:val="24"/>
          <w:szCs w:val="24"/>
        </w:rPr>
        <w:t>The Ganga Plain is bordered by the Himalayan foothills to the north and the Peninsular Indian plateau to the south, with its width expanding toward the west and narrowing toward the east. The Ganga River originates from the Gomukh glacier in Uttarakhand, situated at an elevation of approximately 6.4 km above mean sea level (</w:t>
      </w:r>
      <w:r w:rsidR="00BD268C" w:rsidRPr="00BD268C">
        <w:rPr>
          <w:rFonts w:ascii="Times New Roman" w:hAnsi="Times New Roman" w:cs="Times New Roman"/>
          <w:color w:val="4472C4" w:themeColor="accent1"/>
          <w:sz w:val="24"/>
          <w:szCs w:val="24"/>
        </w:rPr>
        <w:t xml:space="preserve">Supplementary </w:t>
      </w:r>
      <w:r w:rsidRPr="00785740">
        <w:rPr>
          <w:rFonts w:ascii="Times New Roman" w:hAnsi="Times New Roman" w:cs="Times New Roman"/>
          <w:color w:val="4472C4" w:themeColor="accent1"/>
          <w:sz w:val="24"/>
          <w:szCs w:val="24"/>
        </w:rPr>
        <w:t>Fig. 1</w:t>
      </w:r>
      <w:r w:rsidRPr="00785740">
        <w:rPr>
          <w:rFonts w:ascii="Times New Roman" w:hAnsi="Times New Roman" w:cs="Times New Roman"/>
          <w:sz w:val="24"/>
          <w:szCs w:val="24"/>
        </w:rPr>
        <w:t>). The plain is characterized by a vast network of rivers and their tributaries, forming a significant sediment dispersal system (</w:t>
      </w:r>
      <w:r w:rsidRPr="00785740">
        <w:rPr>
          <w:rFonts w:ascii="Times New Roman" w:hAnsi="Times New Roman" w:cs="Times New Roman"/>
          <w:color w:val="4472C4" w:themeColor="accent1"/>
          <w:sz w:val="24"/>
          <w:szCs w:val="24"/>
        </w:rPr>
        <w:t>Tandon et al. 2006; Sinha et al. 2006 and references therein</w:t>
      </w:r>
      <w:r w:rsidRPr="00785740">
        <w:rPr>
          <w:rFonts w:ascii="Times New Roman" w:hAnsi="Times New Roman" w:cs="Times New Roman"/>
          <w:sz w:val="24"/>
          <w:szCs w:val="24"/>
        </w:rPr>
        <w:t>). The Ganga River system carries an estimated suspended sediment load of about 524 million tons annually (</w:t>
      </w:r>
      <w:r w:rsidRPr="00785740">
        <w:rPr>
          <w:rFonts w:ascii="Times New Roman" w:hAnsi="Times New Roman" w:cs="Times New Roman"/>
          <w:color w:val="4472C4" w:themeColor="accent1"/>
          <w:sz w:val="24"/>
          <w:szCs w:val="24"/>
        </w:rPr>
        <w:t>Milliman and Meade 1983</w:t>
      </w:r>
      <w:r w:rsidRPr="00785740">
        <w:rPr>
          <w:rFonts w:ascii="Times New Roman" w:hAnsi="Times New Roman" w:cs="Times New Roman"/>
          <w:sz w:val="24"/>
          <w:szCs w:val="24"/>
        </w:rPr>
        <w:t>). Geographically, the Ganga Plain is subdivided into three segments: the Upper, Middle, and Lower Ganga Plains and our study area is located within the Middle Ganga Plain (</w:t>
      </w:r>
      <w:r w:rsidRPr="00785740">
        <w:rPr>
          <w:rFonts w:ascii="Times New Roman" w:hAnsi="Times New Roman" w:cs="Times New Roman"/>
          <w:color w:val="4472C4" w:themeColor="accent1"/>
          <w:sz w:val="24"/>
          <w:szCs w:val="24"/>
        </w:rPr>
        <w:t>Fig. 1</w:t>
      </w:r>
      <w:r w:rsidRPr="00785740">
        <w:rPr>
          <w:rFonts w:ascii="Times New Roman" w:hAnsi="Times New Roman" w:cs="Times New Roman"/>
          <w:sz w:val="24"/>
          <w:szCs w:val="24"/>
        </w:rPr>
        <w:t>). Situated within the vast Indo-Gangetic Plain of Uttar Pradesh, India, Bakhira Lake represents an active floodplain wetland shaped by monsoon-driven seasonal variations and fluvial dynamics. The region's geomorphology is primarily governed by deposition patterns of alluvial sediments comprising silt, sand and clay. Consequently, this wetland undergoes annual fluctuations in size due to monsoonal rainfall, impacting its physical boundaries as well as its ecological attributes. Hence, all this make this vast continuous deposited alluvial plain one of the best places to study the fluctuation in the rainfall intensity Since the Late Quaternary (</w:t>
      </w:r>
      <w:r w:rsidRPr="00785740">
        <w:rPr>
          <w:rFonts w:ascii="Times New Roman" w:hAnsi="Times New Roman" w:cs="Times New Roman"/>
          <w:color w:val="4472C4" w:themeColor="accent1"/>
          <w:sz w:val="24"/>
          <w:szCs w:val="24"/>
        </w:rPr>
        <w:t>Singh 1996</w:t>
      </w:r>
      <w:r w:rsidRPr="00785740">
        <w:rPr>
          <w:rFonts w:ascii="Times New Roman" w:hAnsi="Times New Roman" w:cs="Times New Roman"/>
          <w:sz w:val="24"/>
          <w:szCs w:val="24"/>
        </w:rPr>
        <w:t>).</w:t>
      </w:r>
    </w:p>
    <w:p w14:paraId="2A380D2C" w14:textId="77777777" w:rsidR="0063693C" w:rsidRDefault="0063693C" w:rsidP="00310B7B">
      <w:pPr>
        <w:spacing w:line="360" w:lineRule="auto"/>
        <w:jc w:val="both"/>
        <w:rPr>
          <w:rFonts w:ascii="Times New Roman" w:hAnsi="Times New Roman" w:cs="Times New Roman"/>
          <w:sz w:val="24"/>
          <w:szCs w:val="24"/>
        </w:rPr>
      </w:pPr>
    </w:p>
    <w:p w14:paraId="09CC89CF" w14:textId="77777777" w:rsidR="0063693C" w:rsidRDefault="0063693C" w:rsidP="00310B7B">
      <w:pPr>
        <w:spacing w:line="360" w:lineRule="auto"/>
        <w:jc w:val="both"/>
        <w:rPr>
          <w:rFonts w:ascii="Times New Roman" w:hAnsi="Times New Roman" w:cs="Times New Roman"/>
          <w:sz w:val="24"/>
          <w:szCs w:val="24"/>
        </w:rPr>
      </w:pPr>
    </w:p>
    <w:p w14:paraId="617F82BC" w14:textId="77777777" w:rsidR="0063693C" w:rsidRDefault="0063693C" w:rsidP="00310B7B">
      <w:pPr>
        <w:spacing w:line="360" w:lineRule="auto"/>
        <w:jc w:val="both"/>
        <w:rPr>
          <w:rFonts w:ascii="Times New Roman" w:hAnsi="Times New Roman" w:cs="Times New Roman"/>
          <w:sz w:val="24"/>
          <w:szCs w:val="24"/>
        </w:rPr>
      </w:pPr>
    </w:p>
    <w:p w14:paraId="3E086F7B" w14:textId="77777777" w:rsidR="0063693C" w:rsidRDefault="0063693C" w:rsidP="00310B7B">
      <w:pPr>
        <w:spacing w:line="360" w:lineRule="auto"/>
        <w:jc w:val="both"/>
        <w:rPr>
          <w:rFonts w:ascii="Times New Roman" w:hAnsi="Times New Roman" w:cs="Times New Roman"/>
          <w:sz w:val="24"/>
          <w:szCs w:val="24"/>
        </w:rPr>
      </w:pPr>
    </w:p>
    <w:p w14:paraId="59B61963" w14:textId="588CFB31" w:rsidR="00BD268C" w:rsidRDefault="00BD268C" w:rsidP="00310B7B">
      <w:pPr>
        <w:spacing w:line="360" w:lineRule="auto"/>
        <w:jc w:val="both"/>
        <w:rPr>
          <w:rFonts w:ascii="Times New Roman" w:hAnsi="Times New Roman" w:cs="Times New Roman"/>
          <w:sz w:val="24"/>
          <w:szCs w:val="24"/>
        </w:rPr>
      </w:pPr>
      <w:r w:rsidRPr="00C84018">
        <w:rPr>
          <w:rFonts w:ascii="Times New Roman" w:hAnsi="Times New Roman" w:cs="Times New Roman"/>
          <w:b/>
          <w:bCs/>
          <w:sz w:val="24"/>
          <w:szCs w:val="24"/>
        </w:rPr>
        <w:lastRenderedPageBreak/>
        <w:t>Supplementary Fig. 1.</w:t>
      </w:r>
      <w:r>
        <w:rPr>
          <w:rFonts w:ascii="Times New Roman" w:hAnsi="Times New Roman" w:cs="Times New Roman"/>
          <w:sz w:val="24"/>
          <w:szCs w:val="24"/>
        </w:rPr>
        <w:t xml:space="preserve"> </w:t>
      </w:r>
      <w:r w:rsidRPr="00EC27B3">
        <w:rPr>
          <w:rFonts w:ascii="Times New Roman" w:hAnsi="Times New Roman" w:cs="Times New Roman"/>
        </w:rPr>
        <w:t xml:space="preserve">Schematic map of the Ganga Plain with its </w:t>
      </w:r>
      <w:r w:rsidR="00C948E5" w:rsidRPr="00EC27B3">
        <w:rPr>
          <w:rFonts w:ascii="Times New Roman" w:hAnsi="Times New Roman" w:cs="Times New Roman"/>
        </w:rPr>
        <w:t>geomorphic</w:t>
      </w:r>
      <w:r w:rsidRPr="00EC27B3">
        <w:rPr>
          <w:rFonts w:ascii="Times New Roman" w:hAnsi="Times New Roman" w:cs="Times New Roman"/>
        </w:rPr>
        <w:t xml:space="preserve"> features (</w:t>
      </w:r>
      <w:r w:rsidR="00C948E5" w:rsidRPr="00C948E5">
        <w:rPr>
          <w:rFonts w:ascii="Times New Roman" w:hAnsi="Times New Roman" w:cs="Times New Roman"/>
          <w:color w:val="4472C4" w:themeColor="accent1"/>
        </w:rPr>
        <w:t>modified a</w:t>
      </w:r>
      <w:r w:rsidR="00314CD8">
        <w:rPr>
          <w:rFonts w:ascii="Times New Roman" w:hAnsi="Times New Roman" w:cs="Times New Roman"/>
          <w:color w:val="4472C4" w:themeColor="accent1"/>
        </w:rPr>
        <w:t>fter Singh</w:t>
      </w:r>
      <w:r w:rsidRPr="00C948E5">
        <w:rPr>
          <w:rFonts w:ascii="Times New Roman" w:hAnsi="Times New Roman" w:cs="Times New Roman"/>
          <w:color w:val="4472C4" w:themeColor="accent1"/>
        </w:rPr>
        <w:t xml:space="preserve"> 1996</w:t>
      </w:r>
      <w:r w:rsidRPr="00EC27B3">
        <w:rPr>
          <w:rFonts w:ascii="Times New Roman" w:hAnsi="Times New Roman" w:cs="Times New Roman"/>
        </w:rPr>
        <w:t>)</w:t>
      </w:r>
      <w:r w:rsidR="009C2B70">
        <w:rPr>
          <w:rFonts w:ascii="Times New Roman" w:hAnsi="Times New Roman" w:cs="Times New Roman"/>
        </w:rPr>
        <w:t xml:space="preserve">. </w:t>
      </w:r>
    </w:p>
    <w:p w14:paraId="7131C9E0" w14:textId="2D19B7A4" w:rsidR="00BD268C" w:rsidRDefault="0027513D" w:rsidP="002F2A3F">
      <w:pPr>
        <w:spacing w:line="360" w:lineRule="auto"/>
        <w:jc w:val="both"/>
        <w:rPr>
          <w:rFonts w:ascii="Times New Roman" w:hAnsi="Times New Roman" w:cs="Times New Roman"/>
          <w:b/>
          <w:bCs/>
          <w:sz w:val="24"/>
          <w:szCs w:val="24"/>
        </w:rPr>
      </w:pPr>
      <w:r w:rsidRPr="00C84018">
        <w:rPr>
          <w:b/>
          <w:bCs/>
          <w:noProof/>
          <w:lang w:val="en-US"/>
        </w:rPr>
        <w:drawing>
          <wp:anchor distT="0" distB="0" distL="114300" distR="114300" simplePos="0" relativeHeight="251658240" behindDoc="1" locked="0" layoutInCell="1" allowOverlap="1" wp14:anchorId="151108DB" wp14:editId="72EF94E9">
            <wp:simplePos x="0" y="0"/>
            <wp:positionH relativeFrom="margin">
              <wp:posOffset>588830</wp:posOffset>
            </wp:positionH>
            <wp:positionV relativeFrom="paragraph">
              <wp:posOffset>3500</wp:posOffset>
            </wp:positionV>
            <wp:extent cx="4435200" cy="2754679"/>
            <wp:effectExtent l="0" t="0" r="3810" b="7620"/>
            <wp:wrapTight wrapText="bothSides">
              <wp:wrapPolygon edited="0">
                <wp:start x="0" y="0"/>
                <wp:lineTo x="0" y="21510"/>
                <wp:lineTo x="21526" y="21510"/>
                <wp:lineTo x="21526" y="0"/>
                <wp:lineTo x="0" y="0"/>
              </wp:wrapPolygon>
            </wp:wrapTight>
            <wp:docPr id="159748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35200" cy="2754679"/>
                    </a:xfrm>
                    <a:prstGeom prst="rect">
                      <a:avLst/>
                    </a:prstGeom>
                    <a:noFill/>
                    <a:ln>
                      <a:noFill/>
                    </a:ln>
                  </pic:spPr>
                </pic:pic>
              </a:graphicData>
            </a:graphic>
            <wp14:sizeRelH relativeFrom="page">
              <wp14:pctWidth>0</wp14:pctWidth>
            </wp14:sizeRelH>
            <wp14:sizeRelV relativeFrom="page">
              <wp14:pctHeight>0</wp14:pctHeight>
            </wp14:sizeRelV>
          </wp:anchor>
        </w:drawing>
      </w:r>
      <w:r w:rsidR="00BD268C" w:rsidRPr="00785740">
        <w:rPr>
          <w:rFonts w:ascii="Times New Roman" w:hAnsi="Times New Roman" w:cs="Times New Roman"/>
          <w:b/>
          <w:bCs/>
          <w:sz w:val="24"/>
          <w:szCs w:val="24"/>
        </w:rPr>
        <w:t xml:space="preserve"> </w:t>
      </w:r>
    </w:p>
    <w:p w14:paraId="7C350756" w14:textId="77777777" w:rsidR="00BD268C" w:rsidRDefault="00BD268C" w:rsidP="002F2A3F">
      <w:pPr>
        <w:spacing w:line="360" w:lineRule="auto"/>
        <w:jc w:val="both"/>
        <w:rPr>
          <w:rFonts w:ascii="Times New Roman" w:hAnsi="Times New Roman" w:cs="Times New Roman"/>
          <w:b/>
          <w:bCs/>
          <w:sz w:val="24"/>
          <w:szCs w:val="24"/>
        </w:rPr>
      </w:pPr>
    </w:p>
    <w:p w14:paraId="31F0671F" w14:textId="77777777" w:rsidR="00BD268C" w:rsidRDefault="00BD268C" w:rsidP="002F2A3F">
      <w:pPr>
        <w:spacing w:line="360" w:lineRule="auto"/>
        <w:jc w:val="both"/>
        <w:rPr>
          <w:rFonts w:ascii="Times New Roman" w:hAnsi="Times New Roman" w:cs="Times New Roman"/>
          <w:b/>
          <w:bCs/>
          <w:sz w:val="24"/>
          <w:szCs w:val="24"/>
        </w:rPr>
      </w:pPr>
    </w:p>
    <w:p w14:paraId="25FC1F56" w14:textId="77777777" w:rsidR="00BD268C" w:rsidRDefault="00BD268C" w:rsidP="002F2A3F">
      <w:pPr>
        <w:spacing w:line="360" w:lineRule="auto"/>
        <w:jc w:val="both"/>
        <w:rPr>
          <w:rFonts w:ascii="Times New Roman" w:hAnsi="Times New Roman" w:cs="Times New Roman"/>
          <w:b/>
          <w:bCs/>
          <w:sz w:val="24"/>
          <w:szCs w:val="24"/>
        </w:rPr>
      </w:pPr>
    </w:p>
    <w:p w14:paraId="5A07718D" w14:textId="77777777" w:rsidR="00BD268C" w:rsidRDefault="00BD268C" w:rsidP="002F2A3F">
      <w:pPr>
        <w:spacing w:line="360" w:lineRule="auto"/>
        <w:jc w:val="both"/>
        <w:rPr>
          <w:rFonts w:ascii="Times New Roman" w:hAnsi="Times New Roman" w:cs="Times New Roman"/>
          <w:b/>
          <w:bCs/>
          <w:sz w:val="24"/>
          <w:szCs w:val="24"/>
        </w:rPr>
      </w:pPr>
    </w:p>
    <w:p w14:paraId="03800ADA" w14:textId="77777777" w:rsidR="00BD268C" w:rsidRDefault="00BD268C" w:rsidP="002F2A3F">
      <w:pPr>
        <w:spacing w:line="360" w:lineRule="auto"/>
        <w:jc w:val="both"/>
        <w:rPr>
          <w:rFonts w:ascii="Times New Roman" w:hAnsi="Times New Roman" w:cs="Times New Roman"/>
          <w:b/>
          <w:bCs/>
          <w:sz w:val="24"/>
          <w:szCs w:val="24"/>
        </w:rPr>
      </w:pPr>
    </w:p>
    <w:p w14:paraId="75096670" w14:textId="77777777" w:rsidR="00BD268C" w:rsidRDefault="00BD268C" w:rsidP="002F2A3F">
      <w:pPr>
        <w:spacing w:line="360" w:lineRule="auto"/>
        <w:jc w:val="both"/>
        <w:rPr>
          <w:rFonts w:ascii="Times New Roman" w:hAnsi="Times New Roman" w:cs="Times New Roman"/>
          <w:b/>
          <w:bCs/>
          <w:sz w:val="24"/>
          <w:szCs w:val="24"/>
        </w:rPr>
      </w:pPr>
    </w:p>
    <w:p w14:paraId="4B2F8AE3" w14:textId="77777777" w:rsidR="00BD268C" w:rsidRDefault="00BD268C" w:rsidP="002F2A3F">
      <w:pPr>
        <w:spacing w:line="360" w:lineRule="auto"/>
        <w:jc w:val="both"/>
        <w:rPr>
          <w:rFonts w:ascii="Times New Roman" w:hAnsi="Times New Roman" w:cs="Times New Roman"/>
          <w:b/>
          <w:bCs/>
          <w:sz w:val="24"/>
          <w:szCs w:val="24"/>
        </w:rPr>
      </w:pPr>
    </w:p>
    <w:p w14:paraId="2F439C99" w14:textId="77777777" w:rsidR="00487F65" w:rsidRDefault="00487F65" w:rsidP="00487F65">
      <w:pPr>
        <w:pStyle w:val="NormalWeb"/>
        <w:spacing w:line="360" w:lineRule="auto"/>
        <w:jc w:val="both"/>
      </w:pPr>
      <w:r>
        <w:t>C</w:t>
      </w:r>
      <w:r w:rsidRPr="00785740">
        <w:t>losed ponds or lakes in northern India are locally referred to as Tals. The Bakhira Lake is one such oxbow lake, located close to Bakhira village in the Sant Kabir Nagar district in Uttar Pradesh, India. A ~406 cm long Bakhira Lake sediments trench was dug in summer of 2023 from the</w:t>
      </w:r>
      <w:r>
        <w:t xml:space="preserve"> south western</w:t>
      </w:r>
      <w:r w:rsidRPr="00785740">
        <w:t xml:space="preserve"> part of Bakhira Lake (26.80 N, 83.07 E; Fig. 1). A total of 203 samples at 2 cm interval were sampled from the Bakhira Lake sediment trench and core, prepared for various proxy analyses.</w:t>
      </w:r>
    </w:p>
    <w:p w14:paraId="5D5B0312" w14:textId="77777777" w:rsidR="00487F65" w:rsidRDefault="00487F65" w:rsidP="00487F65">
      <w:pPr>
        <w:spacing w:line="360" w:lineRule="auto"/>
        <w:jc w:val="both"/>
        <w:rPr>
          <w:rFonts w:ascii="Times New Roman" w:hAnsi="Times New Roman" w:cs="Times New Roman"/>
          <w:sz w:val="24"/>
          <w:szCs w:val="24"/>
        </w:rPr>
      </w:pPr>
      <w:r w:rsidRPr="00314CD8">
        <w:rPr>
          <w:rFonts w:ascii="Times New Roman" w:hAnsi="Times New Roman" w:cs="Times New Roman"/>
          <w:b/>
          <w:bCs/>
          <w:sz w:val="24"/>
          <w:szCs w:val="24"/>
        </w:rPr>
        <w:t>Lithology of Bakhira Lake sediments</w:t>
      </w:r>
      <w:r w:rsidRPr="00314CD8">
        <w:rPr>
          <w:rFonts w:ascii="Times New Roman" w:hAnsi="Times New Roman" w:cs="Times New Roman"/>
          <w:sz w:val="24"/>
          <w:szCs w:val="24"/>
        </w:rPr>
        <w:t>:</w:t>
      </w:r>
      <w:r>
        <w:t xml:space="preserve"> </w:t>
      </w:r>
      <w:r w:rsidRPr="00785740">
        <w:rPr>
          <w:rFonts w:ascii="Times New Roman" w:hAnsi="Times New Roman" w:cs="Times New Roman"/>
          <w:sz w:val="24"/>
          <w:szCs w:val="24"/>
        </w:rPr>
        <w:t>The lithology of the Bakhira Lake sediments is divided into eight sections (</w:t>
      </w:r>
      <w:r w:rsidRPr="00EF1461">
        <w:rPr>
          <w:rFonts w:ascii="Times New Roman" w:hAnsi="Times New Roman" w:cs="Times New Roman"/>
          <w:color w:val="4472C4" w:themeColor="accent1"/>
          <w:sz w:val="24"/>
          <w:szCs w:val="24"/>
        </w:rPr>
        <w:t>Supplementary Fig. 2a</w:t>
      </w:r>
      <w:r w:rsidRPr="00785740">
        <w:rPr>
          <w:rFonts w:ascii="Times New Roman" w:hAnsi="Times New Roman" w:cs="Times New Roman"/>
          <w:sz w:val="24"/>
          <w:szCs w:val="24"/>
        </w:rPr>
        <w:t xml:space="preserve">). The surface layer (0–16 cm) consists of brownish mottled silty-clay with rootlets, indicating organic-rich deposition. The second section (16–46 cm) is blackish mud with rootlets, suggesting waterlogged conditions. The third section (46–70 cm) contains grayish-yellow mud, transitioning into yellowish silty-clay (70–102 cm) in the fourth section, reflecting varying depositional energy. The fifth section (102–150 cm) includes sticky yellowish mud with minor pebbles and pebbly mud, indicating higher-energy input. The sixth section (150–226 cm) consists of gray silty-clay and rubified silt with nodules. The seventh section (226–347 cm) comprises brown silt-clay, massive light brown clay and clay with fine sand, representing prolonged deposition.  The deepest section (347–407 cm) features brownish-gray massive clay, sticky clay and granular clay with nodules. </w:t>
      </w:r>
    </w:p>
    <w:p w14:paraId="7E872A89" w14:textId="77777777" w:rsidR="00487F65" w:rsidRDefault="00487F65" w:rsidP="00487F65">
      <w:pPr>
        <w:spacing w:line="360" w:lineRule="auto"/>
        <w:jc w:val="both"/>
        <w:rPr>
          <w:rFonts w:ascii="Times New Roman" w:hAnsi="Times New Roman" w:cs="Times New Roman"/>
          <w:sz w:val="24"/>
          <w:szCs w:val="24"/>
        </w:rPr>
      </w:pPr>
    </w:p>
    <w:p w14:paraId="793DF182" w14:textId="77777777" w:rsidR="00EF1461" w:rsidRDefault="00EF1461" w:rsidP="00487F65">
      <w:pPr>
        <w:spacing w:line="360" w:lineRule="auto"/>
        <w:jc w:val="both"/>
        <w:rPr>
          <w:rFonts w:ascii="Times New Roman" w:hAnsi="Times New Roman" w:cs="Times New Roman"/>
          <w:sz w:val="24"/>
          <w:szCs w:val="24"/>
        </w:rPr>
      </w:pPr>
    </w:p>
    <w:p w14:paraId="0D2EE8E0" w14:textId="677422F9" w:rsidR="00487F65" w:rsidRPr="00C84018" w:rsidRDefault="00487F65" w:rsidP="00487F65">
      <w:pPr>
        <w:spacing w:line="360" w:lineRule="auto"/>
        <w:jc w:val="both"/>
        <w:rPr>
          <w:rFonts w:ascii="Times New Roman" w:hAnsi="Times New Roman" w:cs="Times New Roman"/>
          <w:b/>
          <w:bCs/>
          <w:sz w:val="24"/>
          <w:szCs w:val="24"/>
        </w:rPr>
      </w:pPr>
      <w:r w:rsidRPr="00C84018">
        <w:rPr>
          <w:rFonts w:ascii="Times New Roman" w:hAnsi="Times New Roman" w:cs="Times New Roman"/>
          <w:b/>
          <w:bCs/>
          <w:sz w:val="24"/>
          <w:szCs w:val="24"/>
        </w:rPr>
        <w:lastRenderedPageBreak/>
        <w:t xml:space="preserve">Supplementary Fig. 2. </w:t>
      </w:r>
      <w:r w:rsidR="00D709FC" w:rsidRPr="00CA41E6">
        <w:rPr>
          <w:rFonts w:ascii="Times New Roman" w:hAnsi="Times New Roman" w:cs="Times New Roman"/>
          <w:sz w:val="24"/>
          <w:szCs w:val="24"/>
        </w:rPr>
        <w:t>(a) Litholog and, (b) age-depth plot of sedimentary core from Bakhira Lake.</w:t>
      </w:r>
    </w:p>
    <w:p w14:paraId="68472A4E" w14:textId="69521FAF" w:rsidR="00487F65" w:rsidRDefault="00487F65" w:rsidP="00487F65">
      <w:pPr>
        <w:spacing w:line="360" w:lineRule="auto"/>
        <w:jc w:val="both"/>
        <w:rPr>
          <w:rFonts w:ascii="Times New Roman" w:hAnsi="Times New Roman" w:cs="Times New Roman"/>
          <w:sz w:val="24"/>
          <w:szCs w:val="24"/>
        </w:rPr>
      </w:pPr>
      <w:r>
        <w:rPr>
          <w:noProof/>
          <w:lang w:val="en-US"/>
        </w:rPr>
        <w:drawing>
          <wp:inline distT="0" distB="0" distL="0" distR="0" wp14:anchorId="0E9662B4" wp14:editId="35FAC17E">
            <wp:extent cx="5731510" cy="2811145"/>
            <wp:effectExtent l="0" t="0" r="2540" b="8255"/>
            <wp:docPr id="407481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811145"/>
                    </a:xfrm>
                    <a:prstGeom prst="rect">
                      <a:avLst/>
                    </a:prstGeom>
                    <a:noFill/>
                    <a:ln>
                      <a:noFill/>
                    </a:ln>
                  </pic:spPr>
                </pic:pic>
              </a:graphicData>
            </a:graphic>
          </wp:inline>
        </w:drawing>
      </w:r>
    </w:p>
    <w:p w14:paraId="30B6EA1B" w14:textId="36EBB606" w:rsidR="00487F65" w:rsidRDefault="00487F65" w:rsidP="00487F65">
      <w:pPr>
        <w:spacing w:line="360" w:lineRule="auto"/>
        <w:jc w:val="both"/>
        <w:rPr>
          <w:rFonts w:ascii="Times New Roman" w:hAnsi="Times New Roman" w:cs="Times New Roman"/>
          <w:sz w:val="24"/>
          <w:szCs w:val="24"/>
        </w:rPr>
      </w:pPr>
      <w:r w:rsidRPr="00785740">
        <w:rPr>
          <w:rFonts w:ascii="Times New Roman" w:hAnsi="Times New Roman" w:cs="Times New Roman"/>
          <w:b/>
          <w:bCs/>
          <w:sz w:val="24"/>
          <w:szCs w:val="24"/>
        </w:rPr>
        <w:t>AMS dating</w:t>
      </w:r>
      <w:r>
        <w:rPr>
          <w:rFonts w:ascii="Times New Roman" w:hAnsi="Times New Roman" w:cs="Times New Roman"/>
          <w:b/>
          <w:bCs/>
          <w:sz w:val="24"/>
          <w:szCs w:val="24"/>
        </w:rPr>
        <w:t xml:space="preserve">: </w:t>
      </w:r>
      <w:r w:rsidRPr="00785740">
        <w:rPr>
          <w:rFonts w:ascii="Times New Roman" w:hAnsi="Times New Roman" w:cs="Times New Roman"/>
          <w:sz w:val="24"/>
          <w:szCs w:val="24"/>
        </w:rPr>
        <w:t xml:space="preserve">The chronology of the </w:t>
      </w:r>
      <w:r>
        <w:rPr>
          <w:rFonts w:ascii="Times New Roman" w:hAnsi="Times New Roman" w:cs="Times New Roman"/>
          <w:sz w:val="24"/>
          <w:szCs w:val="24"/>
        </w:rPr>
        <w:t>Bakhira Lake sediments</w:t>
      </w:r>
      <w:r w:rsidRPr="00785740">
        <w:rPr>
          <w:rFonts w:ascii="Times New Roman" w:hAnsi="Times New Roman" w:cs="Times New Roman"/>
          <w:sz w:val="24"/>
          <w:szCs w:val="24"/>
        </w:rPr>
        <w:t xml:space="preserve"> was established by radiocarbon dates obtained on bulk sediment organic carbon using the Accelerator Mass Spectrometry (AMS) facility of Inter University Accelerator Centre (IUAC), New Delhi, India, following the methods described </w:t>
      </w:r>
      <w:r>
        <w:rPr>
          <w:rFonts w:ascii="Times New Roman" w:hAnsi="Times New Roman" w:cs="Times New Roman"/>
          <w:sz w:val="24"/>
          <w:szCs w:val="24"/>
        </w:rPr>
        <w:t xml:space="preserve">by </w:t>
      </w:r>
      <w:r w:rsidRPr="00785740">
        <w:rPr>
          <w:rFonts w:ascii="Times New Roman" w:hAnsi="Times New Roman" w:cs="Times New Roman"/>
          <w:color w:val="4472C4" w:themeColor="accent1"/>
          <w:sz w:val="24"/>
          <w:szCs w:val="24"/>
        </w:rPr>
        <w:t xml:space="preserve">Sharma et al. </w:t>
      </w:r>
      <w:r w:rsidRPr="00785740">
        <w:rPr>
          <w:rFonts w:ascii="Times New Roman" w:hAnsi="Times New Roman" w:cs="Times New Roman"/>
          <w:sz w:val="24"/>
          <w:szCs w:val="24"/>
        </w:rPr>
        <w:t>(</w:t>
      </w:r>
      <w:r w:rsidRPr="00785740">
        <w:rPr>
          <w:rFonts w:ascii="Times New Roman" w:hAnsi="Times New Roman" w:cs="Times New Roman"/>
          <w:color w:val="4472C4" w:themeColor="accent1"/>
          <w:sz w:val="24"/>
          <w:szCs w:val="24"/>
        </w:rPr>
        <w:t>2019</w:t>
      </w:r>
      <w:r w:rsidRPr="00785740">
        <w:rPr>
          <w:rFonts w:ascii="Times New Roman" w:hAnsi="Times New Roman" w:cs="Times New Roman"/>
          <w:sz w:val="24"/>
          <w:szCs w:val="24"/>
        </w:rPr>
        <w:t>). Seven samples from 30 cm, 84 cm, and 124 cm, 156 cm, 180 cm, and 288 cm and 356 cm depths were selected for dating. The powdered bulk samples were treated with 1 N HCl and 0.5 N NaOH to remove carbonates and humic acids, respectively. The organic carbon present in the samples was combusted in an elemental analyzer, and the evolved CO</w:t>
      </w:r>
      <w:r w:rsidRPr="00785740">
        <w:rPr>
          <w:rFonts w:ascii="Times New Roman" w:hAnsi="Times New Roman" w:cs="Times New Roman"/>
          <w:sz w:val="24"/>
          <w:szCs w:val="24"/>
          <w:vertAlign w:val="subscript"/>
        </w:rPr>
        <w:t>2</w:t>
      </w:r>
      <w:r w:rsidRPr="00785740">
        <w:rPr>
          <w:rFonts w:ascii="Times New Roman" w:hAnsi="Times New Roman" w:cs="Times New Roman"/>
          <w:sz w:val="24"/>
          <w:szCs w:val="24"/>
        </w:rPr>
        <w:t xml:space="preserve"> was purified and converted to graphite using an Ion plus automated graphitization equipment. The </w:t>
      </w:r>
      <w:r w:rsidRPr="00785740">
        <w:rPr>
          <w:rFonts w:ascii="Times New Roman" w:hAnsi="Times New Roman" w:cs="Times New Roman"/>
          <w:sz w:val="24"/>
          <w:szCs w:val="24"/>
          <w:vertAlign w:val="superscript"/>
        </w:rPr>
        <w:t>14</w:t>
      </w:r>
      <w:r w:rsidRPr="00785740">
        <w:rPr>
          <w:rFonts w:ascii="Times New Roman" w:hAnsi="Times New Roman" w:cs="Times New Roman"/>
          <w:sz w:val="24"/>
          <w:szCs w:val="24"/>
        </w:rPr>
        <w:t>C activity was measured using a 500 kV Pelletron accelerator at the IUAC. Radiocarbon ages were corrected for isotopic fractionation by normalizing to δ</w:t>
      </w:r>
      <w:r w:rsidRPr="00785740">
        <w:rPr>
          <w:rFonts w:ascii="Times New Roman" w:hAnsi="Times New Roman" w:cs="Times New Roman"/>
          <w:sz w:val="24"/>
          <w:szCs w:val="24"/>
          <w:vertAlign w:val="superscript"/>
        </w:rPr>
        <w:t>13</w:t>
      </w:r>
      <w:r w:rsidRPr="00785740">
        <w:rPr>
          <w:rFonts w:ascii="Times New Roman" w:hAnsi="Times New Roman" w:cs="Times New Roman"/>
          <w:sz w:val="24"/>
          <w:szCs w:val="24"/>
        </w:rPr>
        <w:t xml:space="preserve">C values of respective samples measured using a continuous-flow isotope ratio mass spectrometer. The </w:t>
      </w:r>
      <w:r w:rsidRPr="00785740">
        <w:rPr>
          <w:rFonts w:ascii="Times New Roman" w:hAnsi="Times New Roman" w:cs="Times New Roman"/>
          <w:sz w:val="24"/>
          <w:szCs w:val="24"/>
          <w:vertAlign w:val="superscript"/>
        </w:rPr>
        <w:t>14</w:t>
      </w:r>
      <w:r w:rsidRPr="00785740">
        <w:rPr>
          <w:rFonts w:ascii="Times New Roman" w:hAnsi="Times New Roman" w:cs="Times New Roman"/>
          <w:sz w:val="24"/>
          <w:szCs w:val="24"/>
        </w:rPr>
        <w:t>C ages were calibrated to calendar years before present (cal yr BP) using OxCal v4.4 and IntCal20 dataset (</w:t>
      </w:r>
      <w:r w:rsidR="00EC78DC">
        <w:rPr>
          <w:rFonts w:ascii="Times New Roman" w:hAnsi="Times New Roman" w:cs="Times New Roman"/>
          <w:color w:val="4472C4" w:themeColor="accent1"/>
          <w:sz w:val="24"/>
          <w:szCs w:val="24"/>
        </w:rPr>
        <w:t>Reimer et al. 2020</w:t>
      </w:r>
      <w:r w:rsidRPr="00785740">
        <w:rPr>
          <w:rFonts w:ascii="Times New Roman" w:hAnsi="Times New Roman" w:cs="Times New Roman"/>
          <w:sz w:val="24"/>
          <w:szCs w:val="24"/>
        </w:rPr>
        <w:t xml:space="preserve">). </w:t>
      </w:r>
    </w:p>
    <w:p w14:paraId="743FE087" w14:textId="77777777" w:rsidR="00487F65" w:rsidRDefault="00487F65" w:rsidP="00487F65">
      <w:pPr>
        <w:spacing w:line="360" w:lineRule="auto"/>
        <w:jc w:val="both"/>
        <w:rPr>
          <w:rFonts w:ascii="Times New Roman" w:hAnsi="Times New Roman" w:cs="Times New Roman"/>
          <w:sz w:val="24"/>
          <w:szCs w:val="24"/>
          <w:lang w:val="en-US"/>
        </w:rPr>
      </w:pPr>
      <w:r w:rsidRPr="00785740">
        <w:rPr>
          <w:rFonts w:ascii="Times New Roman" w:hAnsi="Times New Roman" w:cs="Times New Roman"/>
          <w:b/>
          <w:bCs/>
          <w:sz w:val="24"/>
          <w:szCs w:val="24"/>
        </w:rPr>
        <w:t>Grain Size:</w:t>
      </w:r>
      <w:r w:rsidRPr="00785740">
        <w:rPr>
          <w:rFonts w:ascii="Times New Roman" w:hAnsi="Times New Roman" w:cs="Times New Roman"/>
          <w:sz w:val="24"/>
          <w:szCs w:val="24"/>
        </w:rPr>
        <w:t xml:space="preserve"> </w:t>
      </w:r>
      <w:r w:rsidRPr="00785740">
        <w:rPr>
          <w:rFonts w:ascii="Times New Roman" w:hAnsi="Times New Roman" w:cs="Times New Roman"/>
          <w:sz w:val="24"/>
          <w:szCs w:val="24"/>
          <w:lang w:val="en-US"/>
        </w:rPr>
        <w:t xml:space="preserve">A total of 194 samples were selected to investigate past changes in the grain size distributions of the detrital fraction throughout the studied intervals. Calcium carbonate, organic material and biogenic silica were removed with </w:t>
      </w:r>
      <w:r>
        <w:rPr>
          <w:rFonts w:ascii="Times New Roman" w:hAnsi="Times New Roman" w:cs="Times New Roman"/>
          <w:sz w:val="24"/>
          <w:szCs w:val="24"/>
          <w:lang w:val="en-US"/>
        </w:rPr>
        <w:t xml:space="preserve">10% </w:t>
      </w:r>
      <w:r w:rsidRPr="00785740">
        <w:rPr>
          <w:rFonts w:ascii="Times New Roman" w:hAnsi="Times New Roman" w:cs="Times New Roman"/>
          <w:sz w:val="24"/>
          <w:szCs w:val="24"/>
          <w:lang w:val="en-US"/>
        </w:rPr>
        <w:t>acetic acid and</w:t>
      </w:r>
      <w:r>
        <w:rPr>
          <w:rFonts w:ascii="Times New Roman" w:hAnsi="Times New Roman" w:cs="Times New Roman"/>
          <w:sz w:val="24"/>
          <w:szCs w:val="24"/>
          <w:lang w:val="en-US"/>
        </w:rPr>
        <w:t xml:space="preserve"> in the second step 10% </w:t>
      </w:r>
      <w:r w:rsidRPr="00785740">
        <w:rPr>
          <w:rFonts w:ascii="Times New Roman" w:hAnsi="Times New Roman" w:cs="Times New Roman"/>
          <w:sz w:val="24"/>
          <w:szCs w:val="24"/>
          <w:lang w:val="en-US"/>
        </w:rPr>
        <w:t>hydrogen peroxide,</w:t>
      </w:r>
      <w:r>
        <w:rPr>
          <w:rFonts w:ascii="Times New Roman" w:hAnsi="Times New Roman" w:cs="Times New Roman"/>
          <w:sz w:val="24"/>
          <w:szCs w:val="24"/>
          <w:lang w:val="en-US"/>
        </w:rPr>
        <w:t xml:space="preserve"> respectively. This is</w:t>
      </w:r>
      <w:r w:rsidRPr="00785740">
        <w:rPr>
          <w:rFonts w:ascii="Times New Roman" w:hAnsi="Times New Roman" w:cs="Times New Roman"/>
          <w:sz w:val="24"/>
          <w:szCs w:val="24"/>
          <w:lang w:val="en-US"/>
        </w:rPr>
        <w:t xml:space="preserve"> followed by a triple rinse with de-ionized water</w:t>
      </w:r>
      <w:r w:rsidRPr="00785740" w:rsidDel="001C0B2B">
        <w:rPr>
          <w:rFonts w:ascii="Times New Roman" w:hAnsi="Times New Roman" w:cs="Times New Roman"/>
          <w:sz w:val="24"/>
          <w:szCs w:val="24"/>
          <w:lang w:val="en-US"/>
        </w:rPr>
        <w:t xml:space="preserve"> </w:t>
      </w:r>
      <w:r w:rsidRPr="00785740">
        <w:rPr>
          <w:rFonts w:ascii="Times New Roman" w:hAnsi="Times New Roman" w:cs="Times New Roman"/>
          <w:sz w:val="24"/>
          <w:szCs w:val="24"/>
          <w:lang w:val="en-US"/>
        </w:rPr>
        <w:t xml:space="preserve">prior to measurements. Microscopic inspection of selected samples to verified that all disturbing components were removed successfully. The grain size distributions were </w:t>
      </w:r>
      <w:r w:rsidRPr="00785740">
        <w:rPr>
          <w:rFonts w:ascii="Times New Roman" w:hAnsi="Times New Roman" w:cs="Times New Roman"/>
          <w:sz w:val="24"/>
          <w:szCs w:val="24"/>
          <w:lang w:val="en-US"/>
        </w:rPr>
        <w:lastRenderedPageBreak/>
        <w:t xml:space="preserve">determined using a laser diffraction particle size analyzer Beckman Coulter LS I3 320 at the Birbal Shani Institute of Palaeosciences, Lucknow, India, yielding 116 size classes from 0.04 to 1908 µm. </w:t>
      </w:r>
    </w:p>
    <w:p w14:paraId="51958943" w14:textId="77777777" w:rsidR="00487F65" w:rsidRPr="00785740" w:rsidRDefault="00487F65" w:rsidP="00487F65">
      <w:pPr>
        <w:spacing w:line="360" w:lineRule="auto"/>
        <w:jc w:val="both"/>
        <w:rPr>
          <w:rFonts w:ascii="Times New Roman" w:eastAsia="Times New Roman" w:hAnsi="Times New Roman" w:cs="Times New Roman"/>
          <w:sz w:val="24"/>
          <w:szCs w:val="24"/>
        </w:rPr>
      </w:pPr>
      <w:r w:rsidRPr="00785740">
        <w:rPr>
          <w:rFonts w:ascii="Times New Roman" w:hAnsi="Times New Roman" w:cs="Times New Roman"/>
          <w:b/>
          <w:color w:val="131413"/>
          <w:sz w:val="24"/>
          <w:szCs w:val="24"/>
        </w:rPr>
        <w:t>Clay mineral assemblage</w:t>
      </w:r>
      <w:r>
        <w:rPr>
          <w:rFonts w:ascii="Times New Roman" w:hAnsi="Times New Roman" w:cs="Times New Roman"/>
          <w:b/>
          <w:color w:val="131413"/>
          <w:sz w:val="24"/>
          <w:szCs w:val="24"/>
        </w:rPr>
        <w:t>s</w:t>
      </w:r>
      <w:r w:rsidRPr="00785740">
        <w:rPr>
          <w:rFonts w:ascii="Times New Roman" w:hAnsi="Times New Roman" w:cs="Times New Roman"/>
          <w:b/>
          <w:color w:val="131413"/>
          <w:sz w:val="24"/>
          <w:szCs w:val="24"/>
        </w:rPr>
        <w:t xml:space="preserve">: </w:t>
      </w:r>
      <w:r w:rsidRPr="00785740">
        <w:rPr>
          <w:rFonts w:ascii="Times New Roman" w:hAnsi="Times New Roman" w:cs="Times New Roman"/>
          <w:color w:val="131413"/>
          <w:sz w:val="24"/>
          <w:szCs w:val="24"/>
        </w:rPr>
        <w:t>A total of 44 sediment samples were analyzed for clay mineral assemblages. About 2g of each sample was treated with 10% hydrogen peroxide (H</w:t>
      </w:r>
      <w:r w:rsidRPr="00785740">
        <w:rPr>
          <w:rFonts w:ascii="Times New Roman" w:hAnsi="Times New Roman" w:cs="Times New Roman"/>
          <w:color w:val="131413"/>
          <w:sz w:val="24"/>
          <w:szCs w:val="24"/>
          <w:vertAlign w:val="subscript"/>
        </w:rPr>
        <w:t>2</w:t>
      </w:r>
      <w:r w:rsidRPr="00785740">
        <w:rPr>
          <w:rFonts w:ascii="Times New Roman" w:hAnsi="Times New Roman" w:cs="Times New Roman"/>
          <w:color w:val="131413"/>
          <w:sz w:val="24"/>
          <w:szCs w:val="24"/>
        </w:rPr>
        <w:t>O</w:t>
      </w:r>
      <w:r w:rsidRPr="00785740">
        <w:rPr>
          <w:rFonts w:ascii="Times New Roman" w:hAnsi="Times New Roman" w:cs="Times New Roman"/>
          <w:color w:val="131413"/>
          <w:sz w:val="24"/>
          <w:szCs w:val="24"/>
          <w:vertAlign w:val="subscript"/>
        </w:rPr>
        <w:t>2</w:t>
      </w:r>
      <w:r w:rsidRPr="00785740">
        <w:rPr>
          <w:rFonts w:ascii="Times New Roman" w:hAnsi="Times New Roman" w:cs="Times New Roman"/>
          <w:color w:val="131413"/>
          <w:sz w:val="24"/>
          <w:szCs w:val="24"/>
        </w:rPr>
        <w:t>) and 10% glacial acetic acid (CH</w:t>
      </w:r>
      <w:r w:rsidRPr="00785740">
        <w:rPr>
          <w:rFonts w:ascii="Times New Roman" w:hAnsi="Times New Roman" w:cs="Times New Roman"/>
          <w:color w:val="131413"/>
          <w:sz w:val="24"/>
          <w:szCs w:val="24"/>
          <w:vertAlign w:val="subscript"/>
        </w:rPr>
        <w:t>3</w:t>
      </w:r>
      <w:r w:rsidRPr="00785740">
        <w:rPr>
          <w:rFonts w:ascii="Times New Roman" w:hAnsi="Times New Roman" w:cs="Times New Roman"/>
          <w:color w:val="131413"/>
          <w:sz w:val="24"/>
          <w:szCs w:val="24"/>
        </w:rPr>
        <w:t>COOH) to remove organic and carbonate fractions respectively, followed by a repeated rinse with Milli Q water to pH neutralization.</w:t>
      </w:r>
      <w:r w:rsidRPr="00785740">
        <w:rPr>
          <w:rFonts w:ascii="Times New Roman" w:hAnsi="Times New Roman" w:cs="Times New Roman"/>
          <w:sz w:val="24"/>
          <w:szCs w:val="24"/>
        </w:rPr>
        <w:t xml:space="preserve"> </w:t>
      </w:r>
      <w:r w:rsidRPr="00785740">
        <w:rPr>
          <w:rFonts w:ascii="Times New Roman" w:eastAsia="Times New Roman" w:hAnsi="Times New Roman" w:cs="Times New Roman"/>
          <w:sz w:val="24"/>
          <w:szCs w:val="24"/>
        </w:rPr>
        <w:t>Clay-size fraction (&lt;2 μm) was separated using the Atterberg method, which is centrifuge-based, and settling durations were computed using SediCalc, a free program (</w:t>
      </w:r>
      <w:r w:rsidRPr="00785740">
        <w:rPr>
          <w:rFonts w:ascii="Times New Roman" w:eastAsia="Times New Roman" w:hAnsi="Times New Roman" w:cs="Times New Roman"/>
          <w:color w:val="4472C4" w:themeColor="accent1"/>
          <w:sz w:val="24"/>
          <w:szCs w:val="24"/>
        </w:rPr>
        <w:t>Krumm 2006</w:t>
      </w:r>
      <w:r w:rsidRPr="00785740">
        <w:rPr>
          <w:rFonts w:ascii="Times New Roman" w:eastAsia="Times New Roman" w:hAnsi="Times New Roman" w:cs="Times New Roman"/>
          <w:sz w:val="24"/>
          <w:szCs w:val="24"/>
        </w:rPr>
        <w:t>). To prepare the oriented clay slides, the clay fractions were evenly spread on a glass slide before air drying overnight at room temperature.</w:t>
      </w:r>
      <w:r w:rsidRPr="00785740">
        <w:rPr>
          <w:rFonts w:ascii="Times New Roman" w:hAnsi="Times New Roman" w:cs="Times New Roman"/>
          <w:sz w:val="24"/>
          <w:szCs w:val="24"/>
        </w:rPr>
        <w:t xml:space="preserve"> These oriented slides were subsequently exposed to ethylene glycol for 12 hours.</w:t>
      </w:r>
      <w:r w:rsidRPr="00785740">
        <w:rPr>
          <w:rFonts w:ascii="Times New Roman" w:eastAsia="Times New Roman" w:hAnsi="Times New Roman" w:cs="Times New Roman"/>
          <w:sz w:val="24"/>
          <w:szCs w:val="24"/>
        </w:rPr>
        <w:t xml:space="preserve"> The analysis was carried out using an X-Ray diffractometer (PanAnalytical, model- X’PERT3 powder) using Ni-filtered CoKα radiation at 40 kV and 35 mA.</w:t>
      </w:r>
      <w:r w:rsidRPr="00785740">
        <w:rPr>
          <w:rFonts w:ascii="Times New Roman" w:hAnsi="Times New Roman" w:cs="Times New Roman"/>
          <w:sz w:val="24"/>
          <w:szCs w:val="24"/>
        </w:rPr>
        <w:t xml:space="preserve"> </w:t>
      </w:r>
      <w:r w:rsidRPr="00785740">
        <w:rPr>
          <w:rFonts w:ascii="Times New Roman" w:eastAsia="Times New Roman" w:hAnsi="Times New Roman" w:cs="Times New Roman"/>
          <w:sz w:val="24"/>
          <w:szCs w:val="24"/>
        </w:rPr>
        <w:t>In sediment samples, clay minerals were identified based on their characteristic "d-spacing" values (</w:t>
      </w:r>
      <w:r w:rsidRPr="00785740">
        <w:rPr>
          <w:rFonts w:ascii="Times New Roman" w:eastAsia="Times New Roman" w:hAnsi="Times New Roman" w:cs="Times New Roman"/>
          <w:color w:val="4472C4" w:themeColor="accent1"/>
          <w:sz w:val="24"/>
          <w:szCs w:val="24"/>
        </w:rPr>
        <w:t>Chamley 1989</w:t>
      </w:r>
      <w:r w:rsidRPr="00785740">
        <w:rPr>
          <w:rFonts w:ascii="Times New Roman" w:eastAsia="Times New Roman" w:hAnsi="Times New Roman" w:cs="Times New Roman"/>
          <w:sz w:val="24"/>
          <w:szCs w:val="24"/>
        </w:rPr>
        <w:t>).</w:t>
      </w:r>
      <w:r w:rsidRPr="00785740">
        <w:rPr>
          <w:rFonts w:ascii="Times New Roman" w:hAnsi="Times New Roman" w:cs="Times New Roman"/>
          <w:sz w:val="24"/>
          <w:szCs w:val="24"/>
        </w:rPr>
        <w:t xml:space="preserve"> </w:t>
      </w:r>
      <w:r w:rsidRPr="00785740">
        <w:rPr>
          <w:rFonts w:ascii="Times New Roman" w:eastAsia="Times New Roman" w:hAnsi="Times New Roman" w:cs="Times New Roman"/>
          <w:sz w:val="24"/>
          <w:szCs w:val="24"/>
        </w:rPr>
        <w:t>The relative abundance of each clay mineral was determined based on the position of the (001) series basal reflections in the XRD patterns, specifically smectite (001) at 17 Å, illite (001) at 10 Å, kaolinite (001) and chlorite (002) at 7 Å.</w:t>
      </w:r>
      <w:r w:rsidRPr="00785740">
        <w:rPr>
          <w:rFonts w:ascii="Times New Roman" w:hAnsi="Times New Roman" w:cs="Times New Roman"/>
          <w:sz w:val="24"/>
          <w:szCs w:val="24"/>
        </w:rPr>
        <w:t xml:space="preserve"> </w:t>
      </w:r>
      <w:r w:rsidRPr="00785740">
        <w:rPr>
          <w:rFonts w:ascii="Times New Roman" w:eastAsia="Times New Roman" w:hAnsi="Times New Roman" w:cs="Times New Roman"/>
          <w:sz w:val="24"/>
          <w:szCs w:val="24"/>
        </w:rPr>
        <w:t xml:space="preserve">Kaolinite and chlorite were further differentiated by analyzing their relative proportions using the peak area ratios at 3.57 Å and 3.54 Å, respectively. </w:t>
      </w:r>
      <w:r w:rsidRPr="00785740">
        <w:rPr>
          <w:rFonts w:ascii="Times New Roman" w:hAnsi="Times New Roman" w:cs="Times New Roman"/>
          <w:sz w:val="24"/>
          <w:szCs w:val="24"/>
        </w:rPr>
        <w:t xml:space="preserve">The illite crystallinity and illite chemistry index have been calculated from the X-ray diffractograms. Illite crystallinity was obtained from </w:t>
      </w:r>
      <w:r w:rsidRPr="00785740">
        <w:rPr>
          <w:rFonts w:ascii="Times New Roman" w:hAnsi="Times New Roman" w:cs="Times New Roman"/>
          <w:sz w:val="24"/>
          <w:szCs w:val="24"/>
          <w:lang w:eastAsia="zh-CN"/>
        </w:rPr>
        <w:t xml:space="preserve">the </w:t>
      </w:r>
      <w:r w:rsidRPr="00785740">
        <w:rPr>
          <w:rFonts w:ascii="Times New Roman" w:hAnsi="Times New Roman" w:cs="Times New Roman"/>
          <w:sz w:val="24"/>
          <w:szCs w:val="24"/>
        </w:rPr>
        <w:t>half height width of the 10</w:t>
      </w:r>
      <w:r w:rsidRPr="00785740">
        <w:rPr>
          <w:rFonts w:ascii="Times New Roman" w:hAnsi="Times New Roman" w:cs="Times New Roman"/>
          <w:sz w:val="24"/>
          <w:szCs w:val="24"/>
          <w:lang w:eastAsia="zh-CN"/>
        </w:rPr>
        <w:t xml:space="preserve"> Å</w:t>
      </w:r>
      <w:r w:rsidRPr="00785740">
        <w:rPr>
          <w:rFonts w:ascii="Times New Roman" w:hAnsi="Times New Roman" w:cs="Times New Roman"/>
          <w:sz w:val="24"/>
          <w:szCs w:val="24"/>
        </w:rPr>
        <w:t xml:space="preserve"> peak (</w:t>
      </w:r>
      <w:r w:rsidRPr="00530DC0">
        <w:rPr>
          <w:rFonts w:ascii="Times New Roman" w:hAnsi="Times New Roman" w:cs="Times New Roman"/>
          <w:color w:val="4472C4" w:themeColor="accent1"/>
          <w:sz w:val="24"/>
          <w:szCs w:val="24"/>
        </w:rPr>
        <w:t>Chamley 1989</w:t>
      </w:r>
      <w:r w:rsidRPr="00785740">
        <w:rPr>
          <w:rFonts w:ascii="Times New Roman" w:hAnsi="Times New Roman" w:cs="Times New Roman"/>
          <w:sz w:val="24"/>
          <w:szCs w:val="24"/>
        </w:rPr>
        <w:t>). Illite chemistry index refer</w:t>
      </w:r>
      <w:r w:rsidRPr="00785740">
        <w:rPr>
          <w:rFonts w:ascii="Times New Roman" w:hAnsi="Times New Roman" w:cs="Times New Roman"/>
          <w:sz w:val="24"/>
          <w:szCs w:val="24"/>
          <w:lang w:eastAsia="zh-CN"/>
        </w:rPr>
        <w:t>s</w:t>
      </w:r>
      <w:r w:rsidRPr="00785740">
        <w:rPr>
          <w:rFonts w:ascii="Times New Roman" w:hAnsi="Times New Roman" w:cs="Times New Roman"/>
          <w:sz w:val="24"/>
          <w:szCs w:val="24"/>
        </w:rPr>
        <w:t xml:space="preserve"> to a ratio of the 5</w:t>
      </w:r>
      <w:r w:rsidRPr="00785740">
        <w:rPr>
          <w:rFonts w:ascii="Times New Roman" w:hAnsi="Times New Roman" w:cs="Times New Roman"/>
          <w:sz w:val="24"/>
          <w:szCs w:val="24"/>
          <w:lang w:eastAsia="zh-CN"/>
        </w:rPr>
        <w:t xml:space="preserve"> Å</w:t>
      </w:r>
      <w:r w:rsidRPr="00785740">
        <w:rPr>
          <w:rFonts w:ascii="Times New Roman" w:hAnsi="Times New Roman" w:cs="Times New Roman"/>
          <w:sz w:val="24"/>
          <w:szCs w:val="24"/>
        </w:rPr>
        <w:t xml:space="preserve"> and 10</w:t>
      </w:r>
      <w:r w:rsidRPr="00785740">
        <w:rPr>
          <w:rFonts w:ascii="Times New Roman" w:hAnsi="Times New Roman" w:cs="Times New Roman"/>
          <w:sz w:val="24"/>
          <w:szCs w:val="24"/>
          <w:lang w:eastAsia="zh-CN"/>
        </w:rPr>
        <w:t xml:space="preserve"> Å</w:t>
      </w:r>
      <w:r w:rsidRPr="00785740">
        <w:rPr>
          <w:rFonts w:ascii="Times New Roman" w:hAnsi="Times New Roman" w:cs="Times New Roman"/>
          <w:sz w:val="24"/>
          <w:szCs w:val="24"/>
        </w:rPr>
        <w:t xml:space="preserve"> peak areas (</w:t>
      </w:r>
      <w:r w:rsidRPr="00530DC0">
        <w:rPr>
          <w:rFonts w:ascii="Times New Roman" w:hAnsi="Times New Roman" w:cs="Times New Roman"/>
          <w:color w:val="4472C4" w:themeColor="accent1"/>
          <w:sz w:val="24"/>
          <w:szCs w:val="24"/>
        </w:rPr>
        <w:t>Esquevin 1969</w:t>
      </w:r>
      <w:r w:rsidRPr="00785740">
        <w:rPr>
          <w:rFonts w:ascii="Times New Roman" w:hAnsi="Times New Roman" w:cs="Times New Roman"/>
          <w:sz w:val="24"/>
          <w:szCs w:val="24"/>
        </w:rPr>
        <w:t xml:space="preserve">). </w:t>
      </w:r>
    </w:p>
    <w:p w14:paraId="70BFB0AB" w14:textId="77777777" w:rsidR="00487F65" w:rsidRDefault="00487F65" w:rsidP="00487F65">
      <w:pPr>
        <w:spacing w:line="360" w:lineRule="auto"/>
        <w:jc w:val="both"/>
        <w:rPr>
          <w:rFonts w:ascii="Times New Roman" w:eastAsia="TimesNewRomanPSMT" w:hAnsi="Times New Roman" w:cs="Times New Roman"/>
          <w:sz w:val="24"/>
          <w:szCs w:val="24"/>
        </w:rPr>
      </w:pPr>
      <w:r w:rsidRPr="00785740">
        <w:rPr>
          <w:rFonts w:ascii="Times New Roman" w:hAnsi="Times New Roman" w:cs="Times New Roman"/>
          <w:b/>
          <w:iCs/>
          <w:sz w:val="24"/>
          <w:szCs w:val="24"/>
        </w:rPr>
        <w:t xml:space="preserve">Geochemical analysis: </w:t>
      </w:r>
      <w:r w:rsidRPr="00785740">
        <w:rPr>
          <w:rFonts w:ascii="Times New Roman" w:hAnsi="Times New Roman" w:cs="Times New Roman"/>
          <w:sz w:val="24"/>
          <w:szCs w:val="24"/>
        </w:rPr>
        <w:t>For geochemical analysis (major oxides, trace elements including Rare Earth Elements (REEs) in 4</w:t>
      </w:r>
      <w:r>
        <w:rPr>
          <w:rFonts w:ascii="Times New Roman" w:hAnsi="Times New Roman" w:cs="Times New Roman"/>
          <w:sz w:val="24"/>
          <w:szCs w:val="24"/>
        </w:rPr>
        <w:t>3</w:t>
      </w:r>
      <w:r w:rsidRPr="00785740">
        <w:rPr>
          <w:rFonts w:ascii="Times New Roman" w:hAnsi="Times New Roman" w:cs="Times New Roman"/>
          <w:sz w:val="24"/>
          <w:szCs w:val="24"/>
        </w:rPr>
        <w:t xml:space="preserve"> sediment samples, 20g samples were crushed to a 200-mesh size using disc mil (Ritsch, Germany). The powdered samples treated with 10% HCl to remove carbonate fraction followed by repeated with Milli Q water to remove soluble fraction, and then samples were kept in hot air oven at 50</w:t>
      </w:r>
      <w:r w:rsidRPr="00785740">
        <w:rPr>
          <w:rFonts w:ascii="Times New Roman" w:hAnsi="Times New Roman" w:cs="Times New Roman"/>
          <w:sz w:val="24"/>
          <w:szCs w:val="24"/>
          <w:vertAlign w:val="superscript"/>
        </w:rPr>
        <w:t>o</w:t>
      </w:r>
      <w:r w:rsidRPr="00785740">
        <w:rPr>
          <w:rFonts w:ascii="Times New Roman" w:hAnsi="Times New Roman" w:cs="Times New Roman"/>
          <w:sz w:val="24"/>
          <w:szCs w:val="24"/>
        </w:rPr>
        <w:t>C to complete dry the samples. The samples were ground into fine powder using an agate mortar and pestle. For removal of organic fraction, decarbonated powdered samples were kept in furnace at 550</w:t>
      </w:r>
      <w:r w:rsidRPr="00C84018">
        <w:rPr>
          <w:rFonts w:ascii="Times New Roman" w:hAnsi="Times New Roman" w:cs="Times New Roman"/>
          <w:sz w:val="24"/>
          <w:szCs w:val="24"/>
          <w:vertAlign w:val="superscript"/>
        </w:rPr>
        <w:t>o</w:t>
      </w:r>
      <w:r w:rsidRPr="00785740">
        <w:rPr>
          <w:rFonts w:ascii="Times New Roman" w:hAnsi="Times New Roman" w:cs="Times New Roman"/>
          <w:sz w:val="24"/>
          <w:szCs w:val="24"/>
        </w:rPr>
        <w:t xml:space="preserve">C for 4 hrs. Of these 50mg powdered samples were taken for complete digestion in a Savillex PFA vials. The samples were completely digested in three steps. The samples were digested by </w:t>
      </w:r>
      <w:r w:rsidRPr="00314CD8">
        <w:rPr>
          <w:rFonts w:ascii="Times New Roman" w:hAnsi="Times New Roman" w:cs="Times New Roman"/>
          <w:sz w:val="24"/>
          <w:szCs w:val="24"/>
        </w:rPr>
        <w:t>using a mixture of concentrated HF-HNO</w:t>
      </w:r>
      <w:r w:rsidRPr="00314CD8">
        <w:rPr>
          <w:rFonts w:ascii="Times New Roman" w:hAnsi="Times New Roman" w:cs="Times New Roman"/>
          <w:sz w:val="24"/>
          <w:szCs w:val="24"/>
          <w:vertAlign w:val="subscript"/>
        </w:rPr>
        <w:t>3</w:t>
      </w:r>
      <w:r w:rsidRPr="00314CD8">
        <w:rPr>
          <w:rFonts w:ascii="Times New Roman" w:hAnsi="Times New Roman" w:cs="Times New Roman"/>
          <w:sz w:val="24"/>
          <w:szCs w:val="24"/>
        </w:rPr>
        <w:t>-HCLO</w:t>
      </w:r>
      <w:r w:rsidRPr="00314CD8">
        <w:rPr>
          <w:rFonts w:ascii="Times New Roman" w:hAnsi="Times New Roman" w:cs="Times New Roman"/>
          <w:sz w:val="24"/>
          <w:szCs w:val="24"/>
          <w:vertAlign w:val="subscript"/>
        </w:rPr>
        <w:t>4</w:t>
      </w:r>
      <w:r w:rsidRPr="00314CD8">
        <w:rPr>
          <w:rFonts w:ascii="Times New Roman" w:hAnsi="Times New Roman" w:cs="Times New Roman"/>
          <w:sz w:val="24"/>
          <w:szCs w:val="24"/>
        </w:rPr>
        <w:t xml:space="preserve"> followed by HCl-HNO</w:t>
      </w:r>
      <w:r w:rsidRPr="00314CD8">
        <w:rPr>
          <w:rFonts w:ascii="Times New Roman" w:hAnsi="Times New Roman" w:cs="Times New Roman"/>
          <w:sz w:val="24"/>
          <w:szCs w:val="24"/>
          <w:vertAlign w:val="subscript"/>
        </w:rPr>
        <w:t>3</w:t>
      </w:r>
      <w:r w:rsidRPr="00314CD8">
        <w:rPr>
          <w:rFonts w:ascii="Times New Roman" w:hAnsi="Times New Roman" w:cs="Times New Roman"/>
          <w:sz w:val="24"/>
          <w:szCs w:val="24"/>
        </w:rPr>
        <w:t>.</w:t>
      </w:r>
      <w:r w:rsidRPr="00785740">
        <w:rPr>
          <w:rFonts w:ascii="Times New Roman" w:hAnsi="Times New Roman" w:cs="Times New Roman"/>
          <w:sz w:val="24"/>
          <w:szCs w:val="24"/>
        </w:rPr>
        <w:t xml:space="preserve"> </w:t>
      </w:r>
      <w:r w:rsidRPr="00785740">
        <w:rPr>
          <w:rFonts w:ascii="Times New Roman" w:eastAsia="Times New Roman" w:hAnsi="Times New Roman" w:cs="Times New Roman"/>
          <w:sz w:val="24"/>
          <w:szCs w:val="24"/>
        </w:rPr>
        <w:t xml:space="preserve">Every step of the digestion process was repeated until a clear solution was achieved, and each step was completed on a hot plate </w:t>
      </w:r>
      <w:r w:rsidRPr="00785740">
        <w:rPr>
          <w:rFonts w:ascii="Times New Roman" w:eastAsia="Times New Roman" w:hAnsi="Times New Roman" w:cs="Times New Roman"/>
          <w:sz w:val="24"/>
          <w:szCs w:val="24"/>
        </w:rPr>
        <w:lastRenderedPageBreak/>
        <w:t>at 130°C for 8 hours.</w:t>
      </w:r>
      <w:r w:rsidRPr="00785740">
        <w:rPr>
          <w:rFonts w:ascii="Times New Roman" w:hAnsi="Times New Roman" w:cs="Times New Roman"/>
          <w:sz w:val="24"/>
          <w:szCs w:val="24"/>
        </w:rPr>
        <w:t xml:space="preserve"> </w:t>
      </w:r>
      <w:r w:rsidRPr="00785740">
        <w:rPr>
          <w:rFonts w:ascii="Times New Roman" w:eastAsia="Times New Roman" w:hAnsi="Times New Roman" w:cs="Times New Roman"/>
          <w:sz w:val="24"/>
          <w:szCs w:val="24"/>
        </w:rPr>
        <w:t>To get a final volume of 50 ml, the residue was re-dissolved in 2% HNO</w:t>
      </w:r>
      <w:r w:rsidRPr="00785740">
        <w:rPr>
          <w:rFonts w:ascii="Times New Roman" w:eastAsia="Times New Roman" w:hAnsi="Times New Roman" w:cs="Times New Roman"/>
          <w:sz w:val="24"/>
          <w:szCs w:val="24"/>
          <w:vertAlign w:val="subscript"/>
        </w:rPr>
        <w:t>3</w:t>
      </w:r>
      <w:r w:rsidRPr="00785740">
        <w:rPr>
          <w:rFonts w:ascii="Times New Roman" w:eastAsia="Times New Roman" w:hAnsi="Times New Roman" w:cs="Times New Roman"/>
          <w:sz w:val="24"/>
          <w:szCs w:val="24"/>
        </w:rPr>
        <w:t xml:space="preserve"> solution. The samples were measured for major</w:t>
      </w:r>
      <w:r>
        <w:rPr>
          <w:rFonts w:ascii="Times New Roman" w:eastAsia="Times New Roman" w:hAnsi="Times New Roman" w:cs="Times New Roman"/>
          <w:sz w:val="24"/>
          <w:szCs w:val="24"/>
        </w:rPr>
        <w:t xml:space="preserve">, </w:t>
      </w:r>
      <w:r w:rsidRPr="00785740">
        <w:rPr>
          <w:rFonts w:ascii="Times New Roman" w:eastAsia="Times New Roman" w:hAnsi="Times New Roman" w:cs="Times New Roman"/>
          <w:sz w:val="24"/>
          <w:szCs w:val="24"/>
        </w:rPr>
        <w:t>trace and REEs</w:t>
      </w:r>
      <w:r>
        <w:rPr>
          <w:rFonts w:ascii="Times New Roman" w:eastAsia="Times New Roman" w:hAnsi="Times New Roman" w:cs="Times New Roman"/>
          <w:sz w:val="24"/>
          <w:szCs w:val="24"/>
        </w:rPr>
        <w:t xml:space="preserve"> </w:t>
      </w:r>
      <w:r w:rsidRPr="00785740">
        <w:rPr>
          <w:rFonts w:ascii="Times New Roman" w:eastAsia="Times New Roman" w:hAnsi="Times New Roman" w:cs="Times New Roman"/>
          <w:sz w:val="24"/>
          <w:szCs w:val="24"/>
        </w:rPr>
        <w:t xml:space="preserve">elements using </w:t>
      </w:r>
      <w:r w:rsidRPr="00785740">
        <w:rPr>
          <w:rFonts w:ascii="Times New Roman" w:hAnsi="Times New Roman" w:cs="Times New Roman"/>
          <w:sz w:val="24"/>
          <w:szCs w:val="24"/>
        </w:rPr>
        <w:t>Inductively coupled plasma-mass spectrometry (Agilent® 7700x Series, Q-ICP-MS). The U.S. Geological survey’s (USGS) geological reference standards (USGS; RGM-2, SGR-1b), were used for instrument calibration.</w:t>
      </w:r>
      <w:r w:rsidRPr="00785740">
        <w:rPr>
          <w:rFonts w:ascii="Times New Roman" w:eastAsia="TimesNewRomanPSMT" w:hAnsi="Times New Roman" w:cs="Times New Roman"/>
          <w:sz w:val="24"/>
          <w:szCs w:val="24"/>
        </w:rPr>
        <w:t xml:space="preserve"> The</w:t>
      </w:r>
      <w:r w:rsidRPr="00785740">
        <w:rPr>
          <w:rFonts w:ascii="Times New Roman" w:hAnsi="Times New Roman" w:cs="Times New Roman"/>
          <w:sz w:val="24"/>
          <w:szCs w:val="24"/>
        </w:rPr>
        <w:t xml:space="preserve"> </w:t>
      </w:r>
      <w:r w:rsidRPr="00785740">
        <w:rPr>
          <w:rFonts w:ascii="Times New Roman" w:eastAsia="TimesNewRomanPSMT" w:hAnsi="Times New Roman" w:cs="Times New Roman"/>
          <w:sz w:val="24"/>
          <w:szCs w:val="24"/>
        </w:rPr>
        <w:t>precision and accuracy of the measured elements through Q-ICP</w:t>
      </w:r>
      <w:r>
        <w:rPr>
          <w:rFonts w:ascii="Times New Roman" w:eastAsia="TimesNewRomanPSMT" w:hAnsi="Times New Roman" w:cs="Times New Roman"/>
          <w:sz w:val="24"/>
          <w:szCs w:val="24"/>
        </w:rPr>
        <w:t>-</w:t>
      </w:r>
      <w:r w:rsidRPr="00785740">
        <w:rPr>
          <w:rFonts w:ascii="Times New Roman" w:eastAsia="TimesNewRomanPSMT" w:hAnsi="Times New Roman" w:cs="Times New Roman"/>
          <w:sz w:val="24"/>
          <w:szCs w:val="24"/>
        </w:rPr>
        <w:t>MS</w:t>
      </w:r>
      <w:r w:rsidRPr="00785740">
        <w:rPr>
          <w:rFonts w:ascii="Times New Roman" w:hAnsi="Times New Roman" w:cs="Times New Roman"/>
          <w:sz w:val="24"/>
          <w:szCs w:val="24"/>
        </w:rPr>
        <w:t xml:space="preserve"> </w:t>
      </w:r>
      <w:r w:rsidRPr="00785740">
        <w:rPr>
          <w:rFonts w:ascii="Times New Roman" w:eastAsia="TimesNewRomanPSMT" w:hAnsi="Times New Roman" w:cs="Times New Roman"/>
          <w:sz w:val="24"/>
          <w:szCs w:val="24"/>
        </w:rPr>
        <w:t xml:space="preserve">were better than </w:t>
      </w:r>
      <w:r>
        <w:rPr>
          <w:rFonts w:ascii="Times New Roman" w:eastAsia="TimesNewRomanPSMT" w:hAnsi="Times New Roman" w:cs="Times New Roman"/>
          <w:sz w:val="24"/>
          <w:szCs w:val="24"/>
        </w:rPr>
        <w:t>1</w:t>
      </w:r>
      <w:r w:rsidRPr="00785740">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In the present study for the estimation of SiO</w:t>
      </w:r>
      <w:r w:rsidRPr="00174B0D">
        <w:rPr>
          <w:rFonts w:ascii="Times New Roman" w:eastAsia="TimesNewRomanPSMT" w:hAnsi="Times New Roman" w:cs="Times New Roman"/>
          <w:sz w:val="24"/>
          <w:szCs w:val="24"/>
          <w:vertAlign w:val="subscript"/>
        </w:rPr>
        <w:t xml:space="preserve">2 </w:t>
      </w:r>
      <w:r>
        <w:rPr>
          <w:rFonts w:ascii="Times New Roman" w:eastAsia="TimesNewRomanPSMT" w:hAnsi="Times New Roman" w:cs="Times New Roman"/>
          <w:sz w:val="24"/>
          <w:szCs w:val="24"/>
        </w:rPr>
        <w:t xml:space="preserve">content, we have used </w:t>
      </w:r>
      <w:r w:rsidRPr="00102E4F">
        <w:rPr>
          <w:rFonts w:ascii="Times New Roman" w:eastAsia="TimesNewRomanPSMT" w:hAnsi="Times New Roman" w:cs="Times New Roman"/>
          <w:sz w:val="24"/>
          <w:szCs w:val="24"/>
        </w:rPr>
        <w:t>Al</w:t>
      </w:r>
      <w:r w:rsidRPr="00102E4F">
        <w:rPr>
          <w:rFonts w:ascii="Times New Roman" w:eastAsia="TimesNewRomanPSMT" w:hAnsi="Times New Roman" w:cs="Times New Roman"/>
          <w:sz w:val="24"/>
          <w:szCs w:val="24"/>
          <w:vertAlign w:val="subscript"/>
        </w:rPr>
        <w:t>2</w:t>
      </w:r>
      <w:r w:rsidRPr="00102E4F">
        <w:rPr>
          <w:rFonts w:ascii="Times New Roman" w:eastAsia="TimesNewRomanPSMT" w:hAnsi="Times New Roman" w:cs="Times New Roman"/>
          <w:sz w:val="24"/>
          <w:szCs w:val="24"/>
        </w:rPr>
        <w:t>O</w:t>
      </w:r>
      <w:r w:rsidRPr="00102E4F">
        <w:rPr>
          <w:rFonts w:ascii="Times New Roman" w:eastAsia="TimesNewRomanPSMT" w:hAnsi="Times New Roman" w:cs="Times New Roman"/>
          <w:sz w:val="24"/>
          <w:szCs w:val="24"/>
          <w:vertAlign w:val="subscript"/>
        </w:rPr>
        <w:t>3</w:t>
      </w:r>
      <w:r w:rsidRPr="00102E4F">
        <w:rPr>
          <w:rFonts w:ascii="Times New Roman" w:eastAsia="TimesNewRomanPSMT" w:hAnsi="Times New Roman" w:cs="Times New Roman"/>
          <w:sz w:val="24"/>
          <w:szCs w:val="24"/>
        </w:rPr>
        <w:t>/TiO</w:t>
      </w:r>
      <w:r w:rsidRPr="00102E4F">
        <w:rPr>
          <w:rFonts w:ascii="Times New Roman" w:eastAsia="TimesNewRomanPSMT" w:hAnsi="Times New Roman" w:cs="Times New Roman"/>
          <w:sz w:val="24"/>
          <w:szCs w:val="24"/>
          <w:vertAlign w:val="subscript"/>
        </w:rPr>
        <w:t>2</w:t>
      </w:r>
      <w:r w:rsidRPr="00102E4F">
        <w:rPr>
          <w:rFonts w:ascii="Times New Roman" w:eastAsia="TimesNewRomanPSMT" w:hAnsi="Times New Roman" w:cs="Times New Roman"/>
          <w:sz w:val="24"/>
          <w:szCs w:val="24"/>
        </w:rPr>
        <w:t xml:space="preserve"> ratio</w:t>
      </w:r>
      <w:r>
        <w:rPr>
          <w:rFonts w:ascii="Times New Roman" w:eastAsia="TimesNewRomanPSMT" w:hAnsi="Times New Roman" w:cs="Times New Roman"/>
          <w:sz w:val="24"/>
          <w:szCs w:val="24"/>
        </w:rPr>
        <w:t xml:space="preserve"> as proposed by </w:t>
      </w:r>
      <w:r w:rsidRPr="00102E4F">
        <w:rPr>
          <w:rFonts w:ascii="Times New Roman" w:eastAsia="TimesNewRomanPSMT" w:hAnsi="Times New Roman" w:cs="Times New Roman"/>
          <w:color w:val="4472C4" w:themeColor="accent1"/>
          <w:sz w:val="24"/>
          <w:szCs w:val="24"/>
        </w:rPr>
        <w:t>Hayashi</w:t>
      </w:r>
      <w:r w:rsidRPr="00174B0D">
        <w:rPr>
          <w:rFonts w:ascii="Times New Roman" w:eastAsia="TimesNewRomanPSMT" w:hAnsi="Times New Roman" w:cs="Times New Roman"/>
          <w:color w:val="4472C4" w:themeColor="accent1"/>
          <w:sz w:val="24"/>
          <w:szCs w:val="24"/>
        </w:rPr>
        <w:t xml:space="preserve"> </w:t>
      </w:r>
      <w:r w:rsidRPr="00102E4F">
        <w:rPr>
          <w:rFonts w:ascii="Times New Roman" w:eastAsia="TimesNewRomanPSMT" w:hAnsi="Times New Roman" w:cs="Times New Roman"/>
          <w:color w:val="4472C4" w:themeColor="accent1"/>
          <w:sz w:val="24"/>
          <w:szCs w:val="24"/>
        </w:rPr>
        <w:t xml:space="preserve">et al. </w:t>
      </w:r>
      <w:r w:rsidRPr="00102E4F">
        <w:rPr>
          <w:rFonts w:ascii="Times New Roman" w:eastAsia="TimesNewRomanPSMT" w:hAnsi="Times New Roman" w:cs="Times New Roman"/>
          <w:sz w:val="24"/>
          <w:szCs w:val="24"/>
        </w:rPr>
        <w:t>(</w:t>
      </w:r>
      <w:r w:rsidRPr="00102E4F">
        <w:rPr>
          <w:rFonts w:ascii="Times New Roman" w:eastAsia="TimesNewRomanPSMT" w:hAnsi="Times New Roman" w:cs="Times New Roman"/>
          <w:color w:val="4472C4" w:themeColor="accent1"/>
          <w:sz w:val="24"/>
          <w:szCs w:val="24"/>
        </w:rPr>
        <w:t>1997</w:t>
      </w:r>
      <w:r w:rsidRPr="00102E4F">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for the intermediate and felsic composition rocks. Further, as we have treated all samples with H</w:t>
      </w:r>
      <w:r w:rsidRPr="00174B0D">
        <w:rPr>
          <w:rFonts w:ascii="Times New Roman" w:eastAsia="TimesNewRomanPSMT" w:hAnsi="Times New Roman" w:cs="Times New Roman"/>
          <w:sz w:val="24"/>
          <w:szCs w:val="24"/>
          <w:vertAlign w:val="subscript"/>
        </w:rPr>
        <w:t>2</w:t>
      </w:r>
      <w:r>
        <w:rPr>
          <w:rFonts w:ascii="Times New Roman" w:eastAsia="TimesNewRomanPSMT" w:hAnsi="Times New Roman" w:cs="Times New Roman"/>
          <w:sz w:val="24"/>
          <w:szCs w:val="24"/>
        </w:rPr>
        <w:t>O</w:t>
      </w:r>
      <w:r w:rsidRPr="00174B0D">
        <w:rPr>
          <w:rFonts w:ascii="Times New Roman" w:eastAsia="TimesNewRomanPSMT" w:hAnsi="Times New Roman" w:cs="Times New Roman"/>
          <w:sz w:val="24"/>
          <w:szCs w:val="24"/>
          <w:vertAlign w:val="subscript"/>
        </w:rPr>
        <w:t>2</w:t>
      </w:r>
      <w:r>
        <w:rPr>
          <w:rFonts w:ascii="Times New Roman" w:eastAsia="TimesNewRomanPSMT" w:hAnsi="Times New Roman" w:cs="Times New Roman"/>
          <w:sz w:val="24"/>
          <w:szCs w:val="24"/>
        </w:rPr>
        <w:t xml:space="preserve"> and acetic acid to remove all traces of organic and CaCO</w:t>
      </w:r>
      <w:r w:rsidRPr="00174B0D">
        <w:rPr>
          <w:rFonts w:ascii="Times New Roman" w:eastAsia="TimesNewRomanPSMT" w:hAnsi="Times New Roman" w:cs="Times New Roman"/>
          <w:sz w:val="24"/>
          <w:szCs w:val="24"/>
          <w:vertAlign w:val="subscript"/>
        </w:rPr>
        <w:t>3</w:t>
      </w:r>
      <w:r>
        <w:rPr>
          <w:rFonts w:ascii="Times New Roman" w:eastAsia="TimesNewRomanPSMT" w:hAnsi="Times New Roman" w:cs="Times New Roman"/>
          <w:sz w:val="24"/>
          <w:szCs w:val="24"/>
        </w:rPr>
        <w:t xml:space="preserve"> contents before total dissolution of the samples. Hence, </w:t>
      </w:r>
      <w:r w:rsidRPr="00102E4F">
        <w:rPr>
          <w:rFonts w:ascii="Times New Roman" w:eastAsia="TimesNewRomanPSMT" w:hAnsi="Times New Roman" w:cs="Times New Roman"/>
          <w:sz w:val="24"/>
          <w:szCs w:val="24"/>
        </w:rPr>
        <w:t>the difference in the sum of major</w:t>
      </w:r>
      <w:r>
        <w:rPr>
          <w:rFonts w:ascii="Times New Roman" w:eastAsia="TimesNewRomanPSMT" w:hAnsi="Times New Roman" w:cs="Times New Roman"/>
          <w:sz w:val="24"/>
          <w:szCs w:val="24"/>
        </w:rPr>
        <w:t xml:space="preserve"> </w:t>
      </w:r>
      <w:r w:rsidRPr="00102E4F">
        <w:rPr>
          <w:rFonts w:ascii="Times New Roman" w:eastAsia="TimesNewRomanPSMT" w:hAnsi="Times New Roman" w:cs="Times New Roman"/>
          <w:sz w:val="24"/>
          <w:szCs w:val="24"/>
        </w:rPr>
        <w:t>oxide and total major element abundances is</w:t>
      </w:r>
      <w:r>
        <w:rPr>
          <w:rFonts w:ascii="Times New Roman" w:eastAsia="TimesNewRomanPSMT" w:hAnsi="Times New Roman" w:cs="Times New Roman"/>
          <w:sz w:val="24"/>
          <w:szCs w:val="24"/>
        </w:rPr>
        <w:t xml:space="preserve"> supposed</w:t>
      </w:r>
      <w:r w:rsidRPr="00102E4F">
        <w:rPr>
          <w:rFonts w:ascii="Times New Roman" w:eastAsia="TimesNewRomanPSMT" w:hAnsi="Times New Roman" w:cs="Times New Roman"/>
          <w:sz w:val="24"/>
          <w:szCs w:val="24"/>
        </w:rPr>
        <w:t xml:space="preserve"> to be SiO</w:t>
      </w:r>
      <w:r w:rsidRPr="00102E4F">
        <w:rPr>
          <w:rFonts w:ascii="Times New Roman" w:eastAsia="TimesNewRomanPSMT" w:hAnsi="Times New Roman" w:cs="Times New Roman"/>
          <w:sz w:val="24"/>
          <w:szCs w:val="24"/>
          <w:vertAlign w:val="subscript"/>
        </w:rPr>
        <w:t>2</w:t>
      </w:r>
      <w:r w:rsidRPr="00102E4F">
        <w:rPr>
          <w:rFonts w:ascii="Times New Roman" w:eastAsia="TimesNewRomanPSMT" w:hAnsi="Times New Roman" w:cs="Times New Roman"/>
          <w:sz w:val="24"/>
          <w:szCs w:val="24"/>
        </w:rPr>
        <w:t xml:space="preserve"> con</w:t>
      </w:r>
      <w:r>
        <w:rPr>
          <w:rFonts w:ascii="Times New Roman" w:eastAsia="TimesNewRomanPSMT" w:hAnsi="Times New Roman" w:cs="Times New Roman"/>
          <w:sz w:val="24"/>
          <w:szCs w:val="24"/>
        </w:rPr>
        <w:t xml:space="preserve">centration. </w:t>
      </w:r>
    </w:p>
    <w:p w14:paraId="04E98E74" w14:textId="68F40A36" w:rsidR="00487F65" w:rsidRDefault="00487F65" w:rsidP="00487F65">
      <w:pPr>
        <w:spacing w:line="360" w:lineRule="auto"/>
        <w:jc w:val="both"/>
        <w:rPr>
          <w:rFonts w:ascii="Times New Roman" w:hAnsi="Times New Roman" w:cs="Times New Roman"/>
          <w:sz w:val="24"/>
          <w:szCs w:val="24"/>
        </w:rPr>
      </w:pPr>
      <w:r>
        <w:rPr>
          <w:rFonts w:ascii="Times New Roman" w:hAnsi="Times New Roman"/>
          <w:sz w:val="24"/>
          <w:szCs w:val="24"/>
        </w:rPr>
        <w:t>The CIA values are calculated as the formula CIA= {Al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+CaO</w:t>
      </w:r>
      <w:r>
        <w:rPr>
          <w:rFonts w:ascii="Times New Roman" w:hAnsi="Times New Roman"/>
          <w:sz w:val="24"/>
          <w:szCs w:val="24"/>
          <w:vertAlign w:val="superscript"/>
        </w:rPr>
        <w:t>*</w:t>
      </w:r>
      <w:r>
        <w:rPr>
          <w:rFonts w:ascii="Times New Roman" w:hAnsi="Times New Roman"/>
          <w:sz w:val="24"/>
          <w:szCs w:val="24"/>
        </w:rPr>
        <w:t>+Na</w:t>
      </w:r>
      <w:r>
        <w:rPr>
          <w:rFonts w:ascii="Times New Roman" w:hAnsi="Times New Roman"/>
          <w:sz w:val="24"/>
          <w:szCs w:val="24"/>
          <w:vertAlign w:val="subscript"/>
        </w:rPr>
        <w:t>2</w:t>
      </w:r>
      <w:r>
        <w:rPr>
          <w:rFonts w:ascii="Times New Roman" w:hAnsi="Times New Roman"/>
          <w:sz w:val="24"/>
          <w:szCs w:val="24"/>
        </w:rPr>
        <w:t>O+K</w:t>
      </w:r>
      <w:r>
        <w:rPr>
          <w:rFonts w:ascii="Times New Roman" w:hAnsi="Times New Roman"/>
          <w:sz w:val="24"/>
          <w:szCs w:val="24"/>
          <w:vertAlign w:val="subscript"/>
        </w:rPr>
        <w:t>2</w:t>
      </w:r>
      <w:r>
        <w:rPr>
          <w:rFonts w:ascii="Times New Roman" w:hAnsi="Times New Roman"/>
          <w:sz w:val="24"/>
          <w:szCs w:val="24"/>
        </w:rPr>
        <w:t xml:space="preserve">O} x 100, </w:t>
      </w:r>
      <w:r>
        <w:rPr>
          <w:rFonts w:ascii="Times New Roman" w:hAnsi="Times New Roman"/>
          <w:sz w:val="24"/>
          <w:szCs w:val="24"/>
          <w:lang w:val="de-DE"/>
        </w:rPr>
        <w:t>(</w:t>
      </w:r>
      <w:r>
        <w:rPr>
          <w:rFonts w:ascii="Times New Roman" w:hAnsi="Times New Roman"/>
          <w:sz w:val="24"/>
          <w:szCs w:val="24"/>
        </w:rPr>
        <w:t>where CaO</w:t>
      </w:r>
      <w:r>
        <w:rPr>
          <w:rFonts w:ascii="Times New Roman" w:hAnsi="Times New Roman"/>
          <w:sz w:val="24"/>
          <w:szCs w:val="24"/>
          <w:lang w:val="de-DE"/>
        </w:rPr>
        <w:t>*</w:t>
      </w:r>
      <w:r>
        <w:rPr>
          <w:rFonts w:ascii="Times New Roman" w:hAnsi="Times New Roman"/>
          <w:sz w:val="24"/>
          <w:szCs w:val="24"/>
        </w:rPr>
        <w:t xml:space="preserve"> is</w:t>
      </w:r>
      <w:r>
        <w:rPr>
          <w:rFonts w:ascii="Times New Roman" w:hAnsi="Times New Roman"/>
          <w:sz w:val="24"/>
          <w:szCs w:val="24"/>
          <w:lang w:val="de-DE"/>
        </w:rPr>
        <w:t xml:space="preserve"> for the carbonate free</w:t>
      </w:r>
      <w:r>
        <w:rPr>
          <w:rFonts w:ascii="Times New Roman" w:hAnsi="Times New Roman"/>
          <w:sz w:val="24"/>
          <w:szCs w:val="24"/>
        </w:rPr>
        <w:t xml:space="preserve"> silicate fraction</w:t>
      </w:r>
      <w:r>
        <w:rPr>
          <w:rFonts w:ascii="Times New Roman" w:hAnsi="Times New Roman"/>
          <w:sz w:val="24"/>
          <w:szCs w:val="24"/>
          <w:lang w:val="de-DE"/>
        </w:rPr>
        <w:t>)</w:t>
      </w:r>
      <w:r>
        <w:rPr>
          <w:rFonts w:ascii="Times New Roman" w:hAnsi="Times New Roman"/>
          <w:sz w:val="24"/>
          <w:szCs w:val="24"/>
        </w:rPr>
        <w:t xml:space="preserve"> and all major oxides are expressed in molar proportions. The CIA value</w:t>
      </w:r>
      <w:r>
        <w:rPr>
          <w:rFonts w:ascii="Times New Roman" w:hAnsi="Times New Roman"/>
          <w:sz w:val="24"/>
          <w:szCs w:val="24"/>
          <w:lang w:val="de-DE"/>
        </w:rPr>
        <w:t xml:space="preserve"> is dependant on the often-assumed composition of source rocks</w:t>
      </w:r>
      <w:r>
        <w:rPr>
          <w:rFonts w:ascii="Times New Roman" w:hAnsi="Times New Roman"/>
          <w:sz w:val="24"/>
          <w:szCs w:val="24"/>
        </w:rPr>
        <w:t xml:space="preserve"> </w:t>
      </w:r>
      <w:r>
        <w:rPr>
          <w:rFonts w:ascii="Times New Roman" w:hAnsi="Times New Roman"/>
          <w:sz w:val="24"/>
          <w:szCs w:val="24"/>
          <w:lang w:val="de-DE"/>
        </w:rPr>
        <w:t xml:space="preserve">but generally values </w:t>
      </w:r>
      <w:r>
        <w:rPr>
          <w:rFonts w:ascii="Times New Roman" w:hAnsi="Times New Roman"/>
          <w:sz w:val="24"/>
          <w:szCs w:val="24"/>
        </w:rPr>
        <w:t xml:space="preserve">of 50 or less suggests no weathering, </w:t>
      </w:r>
      <w:r>
        <w:rPr>
          <w:rFonts w:ascii="Times New Roman" w:hAnsi="Times New Roman"/>
          <w:sz w:val="24"/>
          <w:szCs w:val="24"/>
          <w:lang w:val="de-DE"/>
        </w:rPr>
        <w:t xml:space="preserve">values between </w:t>
      </w:r>
      <w:r>
        <w:rPr>
          <w:rFonts w:ascii="Times New Roman" w:hAnsi="Times New Roman"/>
          <w:sz w:val="24"/>
          <w:szCs w:val="24"/>
        </w:rPr>
        <w:t xml:space="preserve">50 to 60 indicate the initial stage of weathering, 65 to 84 </w:t>
      </w:r>
      <w:r>
        <w:rPr>
          <w:rFonts w:ascii="Times New Roman" w:hAnsi="Times New Roman"/>
          <w:sz w:val="24"/>
          <w:szCs w:val="24"/>
          <w:lang w:val="de-DE"/>
        </w:rPr>
        <w:t xml:space="preserve">a </w:t>
      </w:r>
      <w:r>
        <w:rPr>
          <w:rFonts w:ascii="Times New Roman" w:hAnsi="Times New Roman"/>
          <w:sz w:val="24"/>
          <w:szCs w:val="24"/>
        </w:rPr>
        <w:t xml:space="preserve">moderate degree of weathering and </w:t>
      </w:r>
      <w:r>
        <w:rPr>
          <w:rFonts w:ascii="Times New Roman" w:hAnsi="Times New Roman"/>
          <w:sz w:val="24"/>
          <w:szCs w:val="24"/>
          <w:lang w:val="de-DE"/>
        </w:rPr>
        <w:t xml:space="preserve">values </w:t>
      </w:r>
      <w:r>
        <w:rPr>
          <w:rFonts w:ascii="Times New Roman" w:hAnsi="Times New Roman"/>
          <w:sz w:val="24"/>
          <w:szCs w:val="24"/>
        </w:rPr>
        <w:t>&gt; 84 suggests intense weathering (</w:t>
      </w:r>
      <w:r w:rsidR="00314CD8">
        <w:rPr>
          <w:rFonts w:ascii="Times New Roman" w:hAnsi="Times New Roman"/>
          <w:color w:val="4472C4" w:themeColor="accent1"/>
          <w:sz w:val="24"/>
          <w:szCs w:val="24"/>
          <w:u w:color="5B9BD5"/>
        </w:rPr>
        <w:t>Fedo et al.</w:t>
      </w:r>
      <w:r w:rsidRPr="009F76C1">
        <w:rPr>
          <w:rFonts w:ascii="Times New Roman" w:hAnsi="Times New Roman"/>
          <w:color w:val="4472C4" w:themeColor="accent1"/>
          <w:sz w:val="24"/>
          <w:szCs w:val="24"/>
          <w:u w:color="5B9BD5"/>
        </w:rPr>
        <w:t xml:space="preserve"> 1996</w:t>
      </w:r>
      <w:r w:rsidRPr="009F76C1">
        <w:rPr>
          <w:rFonts w:ascii="Times New Roman" w:hAnsi="Times New Roman"/>
          <w:sz w:val="24"/>
          <w:szCs w:val="24"/>
          <w:u w:color="5B9BD5"/>
        </w:rPr>
        <w:t>).</w:t>
      </w:r>
      <w:r w:rsidRPr="009F76C1">
        <w:rPr>
          <w:rFonts w:ascii="Times New Roman" w:hAnsi="Times New Roman" w:cs="Times New Roman"/>
          <w:sz w:val="24"/>
          <w:szCs w:val="24"/>
        </w:rPr>
        <w:t xml:space="preserve"> </w:t>
      </w:r>
      <w:r>
        <w:rPr>
          <w:rFonts w:ascii="Times New Roman" w:hAnsi="Times New Roman" w:cs="Times New Roman"/>
          <w:sz w:val="24"/>
          <w:szCs w:val="24"/>
        </w:rPr>
        <w:t xml:space="preserve"> The </w:t>
      </w:r>
      <w:r w:rsidRPr="00EC2A73">
        <w:rPr>
          <w:rFonts w:ascii="Times New Roman" w:hAnsi="Times New Roman" w:cs="Times New Roman"/>
          <w:sz w:val="24"/>
          <w:szCs w:val="24"/>
        </w:rPr>
        <w:t>α</w:t>
      </w:r>
      <w:r w:rsidRPr="00EC2A73">
        <w:rPr>
          <w:rFonts w:ascii="Times New Roman" w:hAnsi="Times New Roman" w:cs="Times New Roman"/>
          <w:sz w:val="24"/>
          <w:szCs w:val="24"/>
          <w:vertAlign w:val="superscript"/>
        </w:rPr>
        <w:t>Al</w:t>
      </w:r>
      <w:r w:rsidRPr="00EC2A73">
        <w:rPr>
          <w:rFonts w:ascii="Times New Roman" w:hAnsi="Times New Roman" w:cs="Times New Roman"/>
          <w:sz w:val="24"/>
          <w:szCs w:val="24"/>
        </w:rPr>
        <w:t>Na</w:t>
      </w:r>
      <w:r w:rsidRPr="00263E97">
        <w:rPr>
          <w:rFonts w:ascii="Times New Roman" w:hAnsi="Times New Roman" w:cs="Times New Roman"/>
          <w:sz w:val="24"/>
          <w:szCs w:val="24"/>
        </w:rPr>
        <w:t xml:space="preserve"> </w:t>
      </w:r>
      <w:r>
        <w:rPr>
          <w:rFonts w:ascii="Times New Roman" w:hAnsi="Times New Roman" w:cs="Times New Roman"/>
          <w:sz w:val="24"/>
          <w:szCs w:val="24"/>
        </w:rPr>
        <w:t xml:space="preserve"> is also </w:t>
      </w:r>
      <w:r w:rsidRPr="00263E97">
        <w:rPr>
          <w:rFonts w:ascii="Times New Roman" w:hAnsi="Times New Roman" w:cs="Times New Roman"/>
          <w:sz w:val="24"/>
          <w:szCs w:val="24"/>
        </w:rPr>
        <w:t>applied in this study to evaluate the chemical weathering conditions</w:t>
      </w:r>
      <w:r>
        <w:rPr>
          <w:rFonts w:ascii="Times New Roman" w:hAnsi="Times New Roman" w:cs="Times New Roman"/>
          <w:sz w:val="24"/>
          <w:szCs w:val="24"/>
        </w:rPr>
        <w:t xml:space="preserve"> </w:t>
      </w:r>
      <w:r w:rsidRPr="00263E97">
        <w:rPr>
          <w:rFonts w:ascii="Times New Roman" w:hAnsi="Times New Roman" w:cs="Times New Roman"/>
          <w:sz w:val="24"/>
          <w:szCs w:val="24"/>
        </w:rPr>
        <w:t>(</w:t>
      </w:r>
      <w:r w:rsidR="00314CD8">
        <w:rPr>
          <w:rFonts w:ascii="Times New Roman" w:hAnsi="Times New Roman" w:cs="Times New Roman"/>
          <w:color w:val="4472C4" w:themeColor="accent1"/>
          <w:sz w:val="24"/>
          <w:szCs w:val="24"/>
        </w:rPr>
        <w:t>Garzanti et al.</w:t>
      </w:r>
      <w:r w:rsidRPr="00147EE5">
        <w:rPr>
          <w:rFonts w:ascii="Times New Roman" w:hAnsi="Times New Roman" w:cs="Times New Roman"/>
          <w:color w:val="4472C4" w:themeColor="accent1"/>
          <w:sz w:val="24"/>
          <w:szCs w:val="24"/>
        </w:rPr>
        <w:t xml:space="preserve"> 2013</w:t>
      </w:r>
      <w:r w:rsidRPr="00263E97">
        <w:rPr>
          <w:rFonts w:ascii="Times New Roman" w:hAnsi="Times New Roman" w:cs="Times New Roman"/>
          <w:sz w:val="24"/>
          <w:szCs w:val="24"/>
        </w:rPr>
        <w:t>) and the calculation formula</w:t>
      </w:r>
      <w:r>
        <w:rPr>
          <w:rFonts w:ascii="Times New Roman" w:hAnsi="Times New Roman" w:cs="Times New Roman"/>
          <w:sz w:val="24"/>
          <w:szCs w:val="24"/>
        </w:rPr>
        <w:t xml:space="preserve"> is </w:t>
      </w:r>
      <w:r w:rsidRPr="00263E97">
        <w:rPr>
          <w:rFonts w:ascii="Times New Roman" w:hAnsi="Times New Roman" w:cs="Times New Roman"/>
          <w:sz w:val="24"/>
          <w:szCs w:val="24"/>
        </w:rPr>
        <w:t>as follows:</w:t>
      </w:r>
      <w:r>
        <w:rPr>
          <w:rFonts w:ascii="Times New Roman" w:hAnsi="Times New Roman" w:cs="Times New Roman"/>
          <w:sz w:val="24"/>
          <w:szCs w:val="24"/>
        </w:rPr>
        <w:t xml:space="preserve"> </w:t>
      </w:r>
      <w:r w:rsidRPr="00EC2A73">
        <w:rPr>
          <w:rFonts w:ascii="Times New Roman" w:hAnsi="Times New Roman" w:cs="Times New Roman"/>
          <w:sz w:val="24"/>
          <w:szCs w:val="24"/>
        </w:rPr>
        <w:t>α</w:t>
      </w:r>
      <w:r w:rsidRPr="00EC2A73">
        <w:rPr>
          <w:rFonts w:ascii="Times New Roman" w:hAnsi="Times New Roman" w:cs="Times New Roman"/>
          <w:sz w:val="24"/>
          <w:szCs w:val="24"/>
          <w:vertAlign w:val="superscript"/>
        </w:rPr>
        <w:t>Al</w:t>
      </w:r>
      <w:r w:rsidRPr="00EC2A73">
        <w:rPr>
          <w:rFonts w:ascii="Times New Roman" w:hAnsi="Times New Roman" w:cs="Times New Roman"/>
          <w:sz w:val="24"/>
          <w:szCs w:val="24"/>
        </w:rPr>
        <w:t>Na</w:t>
      </w:r>
      <w:r w:rsidRPr="00263E97">
        <w:rPr>
          <w:rFonts w:ascii="Times New Roman" w:hAnsi="Times New Roman" w:cs="Times New Roman"/>
          <w:sz w:val="24"/>
          <w:szCs w:val="24"/>
        </w:rPr>
        <w:t xml:space="preserve"> =(Al/</w:t>
      </w:r>
      <w:r>
        <w:rPr>
          <w:rFonts w:ascii="Times New Roman" w:hAnsi="Times New Roman" w:cs="Times New Roman"/>
          <w:sz w:val="24"/>
          <w:szCs w:val="24"/>
        </w:rPr>
        <w:t>Na</w:t>
      </w:r>
      <w:r w:rsidRPr="00263E97">
        <w:rPr>
          <w:rFonts w:ascii="Times New Roman" w:hAnsi="Times New Roman" w:cs="Times New Roman"/>
          <w:sz w:val="24"/>
          <w:szCs w:val="24"/>
        </w:rPr>
        <w:t>)sediment/(Al/</w:t>
      </w:r>
      <w:r>
        <w:rPr>
          <w:rFonts w:ascii="Times New Roman" w:hAnsi="Times New Roman" w:cs="Times New Roman"/>
          <w:sz w:val="24"/>
          <w:szCs w:val="24"/>
        </w:rPr>
        <w:t>Na</w:t>
      </w:r>
      <w:r w:rsidRPr="00263E97">
        <w:rPr>
          <w:rFonts w:ascii="Times New Roman" w:hAnsi="Times New Roman" w:cs="Times New Roman"/>
          <w:sz w:val="24"/>
          <w:szCs w:val="24"/>
        </w:rPr>
        <w:t>)</w:t>
      </w:r>
      <w:r w:rsidRPr="00263E97">
        <w:rPr>
          <w:rFonts w:ascii="Times New Roman" w:hAnsi="Times New Roman" w:cs="Times New Roman"/>
          <w:sz w:val="24"/>
          <w:szCs w:val="24"/>
          <w:vertAlign w:val="subscript"/>
        </w:rPr>
        <w:t>UCC</w:t>
      </w:r>
      <w:r w:rsidRPr="00BE2DF8">
        <w:rPr>
          <w:rFonts w:ascii="Times New Roman" w:hAnsi="Times New Roman" w:cs="Times New Roman"/>
          <w:sz w:val="24"/>
          <w:szCs w:val="24"/>
        </w:rPr>
        <w:t>.</w:t>
      </w:r>
      <w:r>
        <w:rPr>
          <w:rFonts w:ascii="Times New Roman" w:hAnsi="Times New Roman" w:cs="Times New Roman"/>
          <w:sz w:val="24"/>
          <w:szCs w:val="24"/>
        </w:rPr>
        <w:t xml:space="preserve"> </w:t>
      </w:r>
      <w:r w:rsidRPr="00BE2DF8">
        <w:rPr>
          <w:rFonts w:ascii="Times New Roman" w:hAnsi="Times New Roman" w:cs="Times New Roman"/>
          <w:sz w:val="24"/>
          <w:szCs w:val="24"/>
        </w:rPr>
        <w:t xml:space="preserve"> </w:t>
      </w:r>
    </w:p>
    <w:p w14:paraId="74D8BB6F" w14:textId="6C859CDE" w:rsidR="00C84018" w:rsidRPr="00C84018" w:rsidRDefault="00C84018" w:rsidP="00C84018">
      <w:pPr>
        <w:spacing w:line="360" w:lineRule="auto"/>
        <w:jc w:val="both"/>
        <w:rPr>
          <w:rFonts w:ascii="Times New Roman" w:hAnsi="Times New Roman" w:cs="Times New Roman"/>
          <w:b/>
          <w:bCs/>
          <w:sz w:val="24"/>
          <w:szCs w:val="24"/>
          <w:lang w:val="en-US"/>
        </w:rPr>
      </w:pPr>
      <w:r w:rsidRPr="00C84018">
        <w:rPr>
          <w:rFonts w:ascii="Times New Roman" w:hAnsi="Times New Roman" w:cs="Times New Roman"/>
          <w:b/>
          <w:bCs/>
          <w:sz w:val="24"/>
          <w:szCs w:val="24"/>
          <w:lang w:val="en-US"/>
        </w:rPr>
        <w:t>Supplementary Fig. 3.</w:t>
      </w:r>
      <w:r w:rsidR="00D709FC">
        <w:rPr>
          <w:rFonts w:ascii="Times New Roman" w:hAnsi="Times New Roman" w:cs="Times New Roman"/>
          <w:b/>
          <w:bCs/>
          <w:sz w:val="24"/>
          <w:szCs w:val="24"/>
          <w:lang w:val="en-US"/>
        </w:rPr>
        <w:t xml:space="preserve"> </w:t>
      </w:r>
      <w:r w:rsidR="00D709FC">
        <w:rPr>
          <w:rFonts w:ascii="Times New Roman" w:hAnsi="Times New Roman" w:cs="Times New Roman"/>
          <w:b/>
          <w:bCs/>
          <w:sz w:val="24"/>
          <w:szCs w:val="24"/>
        </w:rPr>
        <w:t xml:space="preserve">(a) </w:t>
      </w:r>
      <w:r w:rsidR="00D709FC" w:rsidRPr="00C1593F">
        <w:rPr>
          <w:rFonts w:ascii="Times New Roman" w:hAnsi="Times New Roman" w:cs="Times New Roman"/>
          <w:sz w:val="24"/>
          <w:szCs w:val="24"/>
        </w:rPr>
        <w:t>Plot of the grain-size distribution for each sample along size distribution, (b) Number of end member</w:t>
      </w:r>
      <w:r w:rsidR="00D709FC">
        <w:rPr>
          <w:rFonts w:ascii="Times New Roman" w:hAnsi="Times New Roman" w:cs="Times New Roman"/>
          <w:sz w:val="24"/>
          <w:szCs w:val="24"/>
        </w:rPr>
        <w:t>s</w:t>
      </w:r>
      <w:r w:rsidR="00D709FC" w:rsidRPr="00C1593F">
        <w:rPr>
          <w:rFonts w:ascii="Times New Roman" w:hAnsi="Times New Roman" w:cs="Times New Roman"/>
          <w:sz w:val="24"/>
          <w:szCs w:val="24"/>
        </w:rPr>
        <w:t xml:space="preserve"> vs variance,</w:t>
      </w:r>
      <w:r w:rsidR="00F43FB9">
        <w:rPr>
          <w:rFonts w:ascii="Times New Roman" w:hAnsi="Times New Roman" w:cs="Times New Roman"/>
          <w:sz w:val="24"/>
          <w:szCs w:val="24"/>
        </w:rPr>
        <w:t xml:space="preserve"> (c) Result of the EMMA (</w:t>
      </w:r>
      <w:r w:rsidR="00F43FB9" w:rsidRPr="0043771A">
        <w:rPr>
          <w:rFonts w:ascii="Times New Roman" w:hAnsi="Times New Roman" w:cs="Times New Roman"/>
          <w:color w:val="4472C4" w:themeColor="accent1"/>
          <w:sz w:val="24"/>
          <w:szCs w:val="24"/>
        </w:rPr>
        <w:t>Weltje</w:t>
      </w:r>
      <w:r w:rsidR="00D709FC" w:rsidRPr="0043771A">
        <w:rPr>
          <w:rFonts w:ascii="Times New Roman" w:hAnsi="Times New Roman" w:cs="Times New Roman"/>
          <w:color w:val="4472C4" w:themeColor="accent1"/>
          <w:sz w:val="24"/>
          <w:szCs w:val="24"/>
        </w:rPr>
        <w:t xml:space="preserve"> 1997</w:t>
      </w:r>
      <w:r w:rsidR="00D709FC" w:rsidRPr="00C1593F">
        <w:rPr>
          <w:rFonts w:ascii="Times New Roman" w:hAnsi="Times New Roman" w:cs="Times New Roman"/>
          <w:sz w:val="24"/>
          <w:szCs w:val="24"/>
        </w:rPr>
        <w:t>), with the grain-size distribution of two first end members (EM1 and EM2) that explain more than 95 % of the total variance.</w:t>
      </w:r>
      <w:r w:rsidR="00D709FC">
        <w:rPr>
          <w:rFonts w:ascii="Times New Roman" w:hAnsi="Times New Roman" w:cs="Times New Roman"/>
          <w:sz w:val="24"/>
          <w:szCs w:val="24"/>
        </w:rPr>
        <w:t xml:space="preserve"> </w:t>
      </w:r>
      <w:r w:rsidR="00D709FC">
        <w:rPr>
          <w:rFonts w:ascii="Times New Roman" w:hAnsi="Times New Roman" w:cs="Times New Roman"/>
          <w:b/>
          <w:bCs/>
          <w:sz w:val="24"/>
          <w:szCs w:val="24"/>
        </w:rPr>
        <w:t xml:space="preserve">  </w:t>
      </w:r>
    </w:p>
    <w:p w14:paraId="3756A359" w14:textId="399B8264" w:rsidR="00C84018" w:rsidRDefault="00C84018" w:rsidP="00C84018">
      <w:pPr>
        <w:spacing w:after="0" w:line="360" w:lineRule="auto"/>
        <w:jc w:val="both"/>
        <w:rPr>
          <w:rFonts w:ascii="Times New Roman" w:hAnsi="Times New Roman" w:cs="Times New Roman"/>
          <w:sz w:val="24"/>
          <w:szCs w:val="24"/>
        </w:rPr>
      </w:pPr>
      <w:r>
        <w:rPr>
          <w:noProof/>
          <w:lang w:val="en-US"/>
        </w:rPr>
        <w:lastRenderedPageBreak/>
        <w:drawing>
          <wp:anchor distT="0" distB="0" distL="114300" distR="114300" simplePos="0" relativeHeight="251661312" behindDoc="1" locked="0" layoutInCell="1" allowOverlap="1" wp14:anchorId="6396C839" wp14:editId="59974919">
            <wp:simplePos x="0" y="0"/>
            <wp:positionH relativeFrom="margin">
              <wp:align>center</wp:align>
            </wp:positionH>
            <wp:positionV relativeFrom="paragraph">
              <wp:posOffset>179665</wp:posOffset>
            </wp:positionV>
            <wp:extent cx="4371975" cy="6642100"/>
            <wp:effectExtent l="0" t="0" r="9525" b="6350"/>
            <wp:wrapTight wrapText="bothSides">
              <wp:wrapPolygon edited="0">
                <wp:start x="0" y="0"/>
                <wp:lineTo x="0" y="21559"/>
                <wp:lineTo x="21553" y="21559"/>
                <wp:lineTo x="21553" y="0"/>
                <wp:lineTo x="0" y="0"/>
              </wp:wrapPolygon>
            </wp:wrapTight>
            <wp:docPr id="1195346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1975" cy="664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E5B61" w14:textId="77777777" w:rsidR="00C84018" w:rsidRDefault="00C84018" w:rsidP="00C84018">
      <w:pPr>
        <w:spacing w:after="0" w:line="360" w:lineRule="auto"/>
        <w:jc w:val="both"/>
        <w:rPr>
          <w:rFonts w:ascii="Times New Roman" w:hAnsi="Times New Roman" w:cs="Times New Roman"/>
          <w:sz w:val="24"/>
          <w:szCs w:val="24"/>
        </w:rPr>
      </w:pPr>
    </w:p>
    <w:p w14:paraId="556654EA" w14:textId="77777777" w:rsidR="00C84018" w:rsidRDefault="00C84018" w:rsidP="00C84018">
      <w:pPr>
        <w:spacing w:after="0" w:line="360" w:lineRule="auto"/>
        <w:jc w:val="both"/>
        <w:rPr>
          <w:rFonts w:ascii="Times New Roman" w:hAnsi="Times New Roman" w:cs="Times New Roman"/>
          <w:sz w:val="24"/>
          <w:szCs w:val="24"/>
        </w:rPr>
      </w:pPr>
    </w:p>
    <w:p w14:paraId="6003319A" w14:textId="77777777" w:rsidR="00C84018" w:rsidRDefault="00C84018" w:rsidP="00C84018">
      <w:pPr>
        <w:spacing w:after="0" w:line="360" w:lineRule="auto"/>
        <w:jc w:val="both"/>
        <w:rPr>
          <w:rFonts w:ascii="Times New Roman" w:hAnsi="Times New Roman" w:cs="Times New Roman"/>
          <w:sz w:val="24"/>
          <w:szCs w:val="24"/>
        </w:rPr>
      </w:pPr>
    </w:p>
    <w:p w14:paraId="1CC91804" w14:textId="77777777" w:rsidR="00C84018" w:rsidRDefault="00C84018" w:rsidP="00C84018">
      <w:pPr>
        <w:spacing w:after="0" w:line="360" w:lineRule="auto"/>
        <w:jc w:val="both"/>
        <w:rPr>
          <w:rFonts w:ascii="Times New Roman" w:hAnsi="Times New Roman" w:cs="Times New Roman"/>
          <w:sz w:val="24"/>
          <w:szCs w:val="24"/>
        </w:rPr>
      </w:pPr>
    </w:p>
    <w:p w14:paraId="64024C70" w14:textId="77777777" w:rsidR="00C84018" w:rsidRDefault="00C84018" w:rsidP="00C84018">
      <w:pPr>
        <w:spacing w:after="0" w:line="360" w:lineRule="auto"/>
        <w:jc w:val="both"/>
        <w:rPr>
          <w:rFonts w:ascii="Times New Roman" w:hAnsi="Times New Roman" w:cs="Times New Roman"/>
          <w:sz w:val="24"/>
          <w:szCs w:val="24"/>
        </w:rPr>
      </w:pPr>
    </w:p>
    <w:p w14:paraId="48CEBC36" w14:textId="77777777" w:rsidR="00C84018" w:rsidRDefault="00C84018" w:rsidP="00C84018">
      <w:pPr>
        <w:spacing w:after="0" w:line="360" w:lineRule="auto"/>
        <w:jc w:val="both"/>
        <w:rPr>
          <w:rFonts w:ascii="Times New Roman" w:hAnsi="Times New Roman" w:cs="Times New Roman"/>
          <w:sz w:val="24"/>
          <w:szCs w:val="24"/>
        </w:rPr>
      </w:pPr>
    </w:p>
    <w:p w14:paraId="1E526F85" w14:textId="77777777" w:rsidR="00C84018" w:rsidRDefault="00C84018" w:rsidP="00C84018">
      <w:pPr>
        <w:spacing w:after="0" w:line="360" w:lineRule="auto"/>
        <w:jc w:val="both"/>
        <w:rPr>
          <w:rFonts w:ascii="Times New Roman" w:hAnsi="Times New Roman" w:cs="Times New Roman"/>
          <w:sz w:val="24"/>
          <w:szCs w:val="24"/>
        </w:rPr>
      </w:pPr>
    </w:p>
    <w:p w14:paraId="4D6375B5" w14:textId="77777777" w:rsidR="00C84018" w:rsidRDefault="00C84018" w:rsidP="00C84018">
      <w:pPr>
        <w:spacing w:after="0" w:line="360" w:lineRule="auto"/>
        <w:jc w:val="both"/>
        <w:rPr>
          <w:rFonts w:ascii="Times New Roman" w:hAnsi="Times New Roman" w:cs="Times New Roman"/>
          <w:sz w:val="24"/>
          <w:szCs w:val="24"/>
        </w:rPr>
      </w:pPr>
    </w:p>
    <w:p w14:paraId="613F8019" w14:textId="77777777" w:rsidR="00C84018" w:rsidRDefault="00C84018" w:rsidP="00C84018">
      <w:pPr>
        <w:spacing w:after="0" w:line="360" w:lineRule="auto"/>
        <w:jc w:val="both"/>
        <w:rPr>
          <w:rFonts w:ascii="Times New Roman" w:hAnsi="Times New Roman" w:cs="Times New Roman"/>
          <w:sz w:val="24"/>
          <w:szCs w:val="24"/>
        </w:rPr>
      </w:pPr>
    </w:p>
    <w:p w14:paraId="26A3BF0F" w14:textId="77777777" w:rsidR="00C84018" w:rsidRDefault="00C84018" w:rsidP="00C84018">
      <w:pPr>
        <w:spacing w:after="0" w:line="360" w:lineRule="auto"/>
        <w:jc w:val="both"/>
        <w:rPr>
          <w:rFonts w:ascii="Times New Roman" w:hAnsi="Times New Roman" w:cs="Times New Roman"/>
          <w:sz w:val="24"/>
          <w:szCs w:val="24"/>
        </w:rPr>
      </w:pPr>
    </w:p>
    <w:p w14:paraId="65D5D778" w14:textId="77777777" w:rsidR="00C84018" w:rsidRDefault="00C84018" w:rsidP="00C84018">
      <w:pPr>
        <w:spacing w:after="0" w:line="360" w:lineRule="auto"/>
        <w:jc w:val="both"/>
        <w:rPr>
          <w:rFonts w:ascii="Times New Roman" w:hAnsi="Times New Roman" w:cs="Times New Roman"/>
          <w:sz w:val="24"/>
          <w:szCs w:val="24"/>
        </w:rPr>
      </w:pPr>
    </w:p>
    <w:p w14:paraId="4C43E24C" w14:textId="77777777" w:rsidR="00C84018" w:rsidRDefault="00C84018" w:rsidP="00C84018">
      <w:pPr>
        <w:spacing w:after="0" w:line="360" w:lineRule="auto"/>
        <w:jc w:val="both"/>
        <w:rPr>
          <w:rFonts w:ascii="Times New Roman" w:hAnsi="Times New Roman" w:cs="Times New Roman"/>
          <w:sz w:val="24"/>
          <w:szCs w:val="24"/>
        </w:rPr>
      </w:pPr>
    </w:p>
    <w:p w14:paraId="2B87CCC6" w14:textId="77777777" w:rsidR="00C84018" w:rsidRDefault="00C84018" w:rsidP="00C84018">
      <w:pPr>
        <w:spacing w:after="0" w:line="360" w:lineRule="auto"/>
        <w:jc w:val="both"/>
        <w:rPr>
          <w:rFonts w:ascii="Times New Roman" w:hAnsi="Times New Roman" w:cs="Times New Roman"/>
          <w:sz w:val="24"/>
          <w:szCs w:val="24"/>
        </w:rPr>
      </w:pPr>
    </w:p>
    <w:p w14:paraId="6C95D43C" w14:textId="77777777" w:rsidR="00C84018" w:rsidRDefault="00C84018" w:rsidP="00C84018">
      <w:pPr>
        <w:spacing w:after="0" w:line="360" w:lineRule="auto"/>
        <w:jc w:val="both"/>
        <w:rPr>
          <w:rFonts w:ascii="Times New Roman" w:hAnsi="Times New Roman" w:cs="Times New Roman"/>
          <w:sz w:val="24"/>
          <w:szCs w:val="24"/>
        </w:rPr>
      </w:pPr>
    </w:p>
    <w:p w14:paraId="40D44C86" w14:textId="77777777" w:rsidR="00C84018" w:rsidRDefault="00C84018" w:rsidP="00C84018">
      <w:pPr>
        <w:spacing w:after="0" w:line="360" w:lineRule="auto"/>
        <w:jc w:val="both"/>
        <w:rPr>
          <w:rFonts w:ascii="Times New Roman" w:hAnsi="Times New Roman" w:cs="Times New Roman"/>
          <w:sz w:val="24"/>
          <w:szCs w:val="24"/>
        </w:rPr>
      </w:pPr>
    </w:p>
    <w:p w14:paraId="2F25CE47" w14:textId="77777777" w:rsidR="00C84018" w:rsidRDefault="00C84018" w:rsidP="00C84018">
      <w:pPr>
        <w:spacing w:after="0" w:line="360" w:lineRule="auto"/>
        <w:jc w:val="both"/>
        <w:rPr>
          <w:rFonts w:ascii="Times New Roman" w:hAnsi="Times New Roman" w:cs="Times New Roman"/>
          <w:sz w:val="24"/>
          <w:szCs w:val="24"/>
        </w:rPr>
      </w:pPr>
    </w:p>
    <w:p w14:paraId="0A5D14F0" w14:textId="77777777" w:rsidR="00C84018" w:rsidRDefault="00C84018" w:rsidP="00C84018">
      <w:pPr>
        <w:spacing w:after="0" w:line="360" w:lineRule="auto"/>
        <w:jc w:val="both"/>
        <w:rPr>
          <w:rFonts w:ascii="Times New Roman" w:hAnsi="Times New Roman" w:cs="Times New Roman"/>
          <w:sz w:val="24"/>
          <w:szCs w:val="24"/>
        </w:rPr>
      </w:pPr>
    </w:p>
    <w:p w14:paraId="7DF10A05" w14:textId="77777777" w:rsidR="00C84018" w:rsidRDefault="00C84018" w:rsidP="00C84018">
      <w:pPr>
        <w:spacing w:after="0" w:line="360" w:lineRule="auto"/>
        <w:jc w:val="both"/>
        <w:rPr>
          <w:rFonts w:ascii="Times New Roman" w:hAnsi="Times New Roman" w:cs="Times New Roman"/>
          <w:sz w:val="24"/>
          <w:szCs w:val="24"/>
        </w:rPr>
      </w:pPr>
    </w:p>
    <w:p w14:paraId="439169C5" w14:textId="77777777" w:rsidR="00C84018" w:rsidRDefault="00C84018" w:rsidP="00C84018">
      <w:pPr>
        <w:spacing w:after="0" w:line="360" w:lineRule="auto"/>
        <w:jc w:val="both"/>
        <w:rPr>
          <w:rFonts w:ascii="Times New Roman" w:hAnsi="Times New Roman" w:cs="Times New Roman"/>
          <w:sz w:val="24"/>
          <w:szCs w:val="24"/>
        </w:rPr>
      </w:pPr>
    </w:p>
    <w:p w14:paraId="047BE23D" w14:textId="77777777" w:rsidR="00C84018" w:rsidRDefault="00C84018" w:rsidP="00C84018">
      <w:pPr>
        <w:spacing w:after="0" w:line="360" w:lineRule="auto"/>
        <w:jc w:val="both"/>
        <w:rPr>
          <w:rFonts w:ascii="Times New Roman" w:hAnsi="Times New Roman" w:cs="Times New Roman"/>
          <w:sz w:val="24"/>
          <w:szCs w:val="24"/>
        </w:rPr>
      </w:pPr>
    </w:p>
    <w:p w14:paraId="4959292C" w14:textId="77777777" w:rsidR="00C84018" w:rsidRDefault="00C84018" w:rsidP="00C84018">
      <w:pPr>
        <w:spacing w:after="0" w:line="360" w:lineRule="auto"/>
        <w:jc w:val="both"/>
        <w:rPr>
          <w:rFonts w:ascii="Times New Roman" w:hAnsi="Times New Roman" w:cs="Times New Roman"/>
          <w:sz w:val="24"/>
          <w:szCs w:val="24"/>
        </w:rPr>
      </w:pPr>
    </w:p>
    <w:p w14:paraId="53BEE00A" w14:textId="77777777" w:rsidR="00C84018" w:rsidRDefault="00C84018" w:rsidP="00C84018">
      <w:pPr>
        <w:spacing w:after="0" w:line="360" w:lineRule="auto"/>
        <w:jc w:val="both"/>
        <w:rPr>
          <w:rFonts w:ascii="Times New Roman" w:hAnsi="Times New Roman" w:cs="Times New Roman"/>
          <w:sz w:val="24"/>
          <w:szCs w:val="24"/>
        </w:rPr>
      </w:pPr>
    </w:p>
    <w:p w14:paraId="60D9B9D0" w14:textId="77777777" w:rsidR="00C84018" w:rsidRDefault="00C84018" w:rsidP="00C84018">
      <w:pPr>
        <w:spacing w:after="0" w:line="360" w:lineRule="auto"/>
        <w:jc w:val="both"/>
        <w:rPr>
          <w:rFonts w:ascii="Times New Roman" w:hAnsi="Times New Roman" w:cs="Times New Roman"/>
          <w:sz w:val="24"/>
          <w:szCs w:val="24"/>
        </w:rPr>
      </w:pPr>
    </w:p>
    <w:p w14:paraId="52F4CC5D" w14:textId="77777777" w:rsidR="00C84018" w:rsidRDefault="00C84018" w:rsidP="00C84018">
      <w:pPr>
        <w:spacing w:after="0" w:line="360" w:lineRule="auto"/>
        <w:jc w:val="both"/>
        <w:rPr>
          <w:rFonts w:ascii="Times New Roman" w:hAnsi="Times New Roman" w:cs="Times New Roman"/>
          <w:sz w:val="24"/>
          <w:szCs w:val="24"/>
        </w:rPr>
      </w:pPr>
    </w:p>
    <w:p w14:paraId="00D62229" w14:textId="77777777" w:rsidR="00C84018" w:rsidRDefault="00C84018" w:rsidP="00C84018">
      <w:pPr>
        <w:spacing w:after="0" w:line="360" w:lineRule="auto"/>
        <w:jc w:val="both"/>
        <w:rPr>
          <w:rFonts w:ascii="Times New Roman" w:hAnsi="Times New Roman" w:cs="Times New Roman"/>
          <w:sz w:val="24"/>
          <w:szCs w:val="24"/>
        </w:rPr>
      </w:pPr>
    </w:p>
    <w:p w14:paraId="596F417F" w14:textId="77777777" w:rsidR="00C84018" w:rsidRDefault="00C84018" w:rsidP="00C84018">
      <w:pPr>
        <w:spacing w:after="0" w:line="360" w:lineRule="auto"/>
        <w:jc w:val="both"/>
        <w:rPr>
          <w:rFonts w:ascii="Times New Roman" w:hAnsi="Times New Roman" w:cs="Times New Roman"/>
          <w:sz w:val="24"/>
          <w:szCs w:val="24"/>
        </w:rPr>
      </w:pPr>
    </w:p>
    <w:p w14:paraId="5E87E470" w14:textId="77777777" w:rsidR="00C84018" w:rsidRDefault="00C84018" w:rsidP="00C84018">
      <w:pPr>
        <w:spacing w:after="0" w:line="360" w:lineRule="auto"/>
        <w:jc w:val="both"/>
        <w:rPr>
          <w:rFonts w:ascii="Times New Roman" w:hAnsi="Times New Roman"/>
          <w:sz w:val="24"/>
          <w:szCs w:val="24"/>
        </w:rPr>
      </w:pPr>
    </w:p>
    <w:p w14:paraId="5AD621FF" w14:textId="7A599E64" w:rsidR="00D709FC" w:rsidRDefault="0027513D" w:rsidP="00D709FC">
      <w:pPr>
        <w:spacing w:line="360" w:lineRule="auto"/>
        <w:jc w:val="both"/>
        <w:rPr>
          <w:rFonts w:ascii="Times New Roman" w:hAnsi="Times New Roman" w:cs="Times New Roman"/>
          <w:sz w:val="24"/>
          <w:szCs w:val="24"/>
        </w:rPr>
      </w:pPr>
      <w:r>
        <w:rPr>
          <w:rFonts w:ascii="Times New Roman" w:hAnsi="Times New Roman" w:cs="Times New Roman"/>
          <w:b/>
          <w:color w:val="131413"/>
          <w:sz w:val="24"/>
          <w:szCs w:val="24"/>
        </w:rPr>
        <w:br w:type="column"/>
      </w:r>
      <w:r w:rsidR="007E18A1" w:rsidRPr="007E18A1">
        <w:rPr>
          <w:rFonts w:ascii="Times New Roman" w:hAnsi="Times New Roman" w:cs="Times New Roman"/>
          <w:b/>
          <w:bCs/>
          <w:sz w:val="24"/>
          <w:szCs w:val="24"/>
        </w:rPr>
        <w:lastRenderedPageBreak/>
        <w:t>Supplementary Fig. 4</w:t>
      </w:r>
      <w:r w:rsidR="007E18A1">
        <w:rPr>
          <w:rFonts w:ascii="Times New Roman" w:hAnsi="Times New Roman" w:cs="Times New Roman"/>
          <w:sz w:val="24"/>
          <w:szCs w:val="24"/>
        </w:rPr>
        <w:t xml:space="preserve">. </w:t>
      </w:r>
      <w:r w:rsidR="00D709FC">
        <w:rPr>
          <w:rFonts w:ascii="Times New Roman" w:hAnsi="Times New Roman" w:cs="Times New Roman"/>
          <w:sz w:val="24"/>
          <w:szCs w:val="24"/>
        </w:rPr>
        <w:t xml:space="preserve"> </w:t>
      </w:r>
      <w:r w:rsidR="00D709FC" w:rsidRPr="009828B2">
        <w:rPr>
          <w:rFonts w:ascii="Times New Roman" w:hAnsi="Times New Roman" w:cs="Times New Roman"/>
          <w:sz w:val="24"/>
          <w:szCs w:val="24"/>
        </w:rPr>
        <w:t>Distribution of the Major, Trace and REEs of the Bakhira lake sediments.</w:t>
      </w:r>
      <w:r w:rsidR="00D709FC">
        <w:rPr>
          <w:rFonts w:ascii="Times New Roman" w:hAnsi="Times New Roman" w:cs="Times New Roman"/>
          <w:b/>
          <w:bCs/>
          <w:sz w:val="24"/>
          <w:szCs w:val="24"/>
        </w:rPr>
        <w:t xml:space="preserve">  </w:t>
      </w:r>
    </w:p>
    <w:p w14:paraId="68685C3E" w14:textId="63E3132B" w:rsidR="007E18A1" w:rsidRDefault="007E18A1" w:rsidP="007E18A1">
      <w:pPr>
        <w:spacing w:line="360" w:lineRule="auto"/>
        <w:jc w:val="both"/>
        <w:rPr>
          <w:rFonts w:ascii="Times New Roman" w:hAnsi="Times New Roman" w:cs="Times New Roman"/>
          <w:sz w:val="24"/>
          <w:szCs w:val="24"/>
        </w:rPr>
      </w:pPr>
    </w:p>
    <w:p w14:paraId="3065A0C9" w14:textId="45BAD83C" w:rsidR="00423678" w:rsidRDefault="007E18A1">
      <w:pPr>
        <w:rPr>
          <w:lang w:val="en-US"/>
        </w:rPr>
      </w:pPr>
      <w:r>
        <w:rPr>
          <w:noProof/>
          <w:lang w:val="en-US"/>
        </w:rPr>
        <w:drawing>
          <wp:anchor distT="0" distB="0" distL="114300" distR="114300" simplePos="0" relativeHeight="251662336" behindDoc="1" locked="0" layoutInCell="1" allowOverlap="1" wp14:anchorId="15A4F95D" wp14:editId="0913583E">
            <wp:simplePos x="0" y="0"/>
            <wp:positionH relativeFrom="margin">
              <wp:posOffset>697710</wp:posOffset>
            </wp:positionH>
            <wp:positionV relativeFrom="paragraph">
              <wp:posOffset>5</wp:posOffset>
            </wp:positionV>
            <wp:extent cx="3970655" cy="6501130"/>
            <wp:effectExtent l="0" t="0" r="0" b="0"/>
            <wp:wrapTight wrapText="bothSides">
              <wp:wrapPolygon edited="0">
                <wp:start x="0" y="0"/>
                <wp:lineTo x="0" y="21520"/>
                <wp:lineTo x="21451" y="21520"/>
                <wp:lineTo x="21451" y="0"/>
                <wp:lineTo x="0" y="0"/>
              </wp:wrapPolygon>
            </wp:wrapTight>
            <wp:docPr id="9379611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0655" cy="650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0A2E0" w14:textId="77777777" w:rsidR="00444B35" w:rsidRPr="00444B35" w:rsidRDefault="00444B35" w:rsidP="00444B35">
      <w:pPr>
        <w:rPr>
          <w:lang w:val="en-US"/>
        </w:rPr>
      </w:pPr>
    </w:p>
    <w:p w14:paraId="1CEC193E" w14:textId="77777777" w:rsidR="00444B35" w:rsidRPr="00444B35" w:rsidRDefault="00444B35" w:rsidP="00444B35">
      <w:pPr>
        <w:rPr>
          <w:lang w:val="en-US"/>
        </w:rPr>
      </w:pPr>
    </w:p>
    <w:p w14:paraId="63DCF2C7" w14:textId="77777777" w:rsidR="00444B35" w:rsidRPr="00444B35" w:rsidRDefault="00444B35" w:rsidP="00444B35">
      <w:pPr>
        <w:rPr>
          <w:lang w:val="en-US"/>
        </w:rPr>
      </w:pPr>
    </w:p>
    <w:p w14:paraId="67326602" w14:textId="77777777" w:rsidR="00444B35" w:rsidRPr="00444B35" w:rsidRDefault="00444B35" w:rsidP="00444B35">
      <w:pPr>
        <w:rPr>
          <w:lang w:val="en-US"/>
        </w:rPr>
      </w:pPr>
    </w:p>
    <w:p w14:paraId="3CA91F98" w14:textId="77777777" w:rsidR="00444B35" w:rsidRPr="00444B35" w:rsidRDefault="00444B35" w:rsidP="00444B35">
      <w:pPr>
        <w:rPr>
          <w:lang w:val="en-US"/>
        </w:rPr>
      </w:pPr>
    </w:p>
    <w:p w14:paraId="5BA4A6E0" w14:textId="77777777" w:rsidR="00444B35" w:rsidRPr="00444B35" w:rsidRDefault="00444B35" w:rsidP="00444B35">
      <w:pPr>
        <w:rPr>
          <w:lang w:val="en-US"/>
        </w:rPr>
      </w:pPr>
    </w:p>
    <w:p w14:paraId="3BCDA2F9" w14:textId="77777777" w:rsidR="00444B35" w:rsidRPr="00444B35" w:rsidRDefault="00444B35" w:rsidP="00444B35">
      <w:pPr>
        <w:rPr>
          <w:lang w:val="en-US"/>
        </w:rPr>
      </w:pPr>
    </w:p>
    <w:p w14:paraId="0F42E450" w14:textId="77777777" w:rsidR="00444B35" w:rsidRPr="00444B35" w:rsidRDefault="00444B35" w:rsidP="00444B35">
      <w:pPr>
        <w:rPr>
          <w:lang w:val="en-US"/>
        </w:rPr>
      </w:pPr>
    </w:p>
    <w:p w14:paraId="199936B6" w14:textId="77777777" w:rsidR="00444B35" w:rsidRPr="00444B35" w:rsidRDefault="00444B35" w:rsidP="00444B35">
      <w:pPr>
        <w:rPr>
          <w:lang w:val="en-US"/>
        </w:rPr>
      </w:pPr>
    </w:p>
    <w:p w14:paraId="66BD1FEA" w14:textId="77777777" w:rsidR="00444B35" w:rsidRPr="00444B35" w:rsidRDefault="00444B35" w:rsidP="00444B35">
      <w:pPr>
        <w:rPr>
          <w:lang w:val="en-US"/>
        </w:rPr>
      </w:pPr>
    </w:p>
    <w:p w14:paraId="0951CEB7" w14:textId="77777777" w:rsidR="00444B35" w:rsidRPr="00444B35" w:rsidRDefault="00444B35" w:rsidP="00444B35">
      <w:pPr>
        <w:rPr>
          <w:lang w:val="en-US"/>
        </w:rPr>
      </w:pPr>
    </w:p>
    <w:p w14:paraId="56A9A9ED" w14:textId="77777777" w:rsidR="00444B35" w:rsidRPr="00444B35" w:rsidRDefault="00444B35" w:rsidP="00444B35">
      <w:pPr>
        <w:rPr>
          <w:lang w:val="en-US"/>
        </w:rPr>
      </w:pPr>
    </w:p>
    <w:p w14:paraId="0DAF3135" w14:textId="77777777" w:rsidR="00444B35" w:rsidRPr="00444B35" w:rsidRDefault="00444B35" w:rsidP="00444B35">
      <w:pPr>
        <w:rPr>
          <w:lang w:val="en-US"/>
        </w:rPr>
      </w:pPr>
    </w:p>
    <w:p w14:paraId="29EB3FE1" w14:textId="77777777" w:rsidR="00444B35" w:rsidRPr="00444B35" w:rsidRDefault="00444B35" w:rsidP="00444B35">
      <w:pPr>
        <w:rPr>
          <w:lang w:val="en-US"/>
        </w:rPr>
      </w:pPr>
    </w:p>
    <w:p w14:paraId="79CE85D6" w14:textId="77777777" w:rsidR="00444B35" w:rsidRPr="00444B35" w:rsidRDefault="00444B35" w:rsidP="00444B35">
      <w:pPr>
        <w:rPr>
          <w:lang w:val="en-US"/>
        </w:rPr>
      </w:pPr>
    </w:p>
    <w:p w14:paraId="7EE9CCA0" w14:textId="77777777" w:rsidR="00444B35" w:rsidRPr="00444B35" w:rsidRDefault="00444B35" w:rsidP="00444B35">
      <w:pPr>
        <w:rPr>
          <w:lang w:val="en-US"/>
        </w:rPr>
      </w:pPr>
    </w:p>
    <w:p w14:paraId="6B278DE0" w14:textId="77777777" w:rsidR="00444B35" w:rsidRPr="00444B35" w:rsidRDefault="00444B35" w:rsidP="00444B35">
      <w:pPr>
        <w:rPr>
          <w:lang w:val="en-US"/>
        </w:rPr>
      </w:pPr>
    </w:p>
    <w:p w14:paraId="67D7F9B1" w14:textId="77777777" w:rsidR="00444B35" w:rsidRPr="00444B35" w:rsidRDefault="00444B35" w:rsidP="00444B35">
      <w:pPr>
        <w:rPr>
          <w:lang w:val="en-US"/>
        </w:rPr>
      </w:pPr>
    </w:p>
    <w:p w14:paraId="1726884A" w14:textId="77777777" w:rsidR="00444B35" w:rsidRPr="00444B35" w:rsidRDefault="00444B35" w:rsidP="00444B35">
      <w:pPr>
        <w:rPr>
          <w:lang w:val="en-US"/>
        </w:rPr>
      </w:pPr>
    </w:p>
    <w:p w14:paraId="15A27FB9" w14:textId="77777777" w:rsidR="00444B35" w:rsidRPr="00444B35" w:rsidRDefault="00444B35" w:rsidP="00444B35">
      <w:pPr>
        <w:rPr>
          <w:lang w:val="en-US"/>
        </w:rPr>
      </w:pPr>
    </w:p>
    <w:p w14:paraId="2DE3A1FF" w14:textId="77777777" w:rsidR="00444B35" w:rsidRPr="00444B35" w:rsidRDefault="00444B35" w:rsidP="00444B35">
      <w:pPr>
        <w:rPr>
          <w:lang w:val="en-US"/>
        </w:rPr>
      </w:pPr>
    </w:p>
    <w:p w14:paraId="463AAC23" w14:textId="77777777" w:rsidR="00444B35" w:rsidRPr="00444B35" w:rsidRDefault="00444B35" w:rsidP="00444B35">
      <w:pPr>
        <w:rPr>
          <w:lang w:val="en-US"/>
        </w:rPr>
      </w:pPr>
    </w:p>
    <w:p w14:paraId="6B03E9BA" w14:textId="77777777" w:rsidR="00444B35" w:rsidRPr="00444B35" w:rsidRDefault="00444B35" w:rsidP="00444B35">
      <w:pPr>
        <w:rPr>
          <w:lang w:val="en-US"/>
        </w:rPr>
      </w:pPr>
    </w:p>
    <w:p w14:paraId="48DE60FE" w14:textId="77777777" w:rsidR="00444B35" w:rsidRDefault="00444B35" w:rsidP="00444B35">
      <w:pPr>
        <w:rPr>
          <w:lang w:val="en-US"/>
        </w:rPr>
      </w:pPr>
    </w:p>
    <w:p w14:paraId="759CC86A" w14:textId="77777777" w:rsidR="00E41721" w:rsidRDefault="00E41721" w:rsidP="00444B35">
      <w:pPr>
        <w:tabs>
          <w:tab w:val="left" w:pos="1383"/>
        </w:tabs>
        <w:rPr>
          <w:rFonts w:ascii="Times New Roman" w:hAnsi="Times New Roman" w:cs="Times New Roman"/>
          <w:b/>
          <w:bCs/>
          <w:sz w:val="24"/>
          <w:szCs w:val="24"/>
          <w:lang w:val="en-US"/>
        </w:rPr>
      </w:pPr>
    </w:p>
    <w:p w14:paraId="0F186CAD" w14:textId="77777777" w:rsidR="00E41721" w:rsidRDefault="00E41721" w:rsidP="00444B35">
      <w:pPr>
        <w:tabs>
          <w:tab w:val="left" w:pos="1383"/>
        </w:tabs>
        <w:rPr>
          <w:rFonts w:ascii="Times New Roman" w:hAnsi="Times New Roman" w:cs="Times New Roman"/>
          <w:b/>
          <w:bCs/>
          <w:sz w:val="24"/>
          <w:szCs w:val="24"/>
          <w:lang w:val="en-US"/>
        </w:rPr>
      </w:pPr>
    </w:p>
    <w:p w14:paraId="2B037FBB" w14:textId="77777777" w:rsidR="00E41721" w:rsidRDefault="00E41721" w:rsidP="00444B35">
      <w:pPr>
        <w:tabs>
          <w:tab w:val="left" w:pos="1383"/>
        </w:tabs>
        <w:rPr>
          <w:rFonts w:ascii="Times New Roman" w:hAnsi="Times New Roman" w:cs="Times New Roman"/>
          <w:b/>
          <w:bCs/>
          <w:sz w:val="24"/>
          <w:szCs w:val="24"/>
          <w:lang w:val="en-US"/>
        </w:rPr>
      </w:pPr>
    </w:p>
    <w:p w14:paraId="217A8753" w14:textId="77777777" w:rsidR="00E41721" w:rsidRDefault="00E41721" w:rsidP="00444B35">
      <w:pPr>
        <w:tabs>
          <w:tab w:val="left" w:pos="1383"/>
        </w:tabs>
        <w:rPr>
          <w:rFonts w:ascii="Times New Roman" w:hAnsi="Times New Roman" w:cs="Times New Roman"/>
          <w:b/>
          <w:bCs/>
          <w:sz w:val="24"/>
          <w:szCs w:val="24"/>
          <w:lang w:val="en-US"/>
        </w:rPr>
      </w:pPr>
    </w:p>
    <w:p w14:paraId="29F25EA6" w14:textId="77777777" w:rsidR="00E41721" w:rsidRDefault="00E41721" w:rsidP="00444B35">
      <w:pPr>
        <w:tabs>
          <w:tab w:val="left" w:pos="1383"/>
        </w:tabs>
        <w:rPr>
          <w:rFonts w:ascii="Times New Roman" w:hAnsi="Times New Roman" w:cs="Times New Roman"/>
          <w:b/>
          <w:bCs/>
          <w:sz w:val="24"/>
          <w:szCs w:val="24"/>
          <w:lang w:val="en-US"/>
        </w:rPr>
      </w:pPr>
    </w:p>
    <w:p w14:paraId="0F405DB5" w14:textId="77777777" w:rsidR="00E41721" w:rsidRDefault="00E41721" w:rsidP="00444B35">
      <w:pPr>
        <w:tabs>
          <w:tab w:val="left" w:pos="1383"/>
        </w:tabs>
        <w:rPr>
          <w:rFonts w:ascii="Times New Roman" w:hAnsi="Times New Roman" w:cs="Times New Roman"/>
          <w:b/>
          <w:bCs/>
          <w:sz w:val="24"/>
          <w:szCs w:val="24"/>
          <w:lang w:val="en-US"/>
        </w:rPr>
      </w:pPr>
    </w:p>
    <w:p w14:paraId="0D753B57" w14:textId="1C7023CD" w:rsidR="00444B35" w:rsidRDefault="00444B35" w:rsidP="00174B0D">
      <w:pPr>
        <w:tabs>
          <w:tab w:val="left" w:pos="1383"/>
        </w:tabs>
        <w:spacing w:line="360" w:lineRule="auto"/>
        <w:rPr>
          <w:rFonts w:ascii="Times New Roman" w:hAnsi="Times New Roman" w:cs="Times New Roman"/>
          <w:b/>
          <w:bCs/>
          <w:sz w:val="24"/>
          <w:szCs w:val="24"/>
          <w:lang w:val="en-US"/>
        </w:rPr>
      </w:pPr>
      <w:r w:rsidRPr="00444B35">
        <w:rPr>
          <w:rFonts w:ascii="Times New Roman" w:hAnsi="Times New Roman" w:cs="Times New Roman"/>
          <w:b/>
          <w:bCs/>
          <w:sz w:val="24"/>
          <w:szCs w:val="24"/>
          <w:lang w:val="en-US"/>
        </w:rPr>
        <w:t>References</w:t>
      </w:r>
    </w:p>
    <w:p w14:paraId="3DB3A0B7"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Chamley H (1989) Clay Sedimentology. Springer-Verlag, Berlin, pp 1–623</w:t>
      </w:r>
    </w:p>
    <w:p w14:paraId="2F296619"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Esquevin J (1969) Influence of clay mineralogy on the crystal morphology of illites and their swelling and chemical reactivity. Bull Miner Soc France 92:153–158</w:t>
      </w:r>
    </w:p>
    <w:p w14:paraId="623E89D9"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Fedo CM, Eriksson KA, Krogstad EJ (1996) Geochemistry of shales from the Archean (~3.0 Ga) Buhwa Greenstone Belt, Zimbabwe: implications for provenance and source-area weathering. Geochim Cosmochim Acta 60(10):1751–1763</w:t>
      </w:r>
    </w:p>
    <w:p w14:paraId="143B2F96"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Garzanti E, Padoan M, Setti M, Najman Y, Peruta L, Villa IM (2013) Weathering geochemistry and Sr-Nd fingerprints of equatorial upper Nile and Congo muds. Geochem Geophys Geosyst 14(2):292–316</w:t>
      </w:r>
    </w:p>
    <w:p w14:paraId="3D9D5A98"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Hayashi K, Fujisawa H, Holland HD, Ohmoto H (1997) Geochemistry of ~1.9 Ga sedimentary rocks from northeastern Labrador, Canada. Geochim Cosmochim Acta 61(19):4115–4137</w:t>
      </w:r>
    </w:p>
    <w:p w14:paraId="58A94F89"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Krumm S (2006) SediCalc: computer program for calculating settling velocities and distribution of grain sizes by gravity sedimentation. Version 4.0. GeoZentrum Nordbayern</w:t>
      </w:r>
    </w:p>
    <w:p w14:paraId="725D1E32"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Milliman JD, Meade RH (1983) World-wide delivery of river sediment to the oceans. J Geol 91(1):1–21</w:t>
      </w:r>
    </w:p>
    <w:p w14:paraId="795C65C9"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Reimer PJ, Austin WE, Bard E, Bayliss A, Blackwell PG, Ramsey CB, … Talamo S (2020) The IntCal20 Northern Hemisphere radiocarbon age calibration curve (0-55 cal kBP). Radiocarbon 62(4):725–757</w:t>
      </w:r>
    </w:p>
    <w:p w14:paraId="68B9D983"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lastRenderedPageBreak/>
        <w:t>Sharma R, Umapathy GR, Kumar P, Ojha S, Gargari S, Joshi R, Kanjilal D (2019) AMS and upcoming geochronology facility at Inter University Accelerator Centre (IUAC), New Delhi, India. Nucl Instrum Methods Phys Res B 438:124–130</w:t>
      </w:r>
    </w:p>
    <w:p w14:paraId="3CDA5C6B"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Singh IB (1996) Geological evolution of Ganga Plain—an overview. J Paleontol Soc India 41:99–137</w:t>
      </w:r>
    </w:p>
    <w:p w14:paraId="201848F1"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Sinha R, Tandon SK, Gibling MR, Bhattacharjee PS, Dasgupta AS (2006) Late Quaternary geology and alluvial stratigraphy of the Ganga basin. Himalayan Geology 27(1):43–59</w:t>
      </w:r>
    </w:p>
    <w:p w14:paraId="5EB317BF"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Tandon SK, Sinha R, Gibling MR, Bhattacharjee PS, Dasgupta AS (2006) Late Quaternary evolution of the Ganga Plain: Myths and misconceptions, recent developments and future perspectives. Curr Sci 91(6):837–843</w:t>
      </w:r>
    </w:p>
    <w:p w14:paraId="17A2DE32" w14:textId="77777777" w:rsidR="00F04941" w:rsidRPr="00F04941" w:rsidRDefault="00F04941" w:rsidP="00F04941">
      <w:pPr>
        <w:spacing w:before="100" w:beforeAutospacing="1" w:after="100" w:afterAutospacing="1" w:line="360" w:lineRule="auto"/>
        <w:ind w:left="720" w:hanging="720"/>
        <w:jc w:val="both"/>
        <w:rPr>
          <w:rFonts w:ascii="Times New Roman" w:eastAsia="Times New Roman" w:hAnsi="Times New Roman" w:cs="Times New Roman"/>
          <w:kern w:val="0"/>
          <w:sz w:val="24"/>
          <w:szCs w:val="24"/>
          <w:lang w:val="en-US"/>
          <w14:ligatures w14:val="none"/>
        </w:rPr>
      </w:pPr>
      <w:r w:rsidRPr="00F04941">
        <w:rPr>
          <w:rFonts w:ascii="Times New Roman" w:eastAsia="Times New Roman" w:hAnsi="Times New Roman" w:cs="Times New Roman"/>
          <w:kern w:val="0"/>
          <w:sz w:val="24"/>
          <w:szCs w:val="24"/>
          <w:lang w:val="en-US"/>
          <w14:ligatures w14:val="none"/>
        </w:rPr>
        <w:t>Weltje GJ (1997) End-member modeling of compositional data: numerical-statistical algorithms for solving the explicit mixing problem. Math Geol 29(4):503–549</w:t>
      </w:r>
    </w:p>
    <w:p w14:paraId="339B5106" w14:textId="77777777" w:rsidR="00444B35" w:rsidRDefault="00444B35" w:rsidP="00444B35">
      <w:pPr>
        <w:tabs>
          <w:tab w:val="left" w:pos="1383"/>
        </w:tabs>
        <w:rPr>
          <w:rFonts w:ascii="Times New Roman" w:hAnsi="Times New Roman" w:cs="Times New Roman"/>
          <w:b/>
          <w:bCs/>
          <w:sz w:val="24"/>
          <w:szCs w:val="24"/>
          <w:lang w:val="en-US"/>
        </w:rPr>
      </w:pPr>
    </w:p>
    <w:p w14:paraId="401C7FEB" w14:textId="77777777" w:rsidR="00B57EC8" w:rsidRDefault="00B57EC8" w:rsidP="00444B35">
      <w:pPr>
        <w:tabs>
          <w:tab w:val="left" w:pos="1383"/>
        </w:tabs>
        <w:rPr>
          <w:rFonts w:ascii="Times New Roman" w:hAnsi="Times New Roman" w:cs="Times New Roman"/>
          <w:b/>
          <w:bCs/>
          <w:sz w:val="24"/>
          <w:szCs w:val="24"/>
          <w:lang w:val="en-US"/>
        </w:rPr>
      </w:pPr>
      <w:bookmarkStart w:id="0" w:name="_GoBack"/>
      <w:bookmarkEnd w:id="0"/>
    </w:p>
    <w:sectPr w:rsidR="00B57EC8" w:rsidSect="006E0205">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roman"/>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7F0D"/>
    <w:multiLevelType w:val="multilevel"/>
    <w:tmpl w:val="DD4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D022A"/>
    <w:multiLevelType w:val="multilevel"/>
    <w:tmpl w:val="7FBC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027D4F"/>
    <w:multiLevelType w:val="multilevel"/>
    <w:tmpl w:val="1CF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D14ACE"/>
    <w:multiLevelType w:val="multilevel"/>
    <w:tmpl w:val="FFE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FBE"/>
    <w:rsid w:val="000028ED"/>
    <w:rsid w:val="00086775"/>
    <w:rsid w:val="000A481E"/>
    <w:rsid w:val="000A6E3F"/>
    <w:rsid w:val="000C2FBE"/>
    <w:rsid w:val="000F5BAE"/>
    <w:rsid w:val="00102E4F"/>
    <w:rsid w:val="00121176"/>
    <w:rsid w:val="00174B0D"/>
    <w:rsid w:val="001E36AE"/>
    <w:rsid w:val="002578F7"/>
    <w:rsid w:val="00263E97"/>
    <w:rsid w:val="0027513D"/>
    <w:rsid w:val="002F2A3F"/>
    <w:rsid w:val="003065DF"/>
    <w:rsid w:val="00310B7B"/>
    <w:rsid w:val="00314CD8"/>
    <w:rsid w:val="00380D57"/>
    <w:rsid w:val="00423678"/>
    <w:rsid w:val="00430CAC"/>
    <w:rsid w:val="0043771A"/>
    <w:rsid w:val="00444B35"/>
    <w:rsid w:val="0046767F"/>
    <w:rsid w:val="004735DE"/>
    <w:rsid w:val="00474575"/>
    <w:rsid w:val="00487F65"/>
    <w:rsid w:val="004A2E77"/>
    <w:rsid w:val="00530DC0"/>
    <w:rsid w:val="00566BEE"/>
    <w:rsid w:val="00590374"/>
    <w:rsid w:val="005B6E73"/>
    <w:rsid w:val="005E292B"/>
    <w:rsid w:val="005E297C"/>
    <w:rsid w:val="006142EB"/>
    <w:rsid w:val="00614D6F"/>
    <w:rsid w:val="00625B3B"/>
    <w:rsid w:val="0063693C"/>
    <w:rsid w:val="006E0205"/>
    <w:rsid w:val="00765815"/>
    <w:rsid w:val="00785740"/>
    <w:rsid w:val="007C1433"/>
    <w:rsid w:val="007E18A1"/>
    <w:rsid w:val="007F5F75"/>
    <w:rsid w:val="00851C01"/>
    <w:rsid w:val="008F4662"/>
    <w:rsid w:val="009A1624"/>
    <w:rsid w:val="009C2B70"/>
    <w:rsid w:val="009E7791"/>
    <w:rsid w:val="009F76C1"/>
    <w:rsid w:val="00A06C1A"/>
    <w:rsid w:val="00A8402B"/>
    <w:rsid w:val="00B33B7C"/>
    <w:rsid w:val="00B57EC8"/>
    <w:rsid w:val="00B92FBE"/>
    <w:rsid w:val="00BD268C"/>
    <w:rsid w:val="00BE2DF8"/>
    <w:rsid w:val="00C27C0D"/>
    <w:rsid w:val="00C84018"/>
    <w:rsid w:val="00C948E5"/>
    <w:rsid w:val="00CD60CC"/>
    <w:rsid w:val="00D505F6"/>
    <w:rsid w:val="00D709FC"/>
    <w:rsid w:val="00D814D6"/>
    <w:rsid w:val="00E41721"/>
    <w:rsid w:val="00E937D9"/>
    <w:rsid w:val="00EC78DC"/>
    <w:rsid w:val="00EF1461"/>
    <w:rsid w:val="00F04941"/>
    <w:rsid w:val="00F43FB9"/>
    <w:rsid w:val="00F75B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F161C"/>
  <w15:chartTrackingRefBased/>
  <w15:docId w15:val="{30C61391-4B2C-4767-86FA-A9F623F4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B70"/>
  </w:style>
  <w:style w:type="paragraph" w:styleId="Heading1">
    <w:name w:val="heading 1"/>
    <w:basedOn w:val="Normal"/>
    <w:next w:val="Normal"/>
    <w:link w:val="Heading1Char"/>
    <w:uiPriority w:val="9"/>
    <w:qFormat/>
    <w:rsid w:val="000C2F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2F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2FB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2FB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2FB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2F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2F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2F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2F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F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2F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2F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2F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2F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2F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2F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2F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2FBE"/>
    <w:rPr>
      <w:rFonts w:eastAsiaTheme="majorEastAsia" w:cstheme="majorBidi"/>
      <w:color w:val="272727" w:themeColor="text1" w:themeTint="D8"/>
    </w:rPr>
  </w:style>
  <w:style w:type="paragraph" w:styleId="Title">
    <w:name w:val="Title"/>
    <w:basedOn w:val="Normal"/>
    <w:next w:val="Normal"/>
    <w:link w:val="TitleChar"/>
    <w:uiPriority w:val="10"/>
    <w:qFormat/>
    <w:rsid w:val="000C2F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2F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2F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2F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2FBE"/>
    <w:pPr>
      <w:spacing w:before="160"/>
      <w:jc w:val="center"/>
    </w:pPr>
    <w:rPr>
      <w:i/>
      <w:iCs/>
      <w:color w:val="404040" w:themeColor="text1" w:themeTint="BF"/>
    </w:rPr>
  </w:style>
  <w:style w:type="character" w:customStyle="1" w:styleId="QuoteChar">
    <w:name w:val="Quote Char"/>
    <w:basedOn w:val="DefaultParagraphFont"/>
    <w:link w:val="Quote"/>
    <w:uiPriority w:val="29"/>
    <w:rsid w:val="000C2FBE"/>
    <w:rPr>
      <w:i/>
      <w:iCs/>
      <w:color w:val="404040" w:themeColor="text1" w:themeTint="BF"/>
    </w:rPr>
  </w:style>
  <w:style w:type="paragraph" w:styleId="ListParagraph">
    <w:name w:val="List Paragraph"/>
    <w:basedOn w:val="Normal"/>
    <w:uiPriority w:val="34"/>
    <w:qFormat/>
    <w:rsid w:val="000C2FBE"/>
    <w:pPr>
      <w:ind w:left="720"/>
      <w:contextualSpacing/>
    </w:pPr>
  </w:style>
  <w:style w:type="character" w:styleId="IntenseEmphasis">
    <w:name w:val="Intense Emphasis"/>
    <w:basedOn w:val="DefaultParagraphFont"/>
    <w:uiPriority w:val="21"/>
    <w:qFormat/>
    <w:rsid w:val="000C2FBE"/>
    <w:rPr>
      <w:i/>
      <w:iCs/>
      <w:color w:val="2F5496" w:themeColor="accent1" w:themeShade="BF"/>
    </w:rPr>
  </w:style>
  <w:style w:type="paragraph" w:styleId="IntenseQuote">
    <w:name w:val="Intense Quote"/>
    <w:basedOn w:val="Normal"/>
    <w:next w:val="Normal"/>
    <w:link w:val="IntenseQuoteChar"/>
    <w:uiPriority w:val="30"/>
    <w:qFormat/>
    <w:rsid w:val="000C2F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2FBE"/>
    <w:rPr>
      <w:i/>
      <w:iCs/>
      <w:color w:val="2F5496" w:themeColor="accent1" w:themeShade="BF"/>
    </w:rPr>
  </w:style>
  <w:style w:type="character" w:styleId="IntenseReference">
    <w:name w:val="Intense Reference"/>
    <w:basedOn w:val="DefaultParagraphFont"/>
    <w:uiPriority w:val="32"/>
    <w:qFormat/>
    <w:rsid w:val="000C2FBE"/>
    <w:rPr>
      <w:b/>
      <w:bCs/>
      <w:smallCaps/>
      <w:color w:val="2F5496" w:themeColor="accent1" w:themeShade="BF"/>
      <w:spacing w:val="5"/>
    </w:rPr>
  </w:style>
  <w:style w:type="character" w:styleId="Hyperlink">
    <w:name w:val="Hyperlink"/>
    <w:basedOn w:val="DefaultParagraphFont"/>
    <w:uiPriority w:val="99"/>
    <w:unhideWhenUsed/>
    <w:rsid w:val="00310B7B"/>
    <w:rPr>
      <w:color w:val="0563C1" w:themeColor="hyperlink"/>
      <w:u w:val="single"/>
    </w:rPr>
  </w:style>
  <w:style w:type="paragraph" w:styleId="NormalWeb">
    <w:name w:val="Normal (Web)"/>
    <w:basedOn w:val="Normal"/>
    <w:uiPriority w:val="99"/>
    <w:unhideWhenUsed/>
    <w:rsid w:val="002F2A3F"/>
    <w:rPr>
      <w:rFonts w:ascii="Times New Roman" w:hAnsi="Times New Roman" w:cs="Times New Roman"/>
      <w:sz w:val="24"/>
      <w:szCs w:val="24"/>
    </w:rPr>
  </w:style>
  <w:style w:type="paragraph" w:customStyle="1" w:styleId="BodyA">
    <w:name w:val="Body A"/>
    <w:rsid w:val="00785740"/>
    <w:pPr>
      <w:pBdr>
        <w:top w:val="nil"/>
        <w:left w:val="nil"/>
        <w:bottom w:val="nil"/>
        <w:right w:val="nil"/>
        <w:between w:val="nil"/>
        <w:bar w:val="nil"/>
      </w:pBdr>
    </w:pPr>
    <w:rPr>
      <w:rFonts w:ascii="Calibri" w:eastAsia="Arial Unicode MS" w:hAnsi="Calibri" w:cs="Arial Unicode MS"/>
      <w:color w:val="000000"/>
      <w:kern w:val="0"/>
      <w:u w:color="000000"/>
      <w:bdr w:val="nil"/>
      <w:lang w:val="en-US" w:eastAsia="en-IN"/>
      <w14:textOutline w14:w="12700" w14:cap="flat" w14:cmpd="sng" w14:algn="ctr">
        <w14:noFill/>
        <w14:prstDash w14:val="solid"/>
        <w14:miter w14:lim="400000"/>
      </w14:textOutline>
      <w14:ligatures w14:val="none"/>
    </w:rPr>
  </w:style>
  <w:style w:type="character" w:customStyle="1" w:styleId="UnresolvedMention">
    <w:name w:val="Unresolved Mention"/>
    <w:basedOn w:val="DefaultParagraphFont"/>
    <w:uiPriority w:val="99"/>
    <w:semiHidden/>
    <w:unhideWhenUsed/>
    <w:rsid w:val="00263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53266">
      <w:bodyDiv w:val="1"/>
      <w:marLeft w:val="0"/>
      <w:marRight w:val="0"/>
      <w:marTop w:val="0"/>
      <w:marBottom w:val="0"/>
      <w:divBdr>
        <w:top w:val="none" w:sz="0" w:space="0" w:color="auto"/>
        <w:left w:val="none" w:sz="0" w:space="0" w:color="auto"/>
        <w:bottom w:val="none" w:sz="0" w:space="0" w:color="auto"/>
        <w:right w:val="none" w:sz="0" w:space="0" w:color="auto"/>
      </w:divBdr>
    </w:div>
    <w:div w:id="456065492">
      <w:bodyDiv w:val="1"/>
      <w:marLeft w:val="0"/>
      <w:marRight w:val="0"/>
      <w:marTop w:val="0"/>
      <w:marBottom w:val="0"/>
      <w:divBdr>
        <w:top w:val="none" w:sz="0" w:space="0" w:color="auto"/>
        <w:left w:val="none" w:sz="0" w:space="0" w:color="auto"/>
        <w:bottom w:val="none" w:sz="0" w:space="0" w:color="auto"/>
        <w:right w:val="none" w:sz="0" w:space="0" w:color="auto"/>
      </w:divBdr>
    </w:div>
    <w:div w:id="181209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1852</Words>
  <Characters>10562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sajid ali</dc:creator>
  <cp:keywords/>
  <dc:description/>
  <cp:lastModifiedBy>Nazakat Ali</cp:lastModifiedBy>
  <cp:revision>7</cp:revision>
  <cp:lastPrinted>2025-05-13T07:44:00Z</cp:lastPrinted>
  <dcterms:created xsi:type="dcterms:W3CDTF">2025-09-12T12:08:00Z</dcterms:created>
  <dcterms:modified xsi:type="dcterms:W3CDTF">2025-09-12T13:01:00Z</dcterms:modified>
</cp:coreProperties>
</file>