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BA5C8" w14:textId="77777777" w:rsidR="001D3BE1" w:rsidRDefault="001D3BE1" w:rsidP="006D0417">
      <w:pPr>
        <w:pStyle w:val="MDPI13authornames"/>
        <w:jc w:val="center"/>
        <w:rPr>
          <w:snapToGrid w:val="0"/>
          <w:sz w:val="36"/>
          <w:szCs w:val="20"/>
        </w:rPr>
      </w:pPr>
      <w:bookmarkStart w:id="0" w:name="_Hlk208391416"/>
      <w:r w:rsidRPr="001D3BE1">
        <w:rPr>
          <w:snapToGrid w:val="0"/>
          <w:sz w:val="36"/>
          <w:szCs w:val="20"/>
        </w:rPr>
        <w:t>Targeting VCX2 in Hepatocellular Carcinoma: An Omics-Guided Druggability Study Using Peruvian Natural Products</w:t>
      </w:r>
    </w:p>
    <w:bookmarkEnd w:id="0"/>
    <w:p w14:paraId="256B2969" w14:textId="77777777" w:rsidR="00206AB9" w:rsidRPr="00555FB1" w:rsidRDefault="00206AB9" w:rsidP="00206AB9">
      <w:pPr>
        <w:pStyle w:val="BCAuthorAddress"/>
        <w:spacing w:line="240" w:lineRule="auto"/>
        <w:rPr>
          <w:b/>
          <w:bCs/>
          <w:i/>
          <w:lang w:val="es-PE"/>
        </w:rPr>
      </w:pPr>
      <w:r w:rsidRPr="00555FB1">
        <w:rPr>
          <w:b/>
          <w:i/>
          <w:lang w:val="es-PE"/>
        </w:rPr>
        <w:t>Luis Daniel Goyzueta-Mamani</w:t>
      </w:r>
      <w:r w:rsidRPr="00555FB1">
        <w:rPr>
          <w:b/>
          <w:i/>
          <w:vertAlign w:val="superscript"/>
          <w:lang w:val="es-PE"/>
        </w:rPr>
        <w:t>1</w:t>
      </w:r>
      <w:r w:rsidRPr="00555FB1">
        <w:rPr>
          <w:b/>
          <w:bCs/>
          <w:i/>
          <w:lang w:val="es-PE"/>
        </w:rPr>
        <w:t xml:space="preserve">, </w:t>
      </w:r>
      <w:proofErr w:type="spellStart"/>
      <w:r w:rsidRPr="00555FB1">
        <w:rPr>
          <w:b/>
          <w:i/>
          <w:lang w:val="es-PE"/>
        </w:rPr>
        <w:t>Haruna</w:t>
      </w:r>
      <w:proofErr w:type="spellEnd"/>
      <w:r w:rsidRPr="00555FB1">
        <w:rPr>
          <w:b/>
          <w:i/>
          <w:lang w:val="es-PE"/>
        </w:rPr>
        <w:t xml:space="preserve"> Luz Barazorda-Ccahuana</w:t>
      </w:r>
      <w:r w:rsidRPr="00555FB1">
        <w:rPr>
          <w:b/>
          <w:i/>
          <w:vertAlign w:val="superscript"/>
          <w:lang w:val="es-PE"/>
        </w:rPr>
        <w:t>1</w:t>
      </w:r>
      <w:r w:rsidRPr="00555FB1">
        <w:rPr>
          <w:b/>
          <w:bCs/>
          <w:i/>
          <w:lang w:val="es-PE"/>
        </w:rPr>
        <w:t xml:space="preserve">, </w:t>
      </w:r>
      <w:proofErr w:type="spellStart"/>
      <w:r w:rsidRPr="00555FB1">
        <w:rPr>
          <w:b/>
          <w:bCs/>
          <w:i/>
          <w:lang w:val="es-PE"/>
        </w:rPr>
        <w:t>Mayron</w:t>
      </w:r>
      <w:proofErr w:type="spellEnd"/>
      <w:r w:rsidRPr="00555FB1">
        <w:rPr>
          <w:b/>
          <w:bCs/>
          <w:i/>
          <w:lang w:val="es-PE"/>
        </w:rPr>
        <w:t xml:space="preserve"> Antonio Candia-Puma</w:t>
      </w:r>
      <w:r w:rsidRPr="00555FB1">
        <w:rPr>
          <w:b/>
          <w:bCs/>
          <w:i/>
          <w:vertAlign w:val="superscript"/>
          <w:lang w:val="es-PE"/>
        </w:rPr>
        <w:t>1,2</w:t>
      </w:r>
      <w:r w:rsidRPr="00555FB1">
        <w:rPr>
          <w:b/>
          <w:bCs/>
          <w:i/>
          <w:lang w:val="es-PE"/>
        </w:rPr>
        <w:t xml:space="preserve">, </w:t>
      </w:r>
      <w:r w:rsidRPr="00555FB1">
        <w:rPr>
          <w:b/>
          <w:i/>
          <w:lang w:val="es-PE"/>
        </w:rPr>
        <w:t>Nadia M. Hamdy</w:t>
      </w:r>
      <w:r w:rsidRPr="00555FB1">
        <w:rPr>
          <w:b/>
          <w:bCs/>
          <w:i/>
          <w:vertAlign w:val="superscript"/>
          <w:lang w:val="es-PE"/>
        </w:rPr>
        <w:t>3</w:t>
      </w:r>
      <w:r w:rsidRPr="00555FB1">
        <w:rPr>
          <w:b/>
          <w:bCs/>
          <w:i/>
          <w:lang w:val="es-PE"/>
        </w:rPr>
        <w:t xml:space="preserve">, Miguel </w:t>
      </w:r>
      <w:proofErr w:type="spellStart"/>
      <w:r w:rsidRPr="00555FB1">
        <w:rPr>
          <w:b/>
          <w:bCs/>
          <w:i/>
          <w:lang w:val="es-PE"/>
        </w:rPr>
        <w:t>Angel</w:t>
      </w:r>
      <w:proofErr w:type="spellEnd"/>
      <w:r w:rsidRPr="00555FB1">
        <w:rPr>
          <w:b/>
          <w:bCs/>
          <w:i/>
          <w:lang w:val="es-PE"/>
        </w:rPr>
        <w:t xml:space="preserve"> Chávez-Fumagalli</w:t>
      </w:r>
      <w:r w:rsidRPr="00555FB1">
        <w:rPr>
          <w:b/>
          <w:bCs/>
          <w:i/>
          <w:vertAlign w:val="superscript"/>
          <w:lang w:val="es-PE"/>
        </w:rPr>
        <w:t>1</w:t>
      </w:r>
      <w:r w:rsidRPr="00555FB1">
        <w:rPr>
          <w:b/>
          <w:bCs/>
          <w:i/>
          <w:lang w:val="es-PE"/>
        </w:rPr>
        <w:t>*</w:t>
      </w:r>
    </w:p>
    <w:p w14:paraId="1B206615" w14:textId="77777777" w:rsidR="00206AB9" w:rsidRPr="00555FB1" w:rsidRDefault="00206AB9" w:rsidP="00206AB9">
      <w:pPr>
        <w:pStyle w:val="FACorrespondingAuthorFootnote"/>
        <w:spacing w:line="240" w:lineRule="auto"/>
        <w:rPr>
          <w:lang w:val="es-PE"/>
        </w:rPr>
      </w:pPr>
      <w:r w:rsidRPr="00555FB1">
        <w:rPr>
          <w:vertAlign w:val="superscript"/>
          <w:lang w:val="es-PE"/>
        </w:rPr>
        <w:t>1</w:t>
      </w:r>
      <w:r w:rsidRPr="00555FB1">
        <w:rPr>
          <w:lang w:val="es-PE"/>
        </w:rPr>
        <w:tab/>
      </w:r>
      <w:proofErr w:type="spellStart"/>
      <w:r w:rsidRPr="00555FB1">
        <w:rPr>
          <w:lang w:val="es-PE"/>
        </w:rPr>
        <w:t>Computational</w:t>
      </w:r>
      <w:proofErr w:type="spellEnd"/>
      <w:r w:rsidRPr="00555FB1">
        <w:rPr>
          <w:lang w:val="es-PE"/>
        </w:rPr>
        <w:t xml:space="preserve"> </w:t>
      </w:r>
      <w:proofErr w:type="spellStart"/>
      <w:r w:rsidRPr="00555FB1">
        <w:rPr>
          <w:lang w:val="es-PE"/>
        </w:rPr>
        <w:t>Biology</w:t>
      </w:r>
      <w:proofErr w:type="spellEnd"/>
      <w:r w:rsidRPr="00555FB1">
        <w:rPr>
          <w:lang w:val="es-PE"/>
        </w:rPr>
        <w:t xml:space="preserve"> and </w:t>
      </w:r>
      <w:proofErr w:type="spellStart"/>
      <w:r w:rsidRPr="00555FB1">
        <w:rPr>
          <w:lang w:val="es-PE"/>
        </w:rPr>
        <w:t>Chemistry</w:t>
      </w:r>
      <w:proofErr w:type="spellEnd"/>
      <w:r w:rsidRPr="00555FB1">
        <w:rPr>
          <w:lang w:val="es-PE"/>
        </w:rPr>
        <w:t xml:space="preserve"> </w:t>
      </w:r>
      <w:proofErr w:type="spellStart"/>
      <w:r w:rsidRPr="00555FB1">
        <w:rPr>
          <w:lang w:val="es-PE"/>
        </w:rPr>
        <w:t>Research</w:t>
      </w:r>
      <w:proofErr w:type="spellEnd"/>
      <w:r w:rsidRPr="00555FB1">
        <w:rPr>
          <w:lang w:val="es-PE"/>
        </w:rPr>
        <w:t xml:space="preserve"> </w:t>
      </w:r>
      <w:proofErr w:type="spellStart"/>
      <w:r w:rsidRPr="00555FB1">
        <w:rPr>
          <w:lang w:val="es-PE"/>
        </w:rPr>
        <w:t>Group</w:t>
      </w:r>
      <w:proofErr w:type="spellEnd"/>
      <w:r w:rsidRPr="00555FB1">
        <w:rPr>
          <w:lang w:val="es-PE"/>
        </w:rPr>
        <w:t xml:space="preserve">, Vicerrectorado de Investigación, Universidad Católica de Santa María, Arequipa 04000, </w:t>
      </w:r>
      <w:proofErr w:type="spellStart"/>
      <w:r w:rsidRPr="00555FB1">
        <w:rPr>
          <w:lang w:val="es-PE"/>
        </w:rPr>
        <w:t>Peru</w:t>
      </w:r>
      <w:proofErr w:type="spellEnd"/>
      <w:r w:rsidRPr="00555FB1">
        <w:rPr>
          <w:lang w:val="es-PE"/>
        </w:rPr>
        <w:t>.</w:t>
      </w:r>
    </w:p>
    <w:p w14:paraId="44F8EB4D" w14:textId="77777777" w:rsidR="00206AB9" w:rsidRPr="00555FB1" w:rsidRDefault="00206AB9" w:rsidP="00206AB9">
      <w:pPr>
        <w:pStyle w:val="FACorrespondingAuthorFootnote"/>
        <w:spacing w:line="240" w:lineRule="auto"/>
        <w:rPr>
          <w:lang w:val="es-PE"/>
        </w:rPr>
      </w:pPr>
      <w:r w:rsidRPr="00555FB1">
        <w:rPr>
          <w:vertAlign w:val="superscript"/>
          <w:lang w:val="es-PE"/>
        </w:rPr>
        <w:t>2</w:t>
      </w:r>
      <w:r w:rsidRPr="00555FB1">
        <w:rPr>
          <w:lang w:val="es-PE"/>
        </w:rPr>
        <w:tab/>
      </w:r>
      <w:proofErr w:type="gramStart"/>
      <w:r w:rsidRPr="00555FB1">
        <w:rPr>
          <w:lang w:val="es-PE"/>
        </w:rPr>
        <w:t>Facultad</w:t>
      </w:r>
      <w:proofErr w:type="gramEnd"/>
      <w:r w:rsidRPr="00555FB1">
        <w:rPr>
          <w:lang w:val="es-PE"/>
        </w:rPr>
        <w:t xml:space="preserve"> de Ciencias Farmacéuticas, Bioquímicas y Biotecnológicas, Universidad Católica de Santa María, Arequipa 04000, </w:t>
      </w:r>
      <w:proofErr w:type="spellStart"/>
      <w:r w:rsidRPr="00555FB1">
        <w:rPr>
          <w:lang w:val="es-PE"/>
        </w:rPr>
        <w:t>Peru</w:t>
      </w:r>
      <w:proofErr w:type="spellEnd"/>
      <w:r w:rsidRPr="00555FB1">
        <w:rPr>
          <w:lang w:val="es-PE"/>
        </w:rPr>
        <w:t>.</w:t>
      </w:r>
    </w:p>
    <w:p w14:paraId="1C67C13E" w14:textId="77777777" w:rsidR="00206AB9" w:rsidRPr="00555FB1" w:rsidRDefault="00206AB9" w:rsidP="00206AB9">
      <w:pPr>
        <w:pStyle w:val="FACorrespondingAuthorFootnote"/>
        <w:spacing w:line="240" w:lineRule="auto"/>
        <w:rPr>
          <w:lang w:val="es-PE"/>
        </w:rPr>
      </w:pPr>
      <w:r w:rsidRPr="00555FB1">
        <w:rPr>
          <w:vertAlign w:val="superscript"/>
          <w:lang w:val="es-PE"/>
        </w:rPr>
        <w:t>3</w:t>
      </w:r>
      <w:r w:rsidRPr="00555FB1">
        <w:rPr>
          <w:vertAlign w:val="superscript"/>
          <w:lang w:val="es-PE"/>
        </w:rPr>
        <w:tab/>
      </w:r>
      <w:proofErr w:type="spellStart"/>
      <w:r w:rsidRPr="00555FB1">
        <w:rPr>
          <w:lang w:val="es-PE"/>
        </w:rPr>
        <w:t>Biochemistry</w:t>
      </w:r>
      <w:proofErr w:type="spellEnd"/>
      <w:r w:rsidRPr="00555FB1">
        <w:rPr>
          <w:lang w:val="es-PE"/>
        </w:rPr>
        <w:t xml:space="preserve"> </w:t>
      </w:r>
      <w:proofErr w:type="spellStart"/>
      <w:r w:rsidRPr="00555FB1">
        <w:rPr>
          <w:lang w:val="es-PE"/>
        </w:rPr>
        <w:t>Department</w:t>
      </w:r>
      <w:proofErr w:type="spellEnd"/>
      <w:r w:rsidRPr="00555FB1">
        <w:rPr>
          <w:lang w:val="es-PE"/>
        </w:rPr>
        <w:t xml:space="preserve">, </w:t>
      </w:r>
      <w:proofErr w:type="spellStart"/>
      <w:r w:rsidRPr="00555FB1">
        <w:rPr>
          <w:lang w:val="es-PE"/>
        </w:rPr>
        <w:t>Faculty</w:t>
      </w:r>
      <w:proofErr w:type="spellEnd"/>
      <w:r w:rsidRPr="00555FB1">
        <w:rPr>
          <w:lang w:val="es-PE"/>
        </w:rPr>
        <w:t xml:space="preserve"> </w:t>
      </w:r>
      <w:proofErr w:type="spellStart"/>
      <w:r w:rsidRPr="00555FB1">
        <w:rPr>
          <w:lang w:val="es-PE"/>
        </w:rPr>
        <w:t>of</w:t>
      </w:r>
      <w:proofErr w:type="spellEnd"/>
      <w:r w:rsidRPr="00555FB1">
        <w:rPr>
          <w:lang w:val="es-PE"/>
        </w:rPr>
        <w:t xml:space="preserve"> </w:t>
      </w:r>
      <w:proofErr w:type="spellStart"/>
      <w:r w:rsidRPr="00555FB1">
        <w:rPr>
          <w:lang w:val="es-PE"/>
        </w:rPr>
        <w:t>Pharmacy</w:t>
      </w:r>
      <w:proofErr w:type="spellEnd"/>
      <w:r w:rsidRPr="00555FB1">
        <w:rPr>
          <w:lang w:val="es-PE"/>
        </w:rPr>
        <w:t xml:space="preserve">, Ain </w:t>
      </w:r>
      <w:proofErr w:type="spellStart"/>
      <w:r w:rsidRPr="00555FB1">
        <w:rPr>
          <w:lang w:val="es-PE"/>
        </w:rPr>
        <w:t>Shams</w:t>
      </w:r>
      <w:proofErr w:type="spellEnd"/>
      <w:r w:rsidRPr="00555FB1">
        <w:rPr>
          <w:lang w:val="es-PE"/>
        </w:rPr>
        <w:t xml:space="preserve"> </w:t>
      </w:r>
      <w:proofErr w:type="spellStart"/>
      <w:r w:rsidRPr="00555FB1">
        <w:rPr>
          <w:lang w:val="es-PE"/>
        </w:rPr>
        <w:t>University</w:t>
      </w:r>
      <w:proofErr w:type="spellEnd"/>
      <w:r w:rsidRPr="00555FB1">
        <w:rPr>
          <w:lang w:val="es-PE"/>
        </w:rPr>
        <w:t xml:space="preserve">, </w:t>
      </w:r>
      <w:proofErr w:type="spellStart"/>
      <w:r w:rsidRPr="00555FB1">
        <w:rPr>
          <w:lang w:val="es-PE"/>
        </w:rPr>
        <w:t>Abassia</w:t>
      </w:r>
      <w:proofErr w:type="spellEnd"/>
      <w:r w:rsidRPr="00555FB1">
        <w:rPr>
          <w:lang w:val="es-PE"/>
        </w:rPr>
        <w:t xml:space="preserve">, Cairo 11566, </w:t>
      </w:r>
      <w:proofErr w:type="spellStart"/>
      <w:r w:rsidRPr="00555FB1">
        <w:rPr>
          <w:lang w:val="es-PE"/>
        </w:rPr>
        <w:t>Egypt</w:t>
      </w:r>
      <w:proofErr w:type="spellEnd"/>
      <w:r w:rsidRPr="00555FB1">
        <w:rPr>
          <w:lang w:val="es-PE"/>
        </w:rPr>
        <w:t xml:space="preserve"> </w:t>
      </w:r>
    </w:p>
    <w:p w14:paraId="536D19F3" w14:textId="77777777" w:rsidR="00206AB9" w:rsidRDefault="00206AB9" w:rsidP="00206AB9">
      <w:pPr>
        <w:pStyle w:val="FACorrespondingAuthorFootnote"/>
        <w:spacing w:line="240" w:lineRule="auto"/>
      </w:pPr>
      <w:r w:rsidRPr="00206AB9">
        <w:rPr>
          <w:b/>
          <w:lang w:bidi="en-US"/>
        </w:rPr>
        <w:t>*</w:t>
      </w:r>
      <w:r w:rsidRPr="00206AB9">
        <w:rPr>
          <w:lang w:bidi="en-US"/>
        </w:rPr>
        <w:tab/>
        <w:t xml:space="preserve">Correspondence: </w:t>
      </w:r>
      <w:hyperlink r:id="rId8" w:history="1">
        <w:r w:rsidRPr="00206AB9">
          <w:rPr>
            <w:rStyle w:val="Hyperlink"/>
            <w:lang w:bidi="en-US"/>
          </w:rPr>
          <w:t>mchavezf@ucsm.edu.pe</w:t>
        </w:r>
      </w:hyperlink>
    </w:p>
    <w:p w14:paraId="27927217" w14:textId="77777777" w:rsidR="00206AB9" w:rsidRPr="00206AB9" w:rsidRDefault="00206AB9" w:rsidP="00206AB9"/>
    <w:p w14:paraId="3BF214BB" w14:textId="4A93FC38" w:rsidR="00103532" w:rsidRPr="005E1FE9" w:rsidRDefault="00103532" w:rsidP="005E1FE9">
      <w:pPr>
        <w:jc w:val="both"/>
        <w:rPr>
          <w:rFonts w:ascii="Arial" w:hAnsi="Arial" w:cs="Arial"/>
          <w:b/>
          <w:bCs/>
          <w:sz w:val="24"/>
          <w:szCs w:val="24"/>
          <w:lang w:eastAsia="de-DE" w:bidi="en-US"/>
        </w:rPr>
      </w:pPr>
      <w:r w:rsidRPr="005E1FE9">
        <w:rPr>
          <w:rFonts w:ascii="Arial" w:hAnsi="Arial" w:cs="Arial"/>
          <w:b/>
          <w:bCs/>
          <w:sz w:val="24"/>
          <w:szCs w:val="24"/>
          <w:lang w:eastAsia="de-DE" w:bidi="en-US"/>
        </w:rPr>
        <w:t>Single-cell RNA sequencing data processing and integration</w:t>
      </w:r>
    </w:p>
    <w:p w14:paraId="67DA8D34" w14:textId="77777777" w:rsidR="00CF0DF3"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To complement the description in the main Methods, additional technical details are provided here to ensure reproducibility</w:t>
      </w:r>
      <w:r w:rsidR="00CF0DF3">
        <w:rPr>
          <w:rFonts w:ascii="Arial" w:hAnsi="Arial" w:cs="Arial"/>
          <w:sz w:val="24"/>
          <w:szCs w:val="24"/>
          <w:lang w:eastAsia="de-DE" w:bidi="en-US"/>
        </w:rPr>
        <w:t>:</w:t>
      </w:r>
    </w:p>
    <w:p w14:paraId="3CDF980A" w14:textId="4667FC00" w:rsidR="00103532" w:rsidRPr="005E1FE9"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The raw and normalized gene expression matrices were converted into Seurat objects using the “</w:t>
      </w:r>
      <w:proofErr w:type="spellStart"/>
      <w:r w:rsidRPr="005E1FE9">
        <w:rPr>
          <w:rFonts w:ascii="Arial" w:hAnsi="Arial" w:cs="Arial"/>
          <w:sz w:val="24"/>
          <w:szCs w:val="24"/>
          <w:lang w:eastAsia="de-DE" w:bidi="en-US"/>
        </w:rPr>
        <w:t>CreateSeuratObject</w:t>
      </w:r>
      <w:proofErr w:type="spellEnd"/>
      <w:r w:rsidRPr="005E1FE9">
        <w:rPr>
          <w:rFonts w:ascii="Arial" w:hAnsi="Arial" w:cs="Arial"/>
          <w:sz w:val="24"/>
          <w:szCs w:val="24"/>
          <w:lang w:eastAsia="de-DE" w:bidi="en-US"/>
        </w:rPr>
        <w:t>” function. Cells with fewer than 100 expressed genes, more than 25% mitochondrial genome transcripts, and genes expressed in fewer than three cells were excluded from analysis.</w:t>
      </w:r>
    </w:p>
    <w:p w14:paraId="53FEC6E9" w14:textId="77777777" w:rsidR="00103532" w:rsidRPr="005E1FE9"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Normalization was performed with the “</w:t>
      </w:r>
      <w:proofErr w:type="spellStart"/>
      <w:r w:rsidRPr="005E1FE9">
        <w:rPr>
          <w:rFonts w:ascii="Arial" w:hAnsi="Arial" w:cs="Arial"/>
          <w:sz w:val="24"/>
          <w:szCs w:val="24"/>
          <w:lang w:eastAsia="de-DE" w:bidi="en-US"/>
        </w:rPr>
        <w:t>NormalizeData</w:t>
      </w:r>
      <w:proofErr w:type="spellEnd"/>
      <w:r w:rsidRPr="005E1FE9">
        <w:rPr>
          <w:rFonts w:ascii="Arial" w:hAnsi="Arial" w:cs="Arial"/>
          <w:sz w:val="24"/>
          <w:szCs w:val="24"/>
          <w:lang w:eastAsia="de-DE" w:bidi="en-US"/>
        </w:rPr>
        <w:t>” function, while batch-associated variation (UMIs and mitochondrial expression) was regressed using the “</w:t>
      </w:r>
      <w:proofErr w:type="spellStart"/>
      <w:r w:rsidRPr="005E1FE9">
        <w:rPr>
          <w:rFonts w:ascii="Arial" w:hAnsi="Arial" w:cs="Arial"/>
          <w:sz w:val="24"/>
          <w:szCs w:val="24"/>
          <w:lang w:eastAsia="de-DE" w:bidi="en-US"/>
        </w:rPr>
        <w:t>ScaleData</w:t>
      </w:r>
      <w:proofErr w:type="spellEnd"/>
      <w:r w:rsidRPr="005E1FE9">
        <w:rPr>
          <w:rFonts w:ascii="Arial" w:hAnsi="Arial" w:cs="Arial"/>
          <w:sz w:val="24"/>
          <w:szCs w:val="24"/>
          <w:lang w:eastAsia="de-DE" w:bidi="en-US"/>
        </w:rPr>
        <w:t>” function. Highly variable genes were selected with the “</w:t>
      </w:r>
      <w:proofErr w:type="spellStart"/>
      <w:r w:rsidRPr="005E1FE9">
        <w:rPr>
          <w:rFonts w:ascii="Arial" w:hAnsi="Arial" w:cs="Arial"/>
          <w:sz w:val="24"/>
          <w:szCs w:val="24"/>
          <w:lang w:eastAsia="de-DE" w:bidi="en-US"/>
        </w:rPr>
        <w:t>FindVariableGenes</w:t>
      </w:r>
      <w:proofErr w:type="spellEnd"/>
      <w:r w:rsidRPr="005E1FE9">
        <w:rPr>
          <w:rFonts w:ascii="Arial" w:hAnsi="Arial" w:cs="Arial"/>
          <w:sz w:val="24"/>
          <w:szCs w:val="24"/>
          <w:lang w:eastAsia="de-DE" w:bidi="en-US"/>
        </w:rPr>
        <w:t>” function and subjected to principal component analysis (PCA) with “</w:t>
      </w:r>
      <w:proofErr w:type="spellStart"/>
      <w:r w:rsidRPr="005E1FE9">
        <w:rPr>
          <w:rFonts w:ascii="Arial" w:hAnsi="Arial" w:cs="Arial"/>
          <w:sz w:val="24"/>
          <w:szCs w:val="24"/>
          <w:lang w:eastAsia="de-DE" w:bidi="en-US"/>
        </w:rPr>
        <w:t>RunPCA</w:t>
      </w:r>
      <w:proofErr w:type="spellEnd"/>
      <w:r w:rsidRPr="005E1FE9">
        <w:rPr>
          <w:rFonts w:ascii="Arial" w:hAnsi="Arial" w:cs="Arial"/>
          <w:sz w:val="24"/>
          <w:szCs w:val="24"/>
          <w:lang w:eastAsia="de-DE" w:bidi="en-US"/>
        </w:rPr>
        <w:t>.” The “</w:t>
      </w:r>
      <w:proofErr w:type="spellStart"/>
      <w:r w:rsidRPr="005E1FE9">
        <w:rPr>
          <w:rFonts w:ascii="Arial" w:hAnsi="Arial" w:cs="Arial"/>
          <w:sz w:val="24"/>
          <w:szCs w:val="24"/>
          <w:lang w:eastAsia="de-DE" w:bidi="en-US"/>
        </w:rPr>
        <w:t>JackStraw</w:t>
      </w:r>
      <w:proofErr w:type="spellEnd"/>
      <w:r w:rsidRPr="005E1FE9">
        <w:rPr>
          <w:rFonts w:ascii="Arial" w:hAnsi="Arial" w:cs="Arial"/>
          <w:sz w:val="24"/>
          <w:szCs w:val="24"/>
          <w:lang w:eastAsia="de-DE" w:bidi="en-US"/>
        </w:rPr>
        <w:t>” function was applied to test the statistical robustness of principal components and reduce noise.</w:t>
      </w:r>
    </w:p>
    <w:p w14:paraId="568CDEF2" w14:textId="7D4B692F" w:rsidR="00103532" w:rsidRPr="005E1FE9" w:rsidRDefault="00ED3F0F" w:rsidP="005E1FE9">
      <w:pPr>
        <w:jc w:val="both"/>
        <w:rPr>
          <w:rFonts w:ascii="Arial" w:hAnsi="Arial" w:cs="Arial"/>
          <w:sz w:val="24"/>
          <w:szCs w:val="24"/>
          <w:lang w:eastAsia="de-DE" w:bidi="en-US"/>
        </w:rPr>
      </w:pPr>
      <w:r>
        <w:rPr>
          <w:rFonts w:ascii="Arial" w:hAnsi="Arial" w:cs="Arial"/>
          <w:sz w:val="24"/>
          <w:szCs w:val="24"/>
          <w:lang w:eastAsia="de-DE" w:bidi="en-US"/>
        </w:rPr>
        <w:t>C</w:t>
      </w:r>
      <w:r w:rsidR="00103532" w:rsidRPr="005E1FE9">
        <w:rPr>
          <w:rFonts w:ascii="Arial" w:hAnsi="Arial" w:cs="Arial"/>
          <w:sz w:val="24"/>
          <w:szCs w:val="24"/>
          <w:lang w:eastAsia="de-DE" w:bidi="en-US"/>
        </w:rPr>
        <w:t>ells were clustered with the “FindClusters” function, embedding cells in a nearest-neighbor graph, and subsequently visualized in two-dimensional space with “</w:t>
      </w:r>
      <w:proofErr w:type="spellStart"/>
      <w:r w:rsidR="00103532" w:rsidRPr="005E1FE9">
        <w:rPr>
          <w:rFonts w:ascii="Arial" w:hAnsi="Arial" w:cs="Arial"/>
          <w:sz w:val="24"/>
          <w:szCs w:val="24"/>
          <w:lang w:eastAsia="de-DE" w:bidi="en-US"/>
        </w:rPr>
        <w:t>RunUMAP</w:t>
      </w:r>
      <w:proofErr w:type="spellEnd"/>
      <w:r w:rsidR="00103532" w:rsidRPr="005E1FE9">
        <w:rPr>
          <w:rFonts w:ascii="Arial" w:hAnsi="Arial" w:cs="Arial"/>
          <w:sz w:val="24"/>
          <w:szCs w:val="24"/>
          <w:lang w:eastAsia="de-DE" w:bidi="en-US"/>
        </w:rPr>
        <w:t>.” For datasets spanning multiple tumor types, the “</w:t>
      </w:r>
      <w:proofErr w:type="spellStart"/>
      <w:r w:rsidR="00103532" w:rsidRPr="005E1FE9">
        <w:rPr>
          <w:rFonts w:ascii="Arial" w:hAnsi="Arial" w:cs="Arial"/>
          <w:sz w:val="24"/>
          <w:szCs w:val="24"/>
          <w:lang w:eastAsia="de-DE" w:bidi="en-US"/>
        </w:rPr>
        <w:t>MergeSeurat</w:t>
      </w:r>
      <w:proofErr w:type="spellEnd"/>
      <w:r w:rsidR="00103532" w:rsidRPr="005E1FE9">
        <w:rPr>
          <w:rFonts w:ascii="Arial" w:hAnsi="Arial" w:cs="Arial"/>
          <w:sz w:val="24"/>
          <w:szCs w:val="24"/>
          <w:lang w:eastAsia="de-DE" w:bidi="en-US"/>
        </w:rPr>
        <w:t>” function was used to combine raw count matrices into a unified Seurat object.</w:t>
      </w:r>
    </w:p>
    <w:p w14:paraId="5BB021B7" w14:textId="77777777" w:rsidR="00103532" w:rsidRPr="005E1FE9"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Differential expression analyses were carried out with the “</w:t>
      </w:r>
      <w:proofErr w:type="spellStart"/>
      <w:r w:rsidRPr="005E1FE9">
        <w:rPr>
          <w:rFonts w:ascii="Arial" w:hAnsi="Arial" w:cs="Arial"/>
          <w:sz w:val="24"/>
          <w:szCs w:val="24"/>
          <w:lang w:eastAsia="de-DE" w:bidi="en-US"/>
        </w:rPr>
        <w:t>FindAllMarkers</w:t>
      </w:r>
      <w:proofErr w:type="spellEnd"/>
      <w:r w:rsidRPr="005E1FE9">
        <w:rPr>
          <w:rFonts w:ascii="Arial" w:hAnsi="Arial" w:cs="Arial"/>
          <w:sz w:val="24"/>
          <w:szCs w:val="24"/>
          <w:lang w:eastAsia="de-DE" w:bidi="en-US"/>
        </w:rPr>
        <w:t>” and “</w:t>
      </w:r>
      <w:proofErr w:type="spellStart"/>
      <w:r w:rsidRPr="005E1FE9">
        <w:rPr>
          <w:rFonts w:ascii="Arial" w:hAnsi="Arial" w:cs="Arial"/>
          <w:sz w:val="24"/>
          <w:szCs w:val="24"/>
          <w:lang w:eastAsia="de-DE" w:bidi="en-US"/>
        </w:rPr>
        <w:t>FindMarkers</w:t>
      </w:r>
      <w:proofErr w:type="spellEnd"/>
      <w:r w:rsidRPr="005E1FE9">
        <w:rPr>
          <w:rFonts w:ascii="Arial" w:hAnsi="Arial" w:cs="Arial"/>
          <w:sz w:val="24"/>
          <w:szCs w:val="24"/>
          <w:lang w:eastAsia="de-DE" w:bidi="en-US"/>
        </w:rPr>
        <w:t>” functions, applying the Wilcoxon test with Bonferroni correction. Results included adjusted p-values (“</w:t>
      </w:r>
      <w:proofErr w:type="spellStart"/>
      <w:r w:rsidRPr="005E1FE9">
        <w:rPr>
          <w:rFonts w:ascii="Arial" w:hAnsi="Arial" w:cs="Arial"/>
          <w:sz w:val="24"/>
          <w:szCs w:val="24"/>
          <w:lang w:eastAsia="de-DE" w:bidi="en-US"/>
        </w:rPr>
        <w:t>p_val_adj</w:t>
      </w:r>
      <w:proofErr w:type="spellEnd"/>
      <w:r w:rsidRPr="005E1FE9">
        <w:rPr>
          <w:rFonts w:ascii="Arial" w:hAnsi="Arial" w:cs="Arial"/>
          <w:sz w:val="24"/>
          <w:szCs w:val="24"/>
          <w:lang w:eastAsia="de-DE" w:bidi="en-US"/>
        </w:rPr>
        <w:t>”) and log-transformed fold change (“</w:t>
      </w:r>
      <w:proofErr w:type="spellStart"/>
      <w:r w:rsidRPr="005E1FE9">
        <w:rPr>
          <w:rFonts w:ascii="Arial" w:hAnsi="Arial" w:cs="Arial"/>
          <w:sz w:val="24"/>
          <w:szCs w:val="24"/>
          <w:lang w:eastAsia="de-DE" w:bidi="en-US"/>
        </w:rPr>
        <w:t>avg_logFC</w:t>
      </w:r>
      <w:proofErr w:type="spellEnd"/>
      <w:r w:rsidRPr="005E1FE9">
        <w:rPr>
          <w:rFonts w:ascii="Arial" w:hAnsi="Arial" w:cs="Arial"/>
          <w:sz w:val="24"/>
          <w:szCs w:val="24"/>
          <w:lang w:eastAsia="de-DE" w:bidi="en-US"/>
        </w:rPr>
        <w:t>”) values.</w:t>
      </w:r>
    </w:p>
    <w:p w14:paraId="1BFE41D6" w14:textId="77777777" w:rsidR="00103532" w:rsidRPr="005E1FE9"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lastRenderedPageBreak/>
        <w:t xml:space="preserve">Cell type identities were annotated using the </w:t>
      </w:r>
      <w:proofErr w:type="spellStart"/>
      <w:r w:rsidRPr="005E1FE9">
        <w:rPr>
          <w:rFonts w:ascii="Arial" w:hAnsi="Arial" w:cs="Arial"/>
          <w:sz w:val="24"/>
          <w:szCs w:val="24"/>
          <w:lang w:eastAsia="de-DE" w:bidi="en-US"/>
        </w:rPr>
        <w:t>SingleR</w:t>
      </w:r>
      <w:proofErr w:type="spellEnd"/>
      <w:r w:rsidRPr="005E1FE9">
        <w:rPr>
          <w:rFonts w:ascii="Arial" w:hAnsi="Arial" w:cs="Arial"/>
          <w:sz w:val="24"/>
          <w:szCs w:val="24"/>
          <w:lang w:eastAsia="de-DE" w:bidi="en-US"/>
        </w:rPr>
        <w:t xml:space="preserve"> package, which calculates correlation scores between each query cell and a reference atlas, assigning each cluster to the reference with the highest correlation.</w:t>
      </w:r>
    </w:p>
    <w:p w14:paraId="52A46871" w14:textId="78C5203A" w:rsidR="00103532" w:rsidRPr="005E1FE9"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 xml:space="preserve">Functional enrichment analyses were performed with </w:t>
      </w:r>
      <w:proofErr w:type="spellStart"/>
      <w:r w:rsidRPr="005E1FE9">
        <w:rPr>
          <w:rFonts w:ascii="Arial" w:hAnsi="Arial" w:cs="Arial"/>
          <w:sz w:val="24"/>
          <w:szCs w:val="24"/>
          <w:lang w:eastAsia="de-DE" w:bidi="en-US"/>
        </w:rPr>
        <w:t>clusterProfiler</w:t>
      </w:r>
      <w:proofErr w:type="spellEnd"/>
      <w:r w:rsidR="00153355" w:rsidRPr="00AD5E07">
        <w:rPr>
          <w:lang w:bidi="en-US"/>
        </w:rPr>
        <w:fldChar w:fldCharType="begin" w:fldLock="1"/>
      </w:r>
      <w:r w:rsidR="00153355">
        <w:rPr>
          <w:lang w:bidi="en-US"/>
        </w:rPr>
        <w:instrText>ADDIN CSL_CITATION {"citationItems":[{"id":"ITEM-1","itemData":{"ISSN":"1754-2189","author":[{"dropping-particle":"","family":"Xu","given":"Shuangbin","non-dropping-particle":"","parse-names":false,"suffix":""},{"dropping-particle":"","family":"Hu","given":"Erqiang","non-dropping-particle":"","parse-names":false,"suffix":""},{"dropping-particle":"","family":"Cai","given":"Yantong","non-dropping-particle":"","parse-names":false,"suffix":""},{"dropping-particle":"","family":"Xie","given":"Zijing","non-dropping-particle":"","parse-names":false,"suffix":""},{"dropping-particle":"","family":"Luo","given":"Xiao","non-dropping-particle":"","parse-names":false,"suffix":""},{"dropping-particle":"","family":"Zhan","given":"Li","non-dropping-particle":"","parse-names":false,"suffix":""},{"dropping-particle":"","family":"Tang","given":"Wenli","non-dropping-particle":"","parse-names":false,"suffix":""},{"dropping-particle":"","family":"Wang","given":"Qianwen","non-dropping-particle":"","parse-names":false,"suffix":""},{"dropping-particle":"","family":"Liu","given":"Bingdong","non-dropping-particle":"","parse-names":false,"suffix":""},{"dropping-particle":"","family":"Wang","given":"Rui","non-dropping-particle":"","parse-names":false,"suffix":""}],"container-title":"Nature protocols","id":"ITEM-1","issued":{"date-parts":[["2024"]]},"page":"1-29","publisher":"Nature Publishing Group UK London","title":"Using clusterProfiler to characterize multiomics data","type":"article-journal"},"uris":["http://www.mendeley.com/documents/?uuid=9ce601b5-afbf-401a-99ab-a3c0cde821d5"]}],"mendeley":{"formattedCitation":"[1]","plainTextFormattedCitation":"[1]","previouslyFormattedCitation":"[1]"},"properties":{"noteIndex":0},"schema":"https://github.com/citation-style-language/schema/raw/master/csl-citation.json"}</w:instrText>
      </w:r>
      <w:r w:rsidR="00153355" w:rsidRPr="00AD5E07">
        <w:rPr>
          <w:lang w:bidi="en-US"/>
        </w:rPr>
        <w:fldChar w:fldCharType="separate"/>
      </w:r>
      <w:r w:rsidR="00153355" w:rsidRPr="00153355">
        <w:rPr>
          <w:noProof/>
          <w:lang w:bidi="en-US"/>
        </w:rPr>
        <w:t>[1]</w:t>
      </w:r>
      <w:r w:rsidR="00153355" w:rsidRPr="00AD5E07">
        <w:rPr>
          <w:lang w:bidi="en-US"/>
        </w:rPr>
        <w:fldChar w:fldCharType="end"/>
      </w:r>
      <w:r w:rsidRPr="005E1FE9">
        <w:rPr>
          <w:rFonts w:ascii="Arial" w:hAnsi="Arial" w:cs="Arial"/>
          <w:sz w:val="24"/>
          <w:szCs w:val="24"/>
          <w:lang w:eastAsia="de-DE" w:bidi="en-US"/>
        </w:rPr>
        <w:t xml:space="preserve"> and </w:t>
      </w:r>
      <w:proofErr w:type="spellStart"/>
      <w:r w:rsidRPr="005E1FE9">
        <w:rPr>
          <w:rFonts w:ascii="Arial" w:hAnsi="Arial" w:cs="Arial"/>
          <w:sz w:val="24"/>
          <w:szCs w:val="24"/>
          <w:lang w:eastAsia="de-DE" w:bidi="en-US"/>
        </w:rPr>
        <w:t>enrichplot</w:t>
      </w:r>
      <w:proofErr w:type="spellEnd"/>
      <w:r w:rsidR="00153355" w:rsidRPr="00AD5E07">
        <w:rPr>
          <w:lang w:bidi="en-US"/>
        </w:rPr>
        <w:fldChar w:fldCharType="begin" w:fldLock="1"/>
      </w:r>
      <w:r w:rsidR="00153355">
        <w:rPr>
          <w:lang w:bidi="en-US"/>
        </w:rPr>
        <w:instrText>ADDIN CSL_CITATION {"citationItems":[{"id":"ITEM-1","itemData":{"author":[{"dropping-particle":"","family":"Yu","given":"Guangchuang","non-dropping-particle":"","parse-names":false,"suffix":""}],"container-title":"R package version","id":"ITEM-1","issue":"2","issued":{"date-parts":[["2021"]]},"title":"Enrichplot: visualization of functional enrichment result","type":"article-journal","volume":"1"},"uris":["http://www.mendeley.com/documents/?uuid=e39a3252-6d3f-4c2b-9652-f1832a3730ca"]}],"mendeley":{"formattedCitation":"[2]","plainTextFormattedCitation":"[2]","previouslyFormattedCitation":"[2]"},"properties":{"noteIndex":0},"schema":"https://github.com/citation-style-language/schema/raw/master/csl-citation.json"}</w:instrText>
      </w:r>
      <w:r w:rsidR="00153355" w:rsidRPr="00AD5E07">
        <w:rPr>
          <w:lang w:bidi="en-US"/>
        </w:rPr>
        <w:fldChar w:fldCharType="separate"/>
      </w:r>
      <w:r w:rsidR="00153355" w:rsidRPr="00153355">
        <w:rPr>
          <w:noProof/>
          <w:lang w:bidi="en-US"/>
        </w:rPr>
        <w:t>[2]</w:t>
      </w:r>
      <w:r w:rsidR="00153355" w:rsidRPr="00AD5E07">
        <w:rPr>
          <w:lang w:bidi="en-US"/>
        </w:rPr>
        <w:fldChar w:fldCharType="end"/>
      </w:r>
      <w:r w:rsidRPr="005E1FE9">
        <w:rPr>
          <w:rFonts w:ascii="Arial" w:hAnsi="Arial" w:cs="Arial"/>
          <w:sz w:val="24"/>
          <w:szCs w:val="24"/>
          <w:lang w:eastAsia="de-DE" w:bidi="en-US"/>
        </w:rPr>
        <w:t xml:space="preserve">, including Gene Ontology (Biological Process, Molecular Function, and Cellular Component) and Kyoto Encyclopedia of Genes and Genomes (KEGG) pathways. Visualizations included UMAP dimensional reduction plots, bar plots, volcano plots, dot plots, and both expression and enrichment heatmaps, all generated with </w:t>
      </w:r>
      <w:proofErr w:type="spellStart"/>
      <w:r w:rsidRPr="005E1FE9">
        <w:rPr>
          <w:rFonts w:ascii="Arial" w:hAnsi="Arial" w:cs="Arial"/>
          <w:sz w:val="24"/>
          <w:szCs w:val="24"/>
          <w:lang w:eastAsia="de-DE" w:bidi="en-US"/>
        </w:rPr>
        <w:t>SCpubr</w:t>
      </w:r>
      <w:proofErr w:type="spellEnd"/>
      <w:r w:rsidR="00153355" w:rsidRPr="00AD5E07">
        <w:rPr>
          <w:lang w:bidi="en-US"/>
        </w:rPr>
        <w:fldChar w:fldCharType="begin" w:fldLock="1"/>
      </w:r>
      <w:r w:rsidR="00153355">
        <w:rPr>
          <w:lang w:bidi="en-US"/>
        </w:rPr>
        <w:instrText>ADDIN CSL_CITATION {"citationItems":[{"id":"ITEM-1","itemData":{"author":[{"dropping-particle":"","family":"Blanco-Carmona","given":"Enrique","non-dropping-particle":"","parse-names":false,"suffix":""}],"container-title":"bioRxiv","id":"ITEM-1","issued":{"date-parts":[["2022"]]},"page":"2002-2022","publisher":"Cold Spring Harbor Laboratory","title":"Generating publication ready visualizations for Single Cell transcriptomics using SCpubr","type":"article-journal"},"uris":["http://www.mendeley.com/documents/?uuid=5b885b2f-da0a-48d1-a4d1-863a67901aaa"]}],"mendeley":{"formattedCitation":"[3]","plainTextFormattedCitation":"[3]","previouslyFormattedCitation":"[3]"},"properties":{"noteIndex":0},"schema":"https://github.com/citation-style-language/schema/raw/master/csl-citation.json"}</w:instrText>
      </w:r>
      <w:r w:rsidR="00153355" w:rsidRPr="00AD5E07">
        <w:rPr>
          <w:lang w:bidi="en-US"/>
        </w:rPr>
        <w:fldChar w:fldCharType="separate"/>
      </w:r>
      <w:r w:rsidR="00153355" w:rsidRPr="00153355">
        <w:rPr>
          <w:noProof/>
          <w:lang w:bidi="en-US"/>
        </w:rPr>
        <w:t>[3]</w:t>
      </w:r>
      <w:r w:rsidR="00153355" w:rsidRPr="00AD5E07">
        <w:rPr>
          <w:lang w:bidi="en-US"/>
        </w:rPr>
        <w:fldChar w:fldCharType="end"/>
      </w:r>
      <w:r w:rsidRPr="005E1FE9">
        <w:rPr>
          <w:rFonts w:ascii="Arial" w:hAnsi="Arial" w:cs="Arial"/>
          <w:sz w:val="24"/>
          <w:szCs w:val="24"/>
          <w:lang w:eastAsia="de-DE" w:bidi="en-US"/>
        </w:rPr>
        <w:t>.</w:t>
      </w:r>
    </w:p>
    <w:p w14:paraId="4EB635E8" w14:textId="47B01B9E" w:rsidR="00103532" w:rsidRPr="00153355" w:rsidRDefault="00103532" w:rsidP="005E1FE9">
      <w:pPr>
        <w:jc w:val="both"/>
        <w:rPr>
          <w:rFonts w:ascii="Arial" w:hAnsi="Arial" w:cs="Arial"/>
          <w:sz w:val="24"/>
          <w:szCs w:val="24"/>
          <w:lang w:eastAsia="de-DE" w:bidi="en-US"/>
        </w:rPr>
      </w:pPr>
      <w:r w:rsidRPr="005E1FE9">
        <w:rPr>
          <w:rFonts w:ascii="Arial" w:hAnsi="Arial" w:cs="Arial"/>
          <w:sz w:val="24"/>
          <w:szCs w:val="24"/>
          <w:lang w:eastAsia="de-DE" w:bidi="en-US"/>
        </w:rPr>
        <w:t>Finally, the tumor dataset composition was as follows: hepatocellular carcinoma (n = 2)</w:t>
      </w:r>
      <w:r w:rsidR="00153355" w:rsidRPr="00153355">
        <w:rPr>
          <w:lang w:bidi="en-US"/>
        </w:rPr>
        <w:t xml:space="preserve"> </w:t>
      </w:r>
      <w:r w:rsidR="00153355" w:rsidRPr="00AD5E07">
        <w:rPr>
          <w:lang w:bidi="en-US"/>
        </w:rPr>
        <w:fldChar w:fldCharType="begin" w:fldLock="1"/>
      </w:r>
      <w:r w:rsidR="002B3159">
        <w:rPr>
          <w:lang w:bidi="en-US"/>
        </w:rPr>
        <w:instrText>ADDIN CSL_CITATION {"citationItems":[{"id":"ITEM-1","itemData":{"ISSN":"2045-2322","author":[{"dropping-particle":"","family":"D’Avola","given":"Delia","non-dropping-particle":"","parse-names":false,"suffix":""},{"dropping-particle":"","family":"Villacorta-Martin","given":"Carlos","non-dropping-particle":"","parse-names":false,"suffix":""},{"dropping-particle":"","family":"Martins-Filho","given":"Sebastiao N","non-dropping-particle":"","parse-names":false,"suffix":""},{"dropping-particle":"","family":"Craig","given":"Amanda","non-dropping-particle":"","parse-names":false,"suffix":""},{"dropping-particle":"","family":"Labgaa","given":"Ismail","non-dropping-particle":"","parse-names":false,"suffix":""},{"dropping-particle":"","family":"Felden","given":"Johann","non-dropping-particle":"von","parse-names":false,"suffix":""},{"dropping-particle":"","family":"Kimaada","given":"Allette","non-dropping-particle":"","parse-names":false,"suffix":""},{"dropping-particle":"","family":"Bonaccorso","given":"Antoinette","non-dropping-particle":"","parse-names":false,"suffix":""},{"dropping-particle":"","family":"Tabrizian","given":"Parissa","non-dropping-particle":"","parse-names":false,"suffix":""},{"dropping-particle":"","family":"Hartmann","given":"Boris M","non-dropping-particle":"","parse-names":false,"suffix":""}],"container-title":"Scientific reports","id":"ITEM-1","issue":"1","issued":{"date-parts":[["2018"]]},"page":"11570","publisher":"Nature Publishing Group UK London","title":"High-density single cell mRNA sequencing to characterize circulating tumor cells in hepatocellular carcinoma","type":"article-journal","volume":"8"},"uris":["http://www.mendeley.com/documents/?uuid=8821f18d-0256-49cf-aa99-d35f5ff7e552"]}],"mendeley":{"formattedCitation":"[4]","plainTextFormattedCitation":"[4]","previouslyFormattedCitation":"[4]"},"properties":{"noteIndex":0},"schema":"https://github.com/citation-style-language/schema/raw/master/csl-citation.json"}</w:instrText>
      </w:r>
      <w:r w:rsidR="00153355" w:rsidRPr="00AD5E07">
        <w:rPr>
          <w:lang w:bidi="en-US"/>
        </w:rPr>
        <w:fldChar w:fldCharType="separate"/>
      </w:r>
      <w:r w:rsidR="00153355" w:rsidRPr="00153355">
        <w:rPr>
          <w:noProof/>
          <w:lang w:bidi="en-US"/>
        </w:rPr>
        <w:t>[4]</w:t>
      </w:r>
      <w:r w:rsidR="00153355" w:rsidRPr="00AD5E07">
        <w:rPr>
          <w:lang w:bidi="en-US"/>
        </w:rPr>
        <w:fldChar w:fldCharType="end"/>
      </w:r>
      <w:r w:rsidRPr="005E1FE9">
        <w:rPr>
          <w:rFonts w:ascii="Arial" w:hAnsi="Arial" w:cs="Arial"/>
          <w:sz w:val="24"/>
          <w:szCs w:val="24"/>
          <w:lang w:eastAsia="de-DE" w:bidi="en-US"/>
        </w:rPr>
        <w:t>, muscle-invasive urothelial bladder cancer (n = 1)</w:t>
      </w:r>
      <w:r w:rsidR="00153355" w:rsidRPr="00153355">
        <w:rPr>
          <w:lang w:bidi="en-US"/>
        </w:rPr>
        <w:t xml:space="preserve"> </w:t>
      </w:r>
      <w:r w:rsidR="00153355" w:rsidRPr="00AD5E07">
        <w:rPr>
          <w:lang w:bidi="en-US"/>
        </w:rPr>
        <w:fldChar w:fldCharType="begin" w:fldLock="1"/>
      </w:r>
      <w:r w:rsidR="002B3159">
        <w:rPr>
          <w:lang w:bidi="en-US"/>
        </w:rPr>
        <w:instrText>ADDIN CSL_CITATION {"citationItems":[{"id":"ITEM-1","itemData":{"author":[{"dropping-particle":"","family":"Lee","given":"Hye Won","non-dropping-particle":"","parse-names":false,"suffix":""},{"dropping-particle":"","family":"Chung","given":"Woosung","non-dropping-particle":"","parse-names":false,"suffix":""},{"dropping-particle":"","family":"Lee","given":"Hae-Ock","non-dropping-particle":"","parse-names":false,"suffix":""},{"dropping-particle":"","family":"Jeong","given":"Da Eun","non-dropping-particle":"","parse-names":false,"suffix":""},{"dropping-particle":"","family":"Jo","given":"Areum","non-dropping-particle":"","parse-names":false,"suffix":""},{"dropping-particle":"","family":"Lim","given":"Joung Eun","non-dropping-particle":"","parse-names":false,"suffix":""},{"dropping-particle":"","family":"Hong","given":"Jeong Hee","non-dropping-particle":"","parse-names":false,"suffix":""},{"dropping-particle":"","family":"Nam","given":"Do-Hyun","non-dropping-particle":"","parse-names":false,"suffix":""},{"dropping-particle":"","family":"Jeong","given":"Byong Chang","non-dropping-particle":"","parse-names":false,"suffix":""},{"dropping-particle":"","family":"Park","given":"Se Hoon","non-dropping-particle":"","parse-names":false,"suffix":""}],"container-title":"Genome medicine","id":"ITEM-1","issued":{"date-parts":[["2020"]]},"page":"1-21","publisher":"Springer","title":"Single-cell RNA sequencing reveals the tumor microenvironment and facilitates strategic choices to circumvent treatment failure in a chemorefractory bladder cancer patient","type":"article-journal","volume":"12"},"uris":["http://www.mendeley.com/documents/?uuid=b63b1a8f-2a02-4394-8185-b6407e67343b"]}],"mendeley":{"formattedCitation":"[5]","plainTextFormattedCitation":"[5]","previouslyFormattedCitation":"[5]"},"properties":{"noteIndex":0},"schema":"https://github.com/citation-style-language/schema/raw/master/csl-citation.json"}</w:instrText>
      </w:r>
      <w:r w:rsidR="00153355" w:rsidRPr="00AD5E07">
        <w:rPr>
          <w:lang w:bidi="en-US"/>
        </w:rPr>
        <w:fldChar w:fldCharType="separate"/>
      </w:r>
      <w:r w:rsidR="00153355" w:rsidRPr="00153355">
        <w:rPr>
          <w:noProof/>
          <w:lang w:bidi="en-US"/>
        </w:rPr>
        <w:t>[5]</w:t>
      </w:r>
      <w:r w:rsidR="00153355" w:rsidRPr="00AD5E07">
        <w:rPr>
          <w:lang w:bidi="en-US"/>
        </w:rPr>
        <w:fldChar w:fldCharType="end"/>
      </w:r>
      <w:r w:rsidRPr="005E1FE9">
        <w:rPr>
          <w:rFonts w:ascii="Arial" w:hAnsi="Arial" w:cs="Arial"/>
          <w:sz w:val="24"/>
          <w:szCs w:val="24"/>
          <w:lang w:eastAsia="de-DE" w:bidi="en-US"/>
        </w:rPr>
        <w:t>, triple-negative breast cancer (n = 6)</w:t>
      </w:r>
      <w:r w:rsidR="00153355" w:rsidRPr="00AD5E07">
        <w:rPr>
          <w:lang w:bidi="en-US"/>
        </w:rPr>
        <w:fldChar w:fldCharType="begin" w:fldLock="1"/>
      </w:r>
      <w:r w:rsidR="002B3159">
        <w:rPr>
          <w:lang w:bidi="en-US"/>
        </w:rPr>
        <w:instrText>ADDIN CSL_CITATION {"citationItems":[{"id":"ITEM-1","itemData":{"ISSN":"1087-0156","author":[{"dropping-particle":"","family":"Gao","given":"Ruli","non-dropping-particle":"","parse-names":false,"suffix":""},{"dropping-particle":"","family":"Bai","given":"Shanshan","non-dropping-particle":"","parse-names":false,"suffix":""},{"dropping-particle":"","family":"Henderson","given":"Ying C","non-dropping-particle":"","parse-names":false,"suffix":""},{"dropping-particle":"","family":"Lin","given":"Yiyun","non-dropping-particle":"","parse-names":false,"suffix":""},{"dropping-particle":"","family":"Schalck","given":"Aislyn","non-dropping-particle":"","parse-names":false,"suffix":""},{"dropping-particle":"","family":"Yan","given":"Yun","non-dropping-particle":"","parse-names":false,"suffix":""},{"dropping-particle":"","family":"Kumar","given":"Tapsi","non-dropping-particle":"","parse-names":false,"suffix":""},{"dropping-particle":"","family":"Hu","given":"Min","non-dropping-particle":"","parse-names":false,"suffix":""},{"dropping-particle":"","family":"Sei","given":"Emi","non-dropping-particle":"","parse-names":false,"suffix":""},{"dropping-particle":"","family":"Davis","given":"Alexander","non-dropping-particle":"","parse-names":false,"suffix":""}],"container-title":"Nature biotechnology","id":"ITEM-1","issue":"5","issued":{"date-parts":[["2021"]]},"page":"599-608","publisher":"Nature Publishing Group US New York","title":"Delineating copy number and clonal substructure in human tumors from single-cell transcriptomes","type":"article-journal","volume":"39"},"uris":["http://www.mendeley.com/documents/?uuid=3ca0b7a5-6028-412d-8077-1dc2ea92a116"]}],"mendeley":{"formattedCitation":"[6]","plainTextFormattedCitation":"[6]","previouslyFormattedCitation":"[6]"},"properties":{"noteIndex":0},"schema":"https://github.com/citation-style-language/schema/raw/master/csl-citation.json"}</w:instrText>
      </w:r>
      <w:r w:rsidR="00153355" w:rsidRPr="00AD5E07">
        <w:rPr>
          <w:lang w:bidi="en-US"/>
        </w:rPr>
        <w:fldChar w:fldCharType="separate"/>
      </w:r>
      <w:r w:rsidR="00153355" w:rsidRPr="00153355">
        <w:rPr>
          <w:noProof/>
          <w:lang w:bidi="en-US"/>
        </w:rPr>
        <w:t>[6]</w:t>
      </w:r>
      <w:r w:rsidR="00153355" w:rsidRPr="00AD5E07">
        <w:rPr>
          <w:lang w:bidi="en-US"/>
        </w:rPr>
        <w:fldChar w:fldCharType="end"/>
      </w:r>
      <w:r w:rsidRPr="005E1FE9">
        <w:rPr>
          <w:rFonts w:ascii="Arial" w:hAnsi="Arial" w:cs="Arial"/>
          <w:sz w:val="24"/>
          <w:szCs w:val="24"/>
          <w:lang w:eastAsia="de-DE" w:bidi="en-US"/>
        </w:rPr>
        <w:t>, breast ductal carcinoma in situ (n = 1)</w:t>
      </w:r>
      <w:r w:rsidR="00153355" w:rsidRPr="00AD5E07">
        <w:rPr>
          <w:lang w:bidi="en-US"/>
        </w:rPr>
        <w:fldChar w:fldCharType="begin" w:fldLock="1"/>
      </w:r>
      <w:r w:rsidR="002B3159">
        <w:rPr>
          <w:lang w:bidi="en-US"/>
        </w:rPr>
        <w:instrText>ADDIN CSL_CITATION {"citationItems":[{"id":"ITEM-1","itemData":{"ISSN":"1087-0156","author":[{"dropping-particle":"","family":"Gao","given":"Ruli","non-dropping-particle":"","parse-names":false,"suffix":""},{"dropping-particle":"","family":"Bai","given":"Shanshan","non-dropping-particle":"","parse-names":false,"suffix":""},{"dropping-particle":"","family":"Henderson","given":"Ying C","non-dr</w:instrText>
      </w:r>
      <w:r w:rsidR="002B3159" w:rsidRPr="00206AB9">
        <w:rPr>
          <w:lang w:val="pt-BR" w:bidi="en-US"/>
        </w:rPr>
        <w:instrText xml:space="preserve">opping-particle":"","parse-names":false,"suffix":""},{"dropping-particle":"","family":"Lin","given":"Yiyun","non-dropping-particle":"","parse-names":false,"suffix":""},{"dropping-particle":"","family":"Schalck","given":"Aislyn","non-dropping-particle":"","parse-names":false,"suffix":""},{"dropping-particle":"","family":"Yan","given":"Yun","non-dropping-particle":"","parse-names":false,"suffix":""},{"dropping-particle":"","family":"Kumar","given":"Tapsi","non-dropping-particle":"","parse-names":false,"suffix":""},{"dropping-particle":"","family":"Hu","given":"Min","non-dropping-particle":"","parse-names":false,"suffix":""},{"dropping-particle":"","family":"Sei","given":"Emi","non-dropping-particle":"","parse-names":false,"suffix":""},{"dropping-particle":"","family":"Davis","given":"Alexander","non-dropping-particle":"","parse-names":false,"suffix":""}],"container-title":"Nature biotechnology","id":"ITEM-1","issue":"5","issued":{"date-parts":[["2021"]]},"page":"599-608","publisher":"Nature Publishing Group US New York","title":"Delineating copy </w:instrText>
      </w:r>
      <w:r w:rsidR="002B3159" w:rsidRPr="002B3159">
        <w:rPr>
          <w:lang w:val="pt-BR" w:bidi="en-US"/>
        </w:rPr>
        <w:instrText>number and clonal substructure in human tumors from single-cell transcriptomes","type":"article-journal","volume":"39"},"uris":["http://www.mendeley.com/documents/?uuid=3ca0b7a5-6028-412d-8077-1dc2ea92a116"]}],"mendeley":{"formattedCitation":"[6]","plainTextFormattedCitation":"[6]","previouslyFormattedCitation":"[6]"},"properties":{"noteIndex":0},"schema":"https://github.com/citation-style-language/schema/raw/master/csl-citation.json"}</w:instrText>
      </w:r>
      <w:r w:rsidR="00153355" w:rsidRPr="00AD5E07">
        <w:rPr>
          <w:lang w:bidi="en-US"/>
        </w:rPr>
        <w:fldChar w:fldCharType="separate"/>
      </w:r>
      <w:r w:rsidR="00153355" w:rsidRPr="00153355">
        <w:rPr>
          <w:noProof/>
          <w:lang w:val="pt-BR" w:bidi="en-US"/>
        </w:rPr>
        <w:t>[6]</w:t>
      </w:r>
      <w:r w:rsidR="00153355" w:rsidRPr="00AD5E07">
        <w:rPr>
          <w:lang w:bidi="en-US"/>
        </w:rPr>
        <w:fldChar w:fldCharType="end"/>
      </w:r>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colorectal</w:t>
      </w:r>
      <w:proofErr w:type="spellEnd"/>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cancer</w:t>
      </w:r>
      <w:proofErr w:type="spellEnd"/>
      <w:r w:rsidRPr="00153355">
        <w:rPr>
          <w:rFonts w:ascii="Arial" w:hAnsi="Arial" w:cs="Arial"/>
          <w:sz w:val="24"/>
          <w:szCs w:val="24"/>
          <w:lang w:val="pt-BR" w:eastAsia="de-DE" w:bidi="en-US"/>
        </w:rPr>
        <w:t xml:space="preserve"> (n = 16)</w:t>
      </w:r>
      <w:r w:rsidR="00153355" w:rsidRPr="00AD5E07">
        <w:rPr>
          <w:lang w:bidi="en-US"/>
        </w:rPr>
        <w:fldChar w:fldCharType="begin" w:fldLock="1"/>
      </w:r>
      <w:r w:rsidR="002B3159">
        <w:rPr>
          <w:lang w:val="pt-BR" w:bidi="en-US"/>
        </w:rPr>
        <w:instrText>ADDIN CSL_CITATION {"citationItems":[{"id":"ITEM-1","itemData":{"ISSN":"1061-4036","author":[{"dropping-particle":"","family":"Lee","given":"Hae-Ock","non-dropping-particle":"","parse-names":false,"suffix":""},{"dropping-particle":"","family":"Hong","given":"Yourae","non-dropping-particle":"","parse-names":false,"suffix":""},{"dropping-particle":"","family":"Etlioglu","given":"Hakki Emre","non-dropping-particle":"","parse-names":false,"suffix":""},{"dropping-particle":"","family":"Cho","given":"Yong Beom","non-dropping-particle":"","parse-names":false,"suffix":""},{"dropping-particle":"","family":"Pomella","given":"Valentina","non-dropping-particle":"","parse-names":false,"suffix":""},{"dropping-particle":"","family":"Bosch","given":"Ben","non-dropping-particle":"Van den","parse-names":false,"suffix":""},{"dropping-particle":"","family":"Vanhecke","given":"Jasper","non-dropping-particle":"","parse-names":false,"suffix":""},{"dropping-particle":"","family":"Verbandt","given":"Sara","non-dropping-particle":"","parse-names":false,"suffix":""},{"dropping-particle":"","family":"Hong","given":"Hyekyung","non-dropping-particle":"","parse-names":false,"suffix":""},{"dropping-particle":"","family":"Min","given":"Jae-Woong","non-dropping-particle":"","parse-names":false,"suffix":""}],"container-title":"Nature genetics","id":"ITEM-1","issue":"6","issued":{"date-parts":[["2020"]]},"page":"594-603","publisher":"Nature Publishing Group US New York","title":"Lineage-dependent gene expression programs influence the immune landscape of colorectal cancer","type":"article-journal","volume":"52"},"uris":["http://www.mendeley.com/documents/?uuid=6275b484-f14d-48f5-bede-20f6464eae0a"]}],"mendeley":{"formattedCitation":"[7]","plainTextFormattedCitation":"[7]","previouslyFormattedCitation":"[7]"},"properties":{"noteIndex":0},"schema":"https://github.com/citation-style-language/schema/raw/master/csl-citation.json"}</w:instrText>
      </w:r>
      <w:r w:rsidR="00153355" w:rsidRPr="00AD5E07">
        <w:rPr>
          <w:lang w:bidi="en-US"/>
        </w:rPr>
        <w:fldChar w:fldCharType="separate"/>
      </w:r>
      <w:r w:rsidR="00153355" w:rsidRPr="00153355">
        <w:rPr>
          <w:noProof/>
          <w:lang w:val="pt-BR" w:bidi="en-US"/>
        </w:rPr>
        <w:t>[7]</w:t>
      </w:r>
      <w:r w:rsidR="00153355" w:rsidRPr="00AD5E07">
        <w:rPr>
          <w:lang w:bidi="en-US"/>
        </w:rPr>
        <w:fldChar w:fldCharType="end"/>
      </w:r>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lung</w:t>
      </w:r>
      <w:proofErr w:type="spellEnd"/>
      <w:r w:rsidRPr="00153355">
        <w:rPr>
          <w:rFonts w:ascii="Arial" w:hAnsi="Arial" w:cs="Arial"/>
          <w:sz w:val="24"/>
          <w:szCs w:val="24"/>
          <w:lang w:val="pt-BR" w:eastAsia="de-DE" w:bidi="en-US"/>
        </w:rPr>
        <w:t xml:space="preserve"> adenocarcinoma (n = 21)</w:t>
      </w:r>
      <w:r w:rsidR="00153355" w:rsidRPr="00AD5E07">
        <w:rPr>
          <w:lang w:bidi="en-US"/>
        </w:rPr>
        <w:fldChar w:fldCharType="begin" w:fldLock="1"/>
      </w:r>
      <w:r w:rsidR="002B3159">
        <w:rPr>
          <w:lang w:val="pt-BR" w:bidi="en-US"/>
        </w:rPr>
        <w:instrText>ADDIN CSL_CITATION {"citationItems":[{"id":"ITEM-1","itemData":{"ISSN":"1078-8956","author":[{"dropping-particle":"","family":"Laughney","given":"Ashley M","non-dropping-particle":"","parse-names":false,"suffix":""},{"dropping-particle":"","family":"Hu","given":"Jing","non-dropping-particle":"","parse-names":false,"suffix":""},{"dropping-particle":"","family":"Campbell","given":"Nathaniel R","non-dropping-particle":"","parse-names":false,"suffix":""},{"dropping-particle":"","family":"Bakhoum","given":"Samuel F","non-dropping-particle":"","parse-names":false,"suffix":""},{"dropping-particle":"","family":"Setty","given":"Manu","non-dropping-particle":"","parse-names":false,"suffix":""},{"dropping-particle":"","family":"Lavallée","given":"Vincent-Philippe","non-dropping-particle":"","parse-names":false,"suffix":""},{"dropping-particle":"","family":"Xie","given":"Yubin","non-dropping-particle":"","parse-names":false,"suffix":""},{"dropping-particle":"","family":"Masilionis","given":"Ignas","non-dropping-particle":"","parse-names":false,"suffix":""},{"dropping-particle":"","family":"Carr","given":"Ambrose J","non-dropping-particle":"","parse-names":false,"suffix":""},{"dropping-particle":"","family":"Kottapalli","given":"Sanjay","non-dropping-particle":"","parse-names":false,"suffix":""}],"container-title":"Nature medicine","id":"ITEM-1","issue":"2","issued":{"date-parts":[["2020"]]},"page":"259-269","publisher":"Nature Publishing Group US New York","title":"Regenerative lineages and immune-mediated pruning in lung cancer metastasis","type":"article-journal","volume":"26"},"uris":["http://www.mendeley.com/documents/?uuid=e2b7e2dd-9efc-452c-863b-0dbb859b0058"]}],"mendeley":{"formattedCitation":"[8]","plainTextFormattedCitation":"[8]","previouslyFormattedCitation":"[8]"},"properties":{"noteIndex":0},"schema":"https://github.com/citation-style-language/schema/raw/master/csl-citation.json"}</w:instrText>
      </w:r>
      <w:r w:rsidR="00153355" w:rsidRPr="00AD5E07">
        <w:rPr>
          <w:lang w:bidi="en-US"/>
        </w:rPr>
        <w:fldChar w:fldCharType="separate"/>
      </w:r>
      <w:r w:rsidR="00153355" w:rsidRPr="00153355">
        <w:rPr>
          <w:noProof/>
          <w:lang w:val="pt-BR" w:bidi="en-US"/>
        </w:rPr>
        <w:t>[8]</w:t>
      </w:r>
      <w:r w:rsidR="00153355" w:rsidRPr="00AD5E07">
        <w:rPr>
          <w:lang w:bidi="en-US"/>
        </w:rPr>
        <w:fldChar w:fldCharType="end"/>
      </w:r>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lung</w:t>
      </w:r>
      <w:proofErr w:type="spellEnd"/>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squamous</w:t>
      </w:r>
      <w:proofErr w:type="spellEnd"/>
      <w:r w:rsidRPr="00153355">
        <w:rPr>
          <w:rFonts w:ascii="Arial" w:hAnsi="Arial" w:cs="Arial"/>
          <w:sz w:val="24"/>
          <w:szCs w:val="24"/>
          <w:lang w:val="pt-BR" w:eastAsia="de-DE" w:bidi="en-US"/>
        </w:rPr>
        <w:t xml:space="preserve"> </w:t>
      </w:r>
      <w:proofErr w:type="spellStart"/>
      <w:r w:rsidRPr="00153355">
        <w:rPr>
          <w:rFonts w:ascii="Arial" w:hAnsi="Arial" w:cs="Arial"/>
          <w:sz w:val="24"/>
          <w:szCs w:val="24"/>
          <w:lang w:val="pt-BR" w:eastAsia="de-DE" w:bidi="en-US"/>
        </w:rPr>
        <w:t>cell</w:t>
      </w:r>
      <w:proofErr w:type="spellEnd"/>
      <w:r w:rsidRPr="00153355">
        <w:rPr>
          <w:rFonts w:ascii="Arial" w:hAnsi="Arial" w:cs="Arial"/>
          <w:sz w:val="24"/>
          <w:szCs w:val="24"/>
          <w:lang w:val="pt-BR" w:eastAsia="de-DE" w:bidi="en-US"/>
        </w:rPr>
        <w:t xml:space="preserve"> carcinoma (n = 7)</w:t>
      </w:r>
      <w:r w:rsidR="00153355" w:rsidRPr="00AD5E07">
        <w:rPr>
          <w:lang w:bidi="en-US"/>
        </w:rPr>
        <w:fldChar w:fldCharType="begin" w:fldLock="1"/>
      </w:r>
      <w:r w:rsidR="002B3159">
        <w:rPr>
          <w:lang w:val="pt-BR" w:bidi="en-US"/>
        </w:rPr>
        <w:instrText>ADDIN CSL_CITATION {"citationItems":[{"id":"ITEM-1","itemData":{"ISSN":"1078-8956","author":[{"dropping-particle":"","family":"Lambrechts","given":"Diether","non-dropping-particle":"","parse-names":false,"suffix":""},{"dropping-particle":"","family":"Wauters","given":"Els","non-dropping-particle":"","parse-names":false,"suffix":""},{"dropping-particle":"","family":"Boeckx","given":"Bram","non-dro</w:instrText>
      </w:r>
      <w:r w:rsidR="002B3159" w:rsidRPr="00206AB9">
        <w:rPr>
          <w:lang w:bidi="en-US"/>
        </w:rPr>
        <w:instrText>pping-particle":"","parse-names":false,"suffix":""},{"dropping-particle":"","family":"Aibar","given":"Sara","non-dropping-particle":"","parse-names":false,"suffix":""},{"dropping-particle":"","family":"Nittner","given":"David","non-dropping-particle":"","parse-names":false,"suffix":""},{"dropping-particle":"","family":"Burton","given":"Oliver","non-dropping-particle":"","parse-names":false,"suffix":""},{"dropping-particle":"","family":"Bassez","given":"Ayse","non-dropping-particle":"","parse-names":false,"suffix":""},{"dropping-particle":"","family":"Decaluwé","given":"Herbert","non-dropping-particle":"","parse-names":false,"suffix":""},{"dropping-particle":"","family":"Pircher","given":"Andreas","non-dropping-particle":"","parse-names":false,"suffix":""},{"dropping-particle":"","family":"Eynde","given":"Kathleen","non-dropping-particle":"Van den","parse-names":false,"suffix":""}],"container-title":"Nature medicine","id":"ITEM-1","issue":"8","issued":{"date-parts":[["2018"]]},"page":"1277-1289","publisher":"Nature Publishing Group US New York</w:instrText>
      </w:r>
      <w:r w:rsidR="002B3159" w:rsidRPr="002B3159">
        <w:rPr>
          <w:lang w:bidi="en-US"/>
        </w:rPr>
        <w:instrText>","title":"Phenotype molding of stromal cells in the lung tumor microenvironment","type":"article-journal","volume":"24"},"uris":["http://www.mendeley.com/documents/?uuid=7380fcf4-ef90-4855-bf38-746426eb086e"]}],"mendeley":{"formattedCitation":"[9]","plainTextFormattedCitation":"[9]","previouslyFormattedCitation":"[9]"},"properties":{"noteIndex":0},"schema":"https://github.com/citation-style-language/schema/raw/master/csl-citation.json"}</w:instrText>
      </w:r>
      <w:r w:rsidR="00153355" w:rsidRPr="00AD5E07">
        <w:rPr>
          <w:lang w:bidi="en-US"/>
        </w:rPr>
        <w:fldChar w:fldCharType="separate"/>
      </w:r>
      <w:r w:rsidR="00153355" w:rsidRPr="00153355">
        <w:rPr>
          <w:noProof/>
          <w:lang w:bidi="en-US"/>
        </w:rPr>
        <w:t>[9]</w:t>
      </w:r>
      <w:r w:rsidR="00153355" w:rsidRPr="00AD5E07">
        <w:rPr>
          <w:lang w:bidi="en-US"/>
        </w:rPr>
        <w:fldChar w:fldCharType="end"/>
      </w:r>
      <w:r w:rsidRPr="00153355">
        <w:rPr>
          <w:rFonts w:ascii="Arial" w:hAnsi="Arial" w:cs="Arial"/>
          <w:sz w:val="24"/>
          <w:szCs w:val="24"/>
          <w:lang w:eastAsia="de-DE" w:bidi="en-US"/>
        </w:rPr>
        <w:t>, non-small cell lung cancer (n = 7)</w:t>
      </w:r>
      <w:r w:rsidR="00153355" w:rsidRPr="00AD5E07">
        <w:rPr>
          <w:lang w:bidi="en-US"/>
        </w:rPr>
        <w:fldChar w:fldCharType="begin" w:fldLock="1"/>
      </w:r>
      <w:r w:rsidR="002B3159">
        <w:rPr>
          <w:lang w:bidi="en-US"/>
        </w:rPr>
        <w:instrText>ADDIN CSL_CITATION {"citationItems":[{"id":"ITEM-1","itemData":{"ISSN":"1078-8956","author":[{"dropping-particle":"","family":"Lambrechts","given":"Diether","non-dropping-particle":"","parse-names":false,"suffix":""},{"dropping-particle":"","family":"Wauters","given":"Els","non-dropping-particle":"","parse-names":false,"suffix":""},{"dropping-particle":"","family":"Boeckx","given":"Bram","non-dropping-particle":"","parse-names":false,"suffix":""},{"dropping-particle":"","family":"Aibar","given":"Sara","non-dropping-particle":"","parse-names":false,"suffix":""},{"dropping-particle":"","family":"Nittner","given":"David","non-dropping-particle":"","parse-names":false,"suffix":""},{"dropping-particle":"","family":"Burton","given":"Oliver","non-dropping-particle":"","parse-names":false,"suffix":""},{"dropping-particle":"","family":"Bassez","given":"Ayse","non-dropping-particle":"","parse-names":false,"suffix":""},{"dropping-particle":"","family":"Decaluwé","given":"Herbert","non-dropping-particle":"","parse-names":false,"suffix":""},{"dropping-particle":"","family":"Pircher","given":"Andreas","non-dropping-particle":"","parse-names":false,"suffix":""},{"dropping-particle":"","family":"Eynde","given":"Kathleen","non-dropping-particle":"Van den","parse-names":false,"suffix":""}],"container-title":"Nature medicine","id":"ITEM-1","issue":"8","issued":{"date-parts":[["2018"]]},"page":"1277-1289","publisher":"Nature Publishing Group US New York","title":"Phenotype molding of stromal cells in the lung tumor microenvironment","type":"article-journal","volume":"24"},"uris":["http://www.mendeley.com/documents/?uuid=7380fcf4-ef90-4855-bf38-746426eb086e"]}],"mendeley":{"formattedCitation":"[9]","plainTextFormattedCitation":"[9]","previouslyFormattedCitation":"[9]"},"properties":{"noteIndex":0},"schema":"https://github.com/citation-style-language/schema/raw/master/csl-citation.json"}</w:instrText>
      </w:r>
      <w:r w:rsidR="00153355" w:rsidRPr="00AD5E07">
        <w:rPr>
          <w:lang w:bidi="en-US"/>
        </w:rPr>
        <w:fldChar w:fldCharType="separate"/>
      </w:r>
      <w:r w:rsidR="00153355" w:rsidRPr="00153355">
        <w:rPr>
          <w:noProof/>
          <w:lang w:bidi="en-US"/>
        </w:rPr>
        <w:t>[9]</w:t>
      </w:r>
      <w:r w:rsidR="00153355" w:rsidRPr="00AD5E07">
        <w:rPr>
          <w:lang w:bidi="en-US"/>
        </w:rPr>
        <w:fldChar w:fldCharType="end"/>
      </w:r>
      <w:r w:rsidRPr="00153355">
        <w:rPr>
          <w:rFonts w:ascii="Arial" w:hAnsi="Arial" w:cs="Arial"/>
          <w:sz w:val="24"/>
          <w:szCs w:val="24"/>
          <w:lang w:eastAsia="de-DE" w:bidi="en-US"/>
        </w:rPr>
        <w:t>, ovarian carcinoma (n = 4)</w:t>
      </w:r>
      <w:r w:rsidR="00153355" w:rsidRPr="00AD5E07">
        <w:rPr>
          <w:lang w:bidi="en-US"/>
        </w:rPr>
        <w:fldChar w:fldCharType="begin" w:fldLock="1"/>
      </w:r>
      <w:r w:rsidR="002B3159">
        <w:rPr>
          <w:lang w:bidi="en-US"/>
        </w:rPr>
        <w:instrText>ADDIN CSL_CITATION {"citationItems":[{"id":"ITEM-1","itemData":{"ISSN":"2041-1723","author":[{"dropping-particle":"","family":"Nelson","given":"Louisa","non-dropping-particle":"","parse-names":false,"suffix":""},{"dropping-particle":"","family":"Tighe","given":"Anthony","non-dropping-particle":"","parse-names":false,"suffix":""},{"dropping-particle":"","family":"Golder","given":"Anya","non-dropping-particle":"","parse-names":false,"suffix":""},{"dropping-particle":"","family":"Littler","given":"Samantha","non-dropping-particle":"","parse-names":false,"suffix":""},{"dropping-particle":"","family":"Bakker","given":"Bjorn","non-dropping-particle":"","parse-names":false,"suffix":""},{"dropping-particle":"","family":"Moralli","given":"Daniela","non-dropping-particle":"","parse-names":false,"suffix":""},{"dropping-particle":"","family":"Murtuza Baker","given":"Syed","non-dropping-particle":"","parse-names":false,"suffix":""},{"dropping-particle":"","family":"Donaldson","given":"Ian J","non-dropping-particle":"","parse-names":false,"suffix":""},{"dropping-particle":"","family":"Spierings","given":"Diana C J","non-dropping-particle":"","parse-names":false,"suffix":""},{"dropping-particle":"","family":"Wardenaar","given":"René","non-dropping-particle":"","parse-names":false,"suffix":""}],"container-title":"Nature communications","id":"ITEM-1","issue":"1","issued":{"date-parts":[["2020"]]},"page":"822","publisher":"Nature Publishing Group UK London","title":"A living biobank of ovarian cancer ex vivo models reveals profound mitotic heterogeneity","type":"article-journal","volume":"11"},"uris":["http://www.mendeley.com/documents/?uuid=3b00a759-7e47-451b-a25d-b18261e40937"]}],"mendeley":{"formattedCitation":"[10]","plainTextFormattedCitation":"[10]","previouslyFormattedCitation":"[10]"},"properties":{"noteIndex":0},"schema":"https://github.com/citation-style-language/schema/raw/master/csl-citation.json"}</w:instrText>
      </w:r>
      <w:r w:rsidR="00153355" w:rsidRPr="00AD5E07">
        <w:rPr>
          <w:lang w:bidi="en-US"/>
        </w:rPr>
        <w:fldChar w:fldCharType="separate"/>
      </w:r>
      <w:r w:rsidR="00153355" w:rsidRPr="00153355">
        <w:rPr>
          <w:noProof/>
          <w:lang w:bidi="en-US"/>
        </w:rPr>
        <w:t>[10]</w:t>
      </w:r>
      <w:r w:rsidR="00153355" w:rsidRPr="00AD5E07">
        <w:rPr>
          <w:lang w:bidi="en-US"/>
        </w:rPr>
        <w:fldChar w:fldCharType="end"/>
      </w:r>
      <w:r w:rsidRPr="00153355">
        <w:rPr>
          <w:rFonts w:ascii="Arial" w:hAnsi="Arial" w:cs="Arial"/>
          <w:sz w:val="24"/>
          <w:szCs w:val="24"/>
          <w:lang w:eastAsia="de-DE" w:bidi="en-US"/>
        </w:rPr>
        <w:t>, pancreatic ductal adenocarcinoma (n = 24)</w:t>
      </w:r>
      <w:r w:rsidR="00153355" w:rsidRPr="00AD5E07">
        <w:rPr>
          <w:lang w:bidi="en-US"/>
        </w:rPr>
        <w:fldChar w:fldCharType="begin" w:fldLock="1"/>
      </w:r>
      <w:r w:rsidR="002B3159">
        <w:rPr>
          <w:lang w:bidi="en-US"/>
        </w:rPr>
        <w:instrText>ADDIN CSL_CITATION {"citationItems":[{"id":"ITEM-1","itemData":{"ISSN":"1001-0602","author":[{"dropping-particle":"","family":"Peng","given":"Junya","non-dropping-particle":"","parse-names":false,"suffix":""},{"dropping-particle":"","family":"Sun","given":"Bao-Fa","non-dropping-particle":"","parse-names":false,"suffix":""},{"dropping-particle":"","family":"Chen","given":"Chuan-Yuan","non-dropping-particle":"","parse-names":false,"suffix":""},{"dropping-particle":"","family":"Zhou","given":"Jia-Yi","non-dropping-particle":"","parse-names":false,"suffix":""},{"dropping-particle":"","family":"Chen","given":"Yu-Sheng","non-dropping-particle":"","parse-names":false,"suffix":""},{"dropping-particle":"","family":"Chen","given":"Hao","non-dropping-particle":"","parse-names":false,"suffix":""},{"dropping-particle":"","family":"Liu","given":"Lulu","non-dropping-particle":"","parse-names":false,"suffix":""},{"dropping-particle":"","family":"Huang","given":"Dan","non-dropping-particle":"","parse-names":false,"suffix":""},{"dropping-particle":"","family":"Jiang","given":"Jialin","non-dropping-particle":"","parse-names":false,"suffix":""},{"dropping-particle":"","family":"Cui","given":"Guan-Shen","non-dropping-particle":"","parse-names":false,"suffix":""}],"container-title":"CELL RESEARCH","id":"ITEM-1","issue":"9","issued":{"date-parts":[["2019"]]},"page":"777","publisher":"NATURE PUBLISHING GROUP MACMILLAN BUILDING, 4 CRINAN ST, LONDON N1 9XW, ENGLAND","title":"Single-cell RNA-seq highlights intra-tumoral heterogeneity and malignant progression in pancreatic ductal adenocarcinoma (vol 29, pg 777, 2019)","type":"article-journal","volume":"29"},"uris":["http://www.mendeley.com/documents/?uuid=998375d7-d863-4fc2-a696-e19d6cd7addd"]}],"mendeley":{"formattedCitation":"[11]","plainTextFormattedCitation":"[11]","previouslyFormattedCitation":"[11]"},"properties":{"noteIndex":0},"schema":"https://github.com/citation-style-language/schema/raw/master/csl-citation.json"}</w:instrText>
      </w:r>
      <w:r w:rsidR="00153355" w:rsidRPr="00AD5E07">
        <w:rPr>
          <w:lang w:bidi="en-US"/>
        </w:rPr>
        <w:fldChar w:fldCharType="separate"/>
      </w:r>
      <w:r w:rsidR="00153355" w:rsidRPr="00153355">
        <w:rPr>
          <w:noProof/>
          <w:lang w:bidi="en-US"/>
        </w:rPr>
        <w:t>[11]</w:t>
      </w:r>
      <w:r w:rsidR="00153355" w:rsidRPr="00AD5E07">
        <w:rPr>
          <w:lang w:bidi="en-US"/>
        </w:rPr>
        <w:fldChar w:fldCharType="end"/>
      </w:r>
      <w:r w:rsidRPr="00153355">
        <w:rPr>
          <w:rFonts w:ascii="Arial" w:hAnsi="Arial" w:cs="Arial"/>
          <w:sz w:val="24"/>
          <w:szCs w:val="24"/>
          <w:lang w:eastAsia="de-DE" w:bidi="en-US"/>
        </w:rPr>
        <w:t>, and stomach adenocarcinoma (n = 1)</w:t>
      </w:r>
      <w:r w:rsidR="00153355" w:rsidRPr="00AD5E07">
        <w:rPr>
          <w:lang w:bidi="en-US"/>
        </w:rPr>
        <w:fldChar w:fldCharType="begin" w:fldLock="1"/>
      </w:r>
      <w:r w:rsidR="002B3159">
        <w:rPr>
          <w:lang w:bidi="en-US"/>
        </w:rPr>
        <w:instrText>ADDIN CSL_CITATION {"citationItems":[{"id":"ITEM-1","itemData":{"ISSN":"2211-1247","author":[{"dropping-particle":"","family":"Zhang","given":"Peng","non-dropping-particle":"","parse-names":false,"suffix":""},{"dropping-particle":"","family":"Yang","given":"Mingran","non-dropping-particle":"","parse-names":false,"suffix":""},{"dropping-particle":"","family":"Zhang","given":"Yiding","non-dropping-particle":"","parse-names":false,"suffix":""},{"dropping-particle":"","family":"Xiao","given":"Shuai","non-dropping-particle":"","parse-names":false,"suffix":""},{"dropping-particle":"","family":"Lai","given":"Xinxing","non-dropping-particle":"","parse-names":false,"suffix":""},{"dropping-particle":"","family":"Tan","given":"Aidi","non-dropping-particle":"","parse-names":false,"suffix":""},{"dropping-particle":"","family":"Du","given":"Shiyu","non-dropping-particle":"","parse-names":false,"suffix":""},{"dropping-particle":"","family":"Li","given":"Shao","non-dropping-particle":"","parse-names":false,"suffix":""}],"container-title":"Cell reports","id":"ITEM-1","issue":"12","issued":{"date-parts":[["2020"]]},"page":"4317","publisher":"Elsevier","title":"Dissecting the single-cell transcriptome network underlying gastric premalignant lesions and early gastric cancer","type":"article-journal","volume":"30"},"uris":["http://www.mendeley.com/documents/?uuid=37796659-6bdc-4561-a2a9-11d98dd84f8d"]}],"mendeley":{"formattedCitation":"[12]","plainTextFormattedCitation":"[12]","previouslyFormattedCitation":"[12]"},"properties":{"noteIndex":0},"schema":"https://github.com/citation-style-language/schema/raw/master/csl-citation.json"}</w:instrText>
      </w:r>
      <w:r w:rsidR="00153355" w:rsidRPr="00AD5E07">
        <w:rPr>
          <w:lang w:bidi="en-US"/>
        </w:rPr>
        <w:fldChar w:fldCharType="separate"/>
      </w:r>
      <w:r w:rsidR="00153355" w:rsidRPr="00153355">
        <w:rPr>
          <w:noProof/>
          <w:lang w:bidi="en-US"/>
        </w:rPr>
        <w:t>[12]</w:t>
      </w:r>
      <w:r w:rsidR="00153355" w:rsidRPr="00AD5E07">
        <w:rPr>
          <w:lang w:bidi="en-US"/>
        </w:rPr>
        <w:fldChar w:fldCharType="end"/>
      </w:r>
      <w:r w:rsidRPr="00153355">
        <w:rPr>
          <w:rFonts w:ascii="Arial" w:hAnsi="Arial" w:cs="Arial"/>
          <w:sz w:val="24"/>
          <w:szCs w:val="24"/>
          <w:lang w:eastAsia="de-DE" w:bidi="en-US"/>
        </w:rPr>
        <w:t>.</w:t>
      </w:r>
    </w:p>
    <w:p w14:paraId="2D13AC09" w14:textId="77777777" w:rsidR="00103532" w:rsidRPr="005E1FE9" w:rsidRDefault="00103532" w:rsidP="005E1FE9">
      <w:pPr>
        <w:pStyle w:val="TAMainText"/>
        <w:spacing w:after="240" w:line="240" w:lineRule="auto"/>
        <w:ind w:firstLine="0"/>
        <w:rPr>
          <w:rFonts w:ascii="Arial" w:hAnsi="Arial" w:cs="Arial"/>
          <w:b/>
          <w:bCs/>
          <w:szCs w:val="24"/>
          <w:lang w:bidi="en-US"/>
        </w:rPr>
      </w:pPr>
      <w:r w:rsidRPr="005E1FE9">
        <w:rPr>
          <w:rFonts w:ascii="Arial" w:hAnsi="Arial" w:cs="Arial"/>
          <w:b/>
          <w:bCs/>
          <w:szCs w:val="24"/>
          <w:lang w:bidi="en-US"/>
        </w:rPr>
        <w:t>Protein-Protein Interaction (PPI) Network</w:t>
      </w:r>
      <w:r w:rsidRPr="005E1FE9">
        <w:rPr>
          <w:rFonts w:ascii="Arial" w:hAnsi="Arial" w:cs="Arial"/>
          <w:szCs w:val="24"/>
          <w:lang w:bidi="en-US"/>
        </w:rPr>
        <w:t xml:space="preserve"> </w:t>
      </w:r>
      <w:r w:rsidRPr="005E1FE9">
        <w:rPr>
          <w:rFonts w:ascii="Arial" w:hAnsi="Arial" w:cs="Arial"/>
          <w:b/>
          <w:bCs/>
          <w:szCs w:val="24"/>
          <w:lang w:bidi="en-US"/>
        </w:rPr>
        <w:t>and</w:t>
      </w:r>
      <w:r w:rsidRPr="005E1FE9">
        <w:rPr>
          <w:rFonts w:ascii="Arial" w:hAnsi="Arial" w:cs="Arial"/>
          <w:szCs w:val="24"/>
          <w:lang w:bidi="en-US"/>
        </w:rPr>
        <w:t xml:space="preserve"> </w:t>
      </w:r>
      <w:r w:rsidRPr="005E1FE9">
        <w:rPr>
          <w:rFonts w:ascii="Arial" w:hAnsi="Arial" w:cs="Arial"/>
          <w:b/>
          <w:bCs/>
          <w:szCs w:val="24"/>
          <w:lang w:bidi="en-US"/>
        </w:rPr>
        <w:t>Tissue-Specific Expression Analysis</w:t>
      </w:r>
    </w:p>
    <w:p w14:paraId="0ECA461E" w14:textId="137DCD98" w:rsidR="00103532" w:rsidRPr="005E1FE9" w:rsidRDefault="00103532" w:rsidP="005E1FE9">
      <w:pPr>
        <w:jc w:val="both"/>
        <w:rPr>
          <w:rFonts w:ascii="Arial" w:hAnsi="Arial" w:cs="Arial"/>
          <w:noProof/>
          <w:sz w:val="24"/>
          <w:szCs w:val="24"/>
        </w:rPr>
      </w:pPr>
      <w:r w:rsidRPr="005E1FE9">
        <w:rPr>
          <w:rFonts w:ascii="Arial" w:hAnsi="Arial" w:cs="Arial"/>
          <w:noProof/>
          <w:sz w:val="24"/>
          <w:szCs w:val="24"/>
        </w:rPr>
        <w:t xml:space="preserve">To complement the description in the main Methods, additional details are provided here. Candidate biomarkers identified from differential expression analyses were mapped to their corresponding protein products </w:t>
      </w:r>
      <w:r w:rsidR="00ED3F0F">
        <w:rPr>
          <w:rFonts w:ascii="Arial" w:hAnsi="Arial" w:cs="Arial"/>
          <w:noProof/>
          <w:sz w:val="24"/>
          <w:szCs w:val="24"/>
        </w:rPr>
        <w:t>before</w:t>
      </w:r>
      <w:r w:rsidRPr="005E1FE9">
        <w:rPr>
          <w:rFonts w:ascii="Arial" w:hAnsi="Arial" w:cs="Arial"/>
          <w:noProof/>
          <w:sz w:val="24"/>
          <w:szCs w:val="24"/>
        </w:rPr>
        <w:t xml:space="preserve"> PPI construction. Functional enrichment performed with the StringApp</w:t>
      </w:r>
      <w:r w:rsidR="00153355" w:rsidRPr="00AD5E07">
        <w:rPr>
          <w:lang w:bidi="en-US"/>
        </w:rPr>
        <w:fldChar w:fldCharType="begin" w:fldLock="1"/>
      </w:r>
      <w:r w:rsidR="002B3159">
        <w:rPr>
          <w:lang w:bidi="en-US"/>
        </w:rPr>
        <w:instrText>ADDIN CSL_CITATION {"citationItems":[{"id":"ITEM-1","itemData":{"ISSN":"1362-4962","author":[{"dropping-particle":"","family":"Szklarczyk","given":"Damian","non-dropping-particle":"","parse-names":false,"suffix":""},{"dropping-particle":"","family":"Franceschini","given":"Andrea","non-dropping-particle":"","parse-names":false,"suffix":""},{"dropping-particle":"","family":"Wyder","given":"Stefan","non-dropping-particle":"","parse-names":false,"suffix":""},{"dropping-particle":"","family":"Forslund","given":"Kristoffer","non-dropping-particle":"","parse-names":false,"suffix":""},{"dropping-particle":"","family":"Heller","given":"Davide","non-dropping-particle":"","parse-names":false,"suffix":""},{"dropping-particle":"","family":"Huerta-Cepas","given":"Jaime","non-dropping-particle":"","parse-names":false,"suffix":""},{"dropping-particle":"","family":"Simonovic","given":"Milan","non-dropping-particle":"","parse-names":false,"suffix":""},{"dropping-particle":"","family":"Roth","given":"Alexander","non-dropping-particle":"","parse-names":false,"suffix":""},{"dropping-particle":"","family":"Santos","given":"Alberto","non-dropping-particle":"","parse-names":false,"suffix":""},{"dropping-particle":"","family":"Tsafou","given":"Kalliopi P","non-dropping-particle":"","parse-names":false,"suffix":""}],"container-title":"Nucleic acids research","id":"ITEM-1","issue":"D1","issued":{"date-parts":[["2015"]]},"page":"D447-D452","publisher":"Oxford University Press","title":"STRING v10: protein–protein interaction networks, integrated over the tree of life","type":"article-journal","volume":"43"},"uris":["http://www.mendeley.com/documents/?uuid=4a119fcf-b13d-4a25-901b-90d323ba2a22"]}],"mendeley":{"formattedCitation":"[13]","plainTextFormattedCitation":"[13]","previouslyFormattedCitation":"[13]"},"properties":{"noteIndex":0},"schema":"https://github.com/citation-style-language/schema/raw/master/csl-citation.json"}</w:instrText>
      </w:r>
      <w:r w:rsidR="00153355" w:rsidRPr="00AD5E07">
        <w:rPr>
          <w:lang w:bidi="en-US"/>
        </w:rPr>
        <w:fldChar w:fldCharType="separate"/>
      </w:r>
      <w:r w:rsidR="00153355" w:rsidRPr="00153355">
        <w:rPr>
          <w:noProof/>
          <w:lang w:bidi="en-US"/>
        </w:rPr>
        <w:t>[13]</w:t>
      </w:r>
      <w:r w:rsidR="00153355" w:rsidRPr="00AD5E07">
        <w:rPr>
          <w:lang w:bidi="en-US"/>
        </w:rPr>
        <w:fldChar w:fldCharType="end"/>
      </w:r>
      <w:r w:rsidRPr="005E1FE9">
        <w:rPr>
          <w:rFonts w:ascii="Arial" w:hAnsi="Arial" w:cs="Arial"/>
          <w:noProof/>
          <w:sz w:val="24"/>
          <w:szCs w:val="24"/>
        </w:rPr>
        <w:t xml:space="preserve"> plugin included Gene Ontology terms across Biological Process, Molecular Function, and Cellular Component categories, as well as co-expression data in addition to KEGG annotations.</w:t>
      </w:r>
    </w:p>
    <w:p w14:paraId="51AE83C3" w14:textId="1EEB6989" w:rsidR="00B132F3" w:rsidRPr="005E1FE9" w:rsidRDefault="00103532" w:rsidP="005E1FE9">
      <w:pPr>
        <w:jc w:val="both"/>
        <w:rPr>
          <w:rFonts w:ascii="Arial" w:hAnsi="Arial" w:cs="Arial"/>
          <w:noProof/>
          <w:sz w:val="24"/>
          <w:szCs w:val="24"/>
        </w:rPr>
      </w:pPr>
      <w:r w:rsidRPr="005E1FE9">
        <w:rPr>
          <w:rFonts w:ascii="Arial" w:hAnsi="Arial" w:cs="Arial"/>
          <w:noProof/>
          <w:sz w:val="24"/>
          <w:szCs w:val="24"/>
        </w:rPr>
        <w:t>Network visualization in Cytoscape</w:t>
      </w:r>
      <w:r w:rsidR="00153355" w:rsidRPr="00AD5E07">
        <w:rPr>
          <w:lang w:bidi="en-US"/>
        </w:rPr>
        <w:fldChar w:fldCharType="begin" w:fldLock="1"/>
      </w:r>
      <w:r w:rsidR="002B3159">
        <w:rPr>
          <w:lang w:bidi="en-US"/>
        </w:rPr>
        <w:instrText>ADDIN CSL_CITATION {"citationItems":[{"id":"ITEM-1","itemData":{"ISSN":"1088-9051","author":[{"dropping-particle":"","family":"Shannon","given":"Paul","non-dropping-particle":"","parse-names":false,"suffix":""},{"dropping-particle":"","family":"Markiel","given":"Andrew","non-dropping-particle":"","parse-names":false,"suffix":""},{"dropping-particle":"","family":"Ozier","given":"Owen","non-dropping-particle":"","parse-names":false,"suffix":""},{"dropping-particle":"","family":"Baliga","given":"Nitin S","non-dropping-particle":"","parse-names":false,"suffix":""},{"dropping-particle":"","family":"Wang","given":"Jonathan T","non-dropping-particle":"","parse-names":false,"suffix":""},{"dropping-particle":"","family":"Ramage","given":"Daniel","non-dropping-particle":"","parse-names":false,"suffix":""},{"dropping-particle":"","family":"Amin","given":"Nada","non-dropping-particle":"","parse-names":false,"suffix":""},{"dropping-particle":"","family":"Schwikowski","given":"Benno","non-dropping-particle":"","parse-names":false,"suffix":""},{"dropping-particle":"","family":"Ideker","given":"Trey","non-dropping-particle":"","parse-names":false,"suffix":""}],"container-title":"Genome research","id":"ITEM-1","issue":"11","issued":{"date-parts":[["2003"]]},"page":"2498-2504","publisher":"Cold Spring Harbor Lab","title":"Cytoscape: a software environment for integrated models of biomolecular interaction networks","type":"article-journal","volume":"13"},"uris":["http://www.mendeley.com/documents/?uuid=144e636b-f9a6-4dd5-be07-b716beb24caf"]}],"mendeley":{"formattedCitation":"[14]","plainTextFormattedCitation":"[14]","previouslyFormattedCitation":"[14]"},"properties":{"noteIndex":0},"schema":"https://github.com/citation-style-language/schema/raw/master/csl-citation.json"}</w:instrText>
      </w:r>
      <w:r w:rsidR="00153355" w:rsidRPr="00AD5E07">
        <w:rPr>
          <w:lang w:bidi="en-US"/>
        </w:rPr>
        <w:fldChar w:fldCharType="separate"/>
      </w:r>
      <w:r w:rsidR="00153355" w:rsidRPr="00153355">
        <w:rPr>
          <w:noProof/>
          <w:lang w:bidi="en-US"/>
        </w:rPr>
        <w:t>[14]</w:t>
      </w:r>
      <w:r w:rsidR="00153355" w:rsidRPr="00AD5E07">
        <w:rPr>
          <w:lang w:bidi="en-US"/>
        </w:rPr>
        <w:fldChar w:fldCharType="end"/>
      </w:r>
      <w:r w:rsidRPr="005E1FE9">
        <w:rPr>
          <w:rFonts w:ascii="Arial" w:hAnsi="Arial" w:cs="Arial"/>
          <w:noProof/>
          <w:sz w:val="24"/>
          <w:szCs w:val="24"/>
        </w:rPr>
        <w:t xml:space="preserve"> followed default parameters; however, node sizes and colors were manually adjusted to reflect MCC-derived centrality scores and biological relevance.</w:t>
      </w:r>
    </w:p>
    <w:p w14:paraId="24D6C625" w14:textId="77777777" w:rsidR="00103532" w:rsidRPr="005E1FE9" w:rsidRDefault="00103532" w:rsidP="005E1FE9">
      <w:pPr>
        <w:pStyle w:val="TAMainText"/>
        <w:spacing w:after="240" w:line="240" w:lineRule="auto"/>
        <w:ind w:firstLine="0"/>
        <w:rPr>
          <w:rFonts w:ascii="Arial" w:hAnsi="Arial" w:cs="Arial"/>
          <w:b/>
          <w:bCs/>
          <w:szCs w:val="24"/>
          <w:lang w:bidi="en-US"/>
        </w:rPr>
      </w:pPr>
      <w:r w:rsidRPr="005E1FE9">
        <w:rPr>
          <w:rFonts w:ascii="Arial" w:hAnsi="Arial" w:cs="Arial"/>
          <w:b/>
          <w:bCs/>
          <w:szCs w:val="24"/>
          <w:lang w:bidi="en-US"/>
        </w:rPr>
        <w:t xml:space="preserve">Structural Refinement of VCX2: Molecular Dynamics and Protein Preparation </w:t>
      </w:r>
    </w:p>
    <w:p w14:paraId="08341DAD" w14:textId="35421678" w:rsidR="00E4603B" w:rsidRPr="00E4603B" w:rsidRDefault="00E4603B" w:rsidP="00E4603B">
      <w:pPr>
        <w:pStyle w:val="TAMainText"/>
        <w:spacing w:after="240" w:line="240" w:lineRule="auto"/>
        <w:ind w:firstLine="0"/>
        <w:rPr>
          <w:rFonts w:ascii="Arial" w:hAnsi="Arial" w:cs="Arial"/>
          <w:szCs w:val="24"/>
          <w:lang w:bidi="en-US"/>
        </w:rPr>
      </w:pPr>
      <w:r w:rsidRPr="00E4603B">
        <w:rPr>
          <w:rFonts w:ascii="Arial" w:hAnsi="Arial" w:cs="Arial"/>
          <w:szCs w:val="24"/>
          <w:lang w:bidi="en-US"/>
        </w:rPr>
        <w:t xml:space="preserve">The amino acid sequence of VCX2 (UniProt ID: Q9H322) was retrieved in FASTA format from the UniProt database (accessed March 5, 2024). The initial three-dimensional model was obtained from the AlphaFold Protein Structure Database v4, which provides structural predictions of the human proteome using AlphaFold2. Since AlphaFold models often exhibit local conformational inaccuracies, particularly in loop regions and flexible termini, the structure was trimmed to remove unstructured N- and C-terminal tails </w:t>
      </w:r>
      <w:r w:rsidR="00ED3F0F">
        <w:rPr>
          <w:rFonts w:ascii="Arial" w:hAnsi="Arial" w:cs="Arial"/>
          <w:szCs w:val="24"/>
          <w:lang w:bidi="en-US"/>
        </w:rPr>
        <w:t>before</w:t>
      </w:r>
      <w:r w:rsidRPr="00E4603B">
        <w:rPr>
          <w:rFonts w:ascii="Arial" w:hAnsi="Arial" w:cs="Arial"/>
          <w:szCs w:val="24"/>
          <w:lang w:bidi="en-US"/>
        </w:rPr>
        <w:t xml:space="preserve"> refinement. Protonation states were assigned at pH 7.4 using PDB2PQR and </w:t>
      </w:r>
      <w:proofErr w:type="spellStart"/>
      <w:r w:rsidRPr="00E4603B">
        <w:rPr>
          <w:rFonts w:ascii="Arial" w:hAnsi="Arial" w:cs="Arial"/>
          <w:szCs w:val="24"/>
          <w:lang w:bidi="en-US"/>
        </w:rPr>
        <w:t>PropKa</w:t>
      </w:r>
      <w:proofErr w:type="spellEnd"/>
      <w:r w:rsidRPr="00E4603B">
        <w:rPr>
          <w:rFonts w:ascii="Arial" w:hAnsi="Arial" w:cs="Arial"/>
          <w:szCs w:val="24"/>
          <w:lang w:bidi="en-US"/>
        </w:rPr>
        <w:t>.</w:t>
      </w:r>
    </w:p>
    <w:p w14:paraId="428577B1" w14:textId="77777777" w:rsidR="00E4603B" w:rsidRPr="00E4603B" w:rsidRDefault="00E4603B" w:rsidP="00E4603B">
      <w:pPr>
        <w:pStyle w:val="TAMainText"/>
        <w:spacing w:after="240" w:line="240" w:lineRule="auto"/>
        <w:ind w:firstLine="0"/>
        <w:rPr>
          <w:rFonts w:ascii="Arial" w:hAnsi="Arial" w:cs="Arial"/>
          <w:szCs w:val="24"/>
          <w:lang w:bidi="en-US"/>
        </w:rPr>
      </w:pPr>
      <w:r w:rsidRPr="00E4603B">
        <w:rPr>
          <w:rFonts w:ascii="Arial" w:hAnsi="Arial" w:cs="Arial"/>
          <w:szCs w:val="24"/>
          <w:lang w:bidi="en-US"/>
        </w:rPr>
        <w:t>Molecular dynamics (MD) simulations were performed with GROMACS 2022.4 employing the CHARMM36m force field. The protein was solvated in a cubic TIP3P water box and neutralized with 0.15 M Na</w:t>
      </w:r>
      <w:r w:rsidRPr="00E4603B">
        <w:rPr>
          <w:rFonts w:ascii="Cambria Math" w:hAnsi="Cambria Math" w:cs="Cambria Math"/>
          <w:szCs w:val="24"/>
          <w:lang w:bidi="en-US"/>
        </w:rPr>
        <w:t>⁺</w:t>
      </w:r>
      <w:r w:rsidRPr="00E4603B">
        <w:rPr>
          <w:rFonts w:ascii="Arial" w:hAnsi="Arial" w:cs="Arial"/>
          <w:szCs w:val="24"/>
          <w:lang w:bidi="en-US"/>
        </w:rPr>
        <w:t>/Cl</w:t>
      </w:r>
      <w:r w:rsidRPr="00E4603B">
        <w:rPr>
          <w:rFonts w:ascii="Cambria Math" w:hAnsi="Cambria Math" w:cs="Cambria Math"/>
          <w:szCs w:val="24"/>
          <w:lang w:bidi="en-US"/>
        </w:rPr>
        <w:t>⁻</w:t>
      </w:r>
      <w:r w:rsidRPr="00E4603B">
        <w:rPr>
          <w:rFonts w:ascii="Arial" w:hAnsi="Arial" w:cs="Arial"/>
          <w:szCs w:val="24"/>
          <w:lang w:bidi="en-US"/>
        </w:rPr>
        <w:t xml:space="preserve"> ions. Refinement followed a four-stage protocol:</w:t>
      </w:r>
    </w:p>
    <w:p w14:paraId="5FAF89F1" w14:textId="77777777" w:rsidR="00E4603B" w:rsidRPr="00E4603B" w:rsidRDefault="00E4603B" w:rsidP="00E4603B">
      <w:pPr>
        <w:pStyle w:val="TAMainText"/>
        <w:numPr>
          <w:ilvl w:val="0"/>
          <w:numId w:val="1"/>
        </w:numPr>
        <w:spacing w:line="240" w:lineRule="auto"/>
        <w:rPr>
          <w:rFonts w:ascii="Arial" w:hAnsi="Arial" w:cs="Arial"/>
          <w:szCs w:val="24"/>
          <w:lang w:bidi="en-US"/>
        </w:rPr>
      </w:pPr>
      <w:r w:rsidRPr="00E4603B">
        <w:rPr>
          <w:rFonts w:ascii="Arial" w:hAnsi="Arial" w:cs="Arial"/>
          <w:szCs w:val="24"/>
          <w:lang w:bidi="en-US"/>
        </w:rPr>
        <w:t>Energy minimization: 5,000,000 steps of steepest descent minimization were performed to eliminate steric clashes.</w:t>
      </w:r>
    </w:p>
    <w:p w14:paraId="35A8BEE6" w14:textId="77777777" w:rsidR="00E4603B" w:rsidRPr="00E4603B" w:rsidRDefault="00E4603B" w:rsidP="00E4603B">
      <w:pPr>
        <w:pStyle w:val="TAMainText"/>
        <w:numPr>
          <w:ilvl w:val="0"/>
          <w:numId w:val="1"/>
        </w:numPr>
        <w:spacing w:line="240" w:lineRule="auto"/>
        <w:rPr>
          <w:rFonts w:ascii="Arial" w:hAnsi="Arial" w:cs="Arial"/>
          <w:szCs w:val="24"/>
          <w:lang w:bidi="en-US"/>
        </w:rPr>
      </w:pPr>
      <w:r w:rsidRPr="00E4603B">
        <w:rPr>
          <w:rFonts w:ascii="Arial" w:hAnsi="Arial" w:cs="Arial"/>
          <w:szCs w:val="24"/>
          <w:lang w:bidi="en-US"/>
        </w:rPr>
        <w:lastRenderedPageBreak/>
        <w:t xml:space="preserve">Simulated annealing: 12 cycles of 500 </w:t>
      </w:r>
      <w:proofErr w:type="spellStart"/>
      <w:r w:rsidRPr="00E4603B">
        <w:rPr>
          <w:rFonts w:ascii="Arial" w:hAnsi="Arial" w:cs="Arial"/>
          <w:szCs w:val="24"/>
          <w:lang w:bidi="en-US"/>
        </w:rPr>
        <w:t>ps</w:t>
      </w:r>
      <w:proofErr w:type="spellEnd"/>
      <w:r w:rsidRPr="00E4603B">
        <w:rPr>
          <w:rFonts w:ascii="Arial" w:hAnsi="Arial" w:cs="Arial"/>
          <w:szCs w:val="24"/>
          <w:lang w:bidi="en-US"/>
        </w:rPr>
        <w:t xml:space="preserve"> each were conducted, in which the system was incrementally heated to 500 K and cooled back to 300 K, yielding a total annealing time of 50 ns.</w:t>
      </w:r>
    </w:p>
    <w:p w14:paraId="78801616" w14:textId="77777777" w:rsidR="00E4603B" w:rsidRPr="00E4603B" w:rsidRDefault="00E4603B" w:rsidP="00E4603B">
      <w:pPr>
        <w:pStyle w:val="TAMainText"/>
        <w:numPr>
          <w:ilvl w:val="0"/>
          <w:numId w:val="1"/>
        </w:numPr>
        <w:spacing w:line="240" w:lineRule="auto"/>
        <w:rPr>
          <w:rFonts w:ascii="Arial" w:hAnsi="Arial" w:cs="Arial"/>
          <w:szCs w:val="24"/>
          <w:lang w:bidi="en-US"/>
        </w:rPr>
      </w:pPr>
      <w:r w:rsidRPr="00E4603B">
        <w:rPr>
          <w:rFonts w:ascii="Arial" w:hAnsi="Arial" w:cs="Arial"/>
          <w:szCs w:val="24"/>
          <w:lang w:bidi="en-US"/>
        </w:rPr>
        <w:t>Equilibration: Conducted under NVT conditions at 300 K for 5 ns with positional restraints on heavy atoms to allow solvent adaptation.</w:t>
      </w:r>
    </w:p>
    <w:p w14:paraId="421DF23A" w14:textId="241A47EC" w:rsidR="00E4603B" w:rsidRDefault="00E4603B" w:rsidP="00E4603B">
      <w:pPr>
        <w:pStyle w:val="TAMainText"/>
        <w:numPr>
          <w:ilvl w:val="0"/>
          <w:numId w:val="1"/>
        </w:numPr>
        <w:spacing w:line="240" w:lineRule="auto"/>
        <w:rPr>
          <w:rFonts w:ascii="Arial" w:hAnsi="Arial" w:cs="Arial"/>
          <w:szCs w:val="24"/>
          <w:lang w:bidi="en-US"/>
        </w:rPr>
      </w:pPr>
      <w:r w:rsidRPr="00E4603B">
        <w:rPr>
          <w:rFonts w:ascii="Arial" w:hAnsi="Arial" w:cs="Arial"/>
          <w:szCs w:val="24"/>
          <w:lang w:bidi="en-US"/>
        </w:rPr>
        <w:t xml:space="preserve">Production MD: A 1000-ns (1 </w:t>
      </w:r>
      <w:proofErr w:type="spellStart"/>
      <w:r w:rsidRPr="00E4603B">
        <w:rPr>
          <w:rFonts w:ascii="Arial" w:hAnsi="Arial" w:cs="Arial"/>
          <w:szCs w:val="24"/>
          <w:lang w:bidi="en-US"/>
        </w:rPr>
        <w:t>μs</w:t>
      </w:r>
      <w:proofErr w:type="spellEnd"/>
      <w:r w:rsidRPr="00E4603B">
        <w:rPr>
          <w:rFonts w:ascii="Arial" w:hAnsi="Arial" w:cs="Arial"/>
          <w:szCs w:val="24"/>
          <w:lang w:bidi="en-US"/>
        </w:rPr>
        <w:t xml:space="preserve">) unrestrained simulation was carried out under NPT conditions at 309 K (~36 °C) and 1 bar, using the V-rescale thermostat and Parrinello–Rahman </w:t>
      </w:r>
      <w:proofErr w:type="spellStart"/>
      <w:r w:rsidRPr="00E4603B">
        <w:rPr>
          <w:rFonts w:ascii="Arial" w:hAnsi="Arial" w:cs="Arial"/>
          <w:szCs w:val="24"/>
          <w:lang w:bidi="en-US"/>
        </w:rPr>
        <w:t>barostat</w:t>
      </w:r>
      <w:proofErr w:type="spellEnd"/>
      <w:r w:rsidRPr="00E4603B">
        <w:rPr>
          <w:rFonts w:ascii="Arial" w:hAnsi="Arial" w:cs="Arial"/>
          <w:szCs w:val="24"/>
          <w:lang w:bidi="en-US"/>
        </w:rPr>
        <w:t>. Three independent replicates were run with randomized initial velocities to ensure reproducibility.</w:t>
      </w:r>
    </w:p>
    <w:p w14:paraId="5A3FBCB3" w14:textId="77777777" w:rsidR="00E4603B" w:rsidRPr="00E4603B" w:rsidRDefault="00E4603B" w:rsidP="00E4603B">
      <w:pPr>
        <w:pStyle w:val="TAMainText"/>
        <w:spacing w:line="240" w:lineRule="auto"/>
        <w:ind w:left="922" w:firstLine="0"/>
        <w:rPr>
          <w:rFonts w:ascii="Arial" w:hAnsi="Arial" w:cs="Arial"/>
          <w:szCs w:val="24"/>
          <w:lang w:bidi="en-US"/>
        </w:rPr>
      </w:pPr>
    </w:p>
    <w:p w14:paraId="06F1DC45" w14:textId="77777777" w:rsidR="00E4603B" w:rsidRDefault="00E4603B" w:rsidP="00E4603B">
      <w:pPr>
        <w:pStyle w:val="TAMainText"/>
        <w:spacing w:after="240" w:line="240" w:lineRule="auto"/>
        <w:ind w:firstLine="0"/>
        <w:rPr>
          <w:rFonts w:ascii="Arial" w:hAnsi="Arial" w:cs="Arial"/>
          <w:szCs w:val="24"/>
          <w:lang w:bidi="en-US"/>
        </w:rPr>
      </w:pPr>
      <w:r w:rsidRPr="00E4603B">
        <w:rPr>
          <w:rFonts w:ascii="Arial" w:hAnsi="Arial" w:cs="Arial"/>
          <w:szCs w:val="24"/>
          <w:lang w:bidi="en-US"/>
        </w:rPr>
        <w:t>Structural stability was assessed via RMSD, RMSF, and total energy profiles. Principal component analysis (PCA) was performed on all replicates, with eigenvalue decay plots (Supplementary Fig. S4A) showing consistent variance distribution. The full trajectory PCA (Supplementary Fig. S4B) confirmed the emergence of stable metastable states with smooth transitions, supporting dynamic convergence.</w:t>
      </w:r>
    </w:p>
    <w:p w14:paraId="0194948D" w14:textId="299F0CFE" w:rsidR="00A749AD" w:rsidRPr="00A749AD" w:rsidRDefault="00A749AD" w:rsidP="00A749AD">
      <w:pPr>
        <w:pStyle w:val="TAMainText"/>
        <w:spacing w:after="240" w:line="240" w:lineRule="auto"/>
        <w:rPr>
          <w:rFonts w:ascii="Arial" w:hAnsi="Arial" w:cs="Arial"/>
          <w:szCs w:val="24"/>
          <w:lang w:bidi="en-US"/>
        </w:rPr>
      </w:pPr>
      <w:r w:rsidRPr="00A749AD">
        <w:rPr>
          <w:rFonts w:ascii="Arial" w:hAnsi="Arial" w:cs="Arial"/>
          <w:szCs w:val="24"/>
          <w:lang w:bidi="en-US"/>
        </w:rPr>
        <w:t xml:space="preserve">The refined models were validated using </w:t>
      </w:r>
      <w:proofErr w:type="spellStart"/>
      <w:r w:rsidRPr="00A749AD">
        <w:rPr>
          <w:rFonts w:ascii="Arial" w:hAnsi="Arial" w:cs="Arial"/>
          <w:szCs w:val="24"/>
          <w:lang w:bidi="en-US"/>
        </w:rPr>
        <w:t>ProSa</w:t>
      </w:r>
      <w:proofErr w:type="spellEnd"/>
      <w:r w:rsidRPr="00A749AD">
        <w:rPr>
          <w:rFonts w:ascii="Arial" w:hAnsi="Arial" w:cs="Arial"/>
          <w:szCs w:val="24"/>
          <w:lang w:bidi="en-US"/>
        </w:rPr>
        <w:t xml:space="preserve">-web (https://prosa.services.came.sbg.ac.at/prosa.php) and </w:t>
      </w:r>
      <w:proofErr w:type="spellStart"/>
      <w:r w:rsidRPr="00A749AD">
        <w:rPr>
          <w:rFonts w:ascii="Arial" w:hAnsi="Arial" w:cs="Arial"/>
          <w:szCs w:val="24"/>
          <w:lang w:bidi="en-US"/>
        </w:rPr>
        <w:t>PDBsum</w:t>
      </w:r>
      <w:proofErr w:type="spellEnd"/>
      <w:r w:rsidRPr="00A749AD">
        <w:rPr>
          <w:rFonts w:ascii="Arial" w:hAnsi="Arial" w:cs="Arial"/>
          <w:szCs w:val="24"/>
          <w:lang w:bidi="en-US"/>
        </w:rPr>
        <w:t xml:space="preserve"> (https://www.ebi.ac.uk/thornton-srv/databases/pdbsum/), accessed March 8, 2025. </w:t>
      </w:r>
      <w:proofErr w:type="spellStart"/>
      <w:r w:rsidRPr="00A749AD">
        <w:rPr>
          <w:rFonts w:ascii="Arial" w:hAnsi="Arial" w:cs="Arial"/>
          <w:szCs w:val="24"/>
          <w:lang w:bidi="en-US"/>
        </w:rPr>
        <w:t>ProSa</w:t>
      </w:r>
      <w:proofErr w:type="spellEnd"/>
      <w:r w:rsidRPr="00A749AD">
        <w:rPr>
          <w:rFonts w:ascii="Arial" w:hAnsi="Arial" w:cs="Arial"/>
          <w:szCs w:val="24"/>
          <w:lang w:bidi="en-US"/>
        </w:rPr>
        <w:t xml:space="preserve"> provided a global Z-score within the range of experimentally determined structures of similar </w:t>
      </w:r>
      <w:r w:rsidR="00D8232B" w:rsidRPr="00A749AD">
        <w:rPr>
          <w:rFonts w:ascii="Arial" w:hAnsi="Arial" w:cs="Arial"/>
          <w:szCs w:val="24"/>
          <w:lang w:bidi="en-US"/>
        </w:rPr>
        <w:t>sizes</w:t>
      </w:r>
      <w:r w:rsidRPr="00A749AD">
        <w:rPr>
          <w:rFonts w:ascii="Arial" w:hAnsi="Arial" w:cs="Arial"/>
          <w:szCs w:val="24"/>
          <w:lang w:bidi="en-US"/>
        </w:rPr>
        <w:t xml:space="preserve">. Ramachandran plot analysis from </w:t>
      </w:r>
      <w:proofErr w:type="spellStart"/>
      <w:r w:rsidRPr="00A749AD">
        <w:rPr>
          <w:rFonts w:ascii="Arial" w:hAnsi="Arial" w:cs="Arial"/>
          <w:szCs w:val="24"/>
          <w:lang w:bidi="en-US"/>
        </w:rPr>
        <w:t>PDBsum</w:t>
      </w:r>
      <w:proofErr w:type="spellEnd"/>
      <w:r w:rsidRPr="00A749AD">
        <w:rPr>
          <w:rFonts w:ascii="Arial" w:hAnsi="Arial" w:cs="Arial"/>
          <w:szCs w:val="24"/>
          <w:lang w:bidi="en-US"/>
        </w:rPr>
        <w:t xml:space="preserve"> revealed that &gt;95% of residues were in favored regions, 4.8% in additionally allowed regions, and 0% in disallowed regions, compared to 2.8% in the original AlphaFold prediction. Residue geometry, knowledge-based energy plots, and per-residue energy profiles further </w:t>
      </w:r>
      <w:r w:rsidR="00D8232B" w:rsidRPr="00A749AD">
        <w:rPr>
          <w:rFonts w:ascii="Arial" w:hAnsi="Arial" w:cs="Arial"/>
          <w:szCs w:val="24"/>
          <w:lang w:bidi="en-US"/>
        </w:rPr>
        <w:t>confirm</w:t>
      </w:r>
      <w:r w:rsidRPr="00A749AD">
        <w:rPr>
          <w:rFonts w:ascii="Arial" w:hAnsi="Arial" w:cs="Arial"/>
          <w:szCs w:val="24"/>
          <w:lang w:bidi="en-US"/>
        </w:rPr>
        <w:t xml:space="preserve"> stereochemical integrity.</w:t>
      </w:r>
    </w:p>
    <w:p w14:paraId="075087BB" w14:textId="169BB425" w:rsidR="00A749AD" w:rsidRDefault="00A749AD" w:rsidP="00A749AD">
      <w:pPr>
        <w:pStyle w:val="TAMainText"/>
        <w:spacing w:after="240" w:line="240" w:lineRule="auto"/>
        <w:ind w:firstLine="0"/>
        <w:rPr>
          <w:rFonts w:ascii="Arial" w:hAnsi="Arial" w:cs="Arial"/>
          <w:szCs w:val="24"/>
          <w:lang w:bidi="en-US"/>
        </w:rPr>
      </w:pPr>
      <w:r w:rsidRPr="00A749AD">
        <w:rPr>
          <w:rFonts w:ascii="Arial" w:hAnsi="Arial" w:cs="Arial"/>
          <w:szCs w:val="24"/>
          <w:lang w:bidi="en-US"/>
        </w:rPr>
        <w:t xml:space="preserve">Finally, the MD-refined structure was processed in Schrödinger Maestro v12.8.117 using the Protein Preparation Wizard. Bond orders were corrected based on CCD data; hydrogen atoms were added; side chains and loop regions were rebuilt with Prime; and protonation states were predicted at physiological pH (7.0 ± 0.2) using Epik. All solvent molecules and </w:t>
      </w:r>
      <w:r w:rsidR="00D8232B" w:rsidRPr="00A749AD">
        <w:rPr>
          <w:rFonts w:ascii="Arial" w:hAnsi="Arial" w:cs="Arial"/>
          <w:szCs w:val="24"/>
          <w:lang w:bidi="en-US"/>
        </w:rPr>
        <w:t>hetero ligands</w:t>
      </w:r>
      <w:r w:rsidRPr="00A749AD">
        <w:rPr>
          <w:rFonts w:ascii="Arial" w:hAnsi="Arial" w:cs="Arial"/>
          <w:szCs w:val="24"/>
          <w:lang w:bidi="en-US"/>
        </w:rPr>
        <w:t xml:space="preserve"> &gt;3.0 Å from heteroatoms were removed. Hydrogen bonding networks were optimized, followed by energy minimization with the OPLS4 force field, generating the final receptor model. This structure was then used for binding site prediction (</w:t>
      </w:r>
      <w:proofErr w:type="spellStart"/>
      <w:r w:rsidRPr="00A749AD">
        <w:rPr>
          <w:rFonts w:ascii="Arial" w:hAnsi="Arial" w:cs="Arial"/>
          <w:szCs w:val="24"/>
          <w:lang w:bidi="en-US"/>
        </w:rPr>
        <w:t>SiteMap</w:t>
      </w:r>
      <w:proofErr w:type="spellEnd"/>
      <w:r w:rsidRPr="00A749AD">
        <w:rPr>
          <w:rFonts w:ascii="Arial" w:hAnsi="Arial" w:cs="Arial"/>
          <w:szCs w:val="24"/>
          <w:lang w:bidi="en-US"/>
        </w:rPr>
        <w:t>) and subsequent docking studies.</w:t>
      </w:r>
    </w:p>
    <w:p w14:paraId="1CF9E47C" w14:textId="5A77AAB5" w:rsidR="004938C7" w:rsidRPr="005E1FE9" w:rsidRDefault="004938C7" w:rsidP="00E4603B">
      <w:pPr>
        <w:pStyle w:val="TAMainText"/>
        <w:spacing w:after="240" w:line="240" w:lineRule="auto"/>
        <w:ind w:firstLine="0"/>
        <w:rPr>
          <w:rFonts w:ascii="Arial" w:hAnsi="Arial" w:cs="Arial"/>
          <w:szCs w:val="24"/>
          <w:lang w:bidi="en-US"/>
        </w:rPr>
      </w:pPr>
      <w:r w:rsidRPr="005E1FE9">
        <w:rPr>
          <w:rFonts w:ascii="Arial" w:hAnsi="Arial" w:cs="Arial"/>
          <w:b/>
          <w:bCs/>
          <w:szCs w:val="24"/>
          <w:lang w:bidi="en-US"/>
        </w:rPr>
        <w:t>Virtual screening with the Peruvian Natural Products Database (PeruNPDB)</w:t>
      </w:r>
    </w:p>
    <w:p w14:paraId="7E3C31D9" w14:textId="24FA0573" w:rsidR="004938C7" w:rsidRPr="005E1FE9" w:rsidRDefault="004938C7" w:rsidP="005E1FE9">
      <w:pPr>
        <w:pStyle w:val="TAMainText"/>
        <w:spacing w:after="240" w:line="240" w:lineRule="auto"/>
        <w:ind w:firstLine="0"/>
        <w:rPr>
          <w:rFonts w:ascii="Arial" w:hAnsi="Arial" w:cs="Arial"/>
          <w:szCs w:val="24"/>
          <w:lang w:bidi="en-US"/>
        </w:rPr>
      </w:pPr>
      <w:r w:rsidRPr="005E1FE9">
        <w:rPr>
          <w:rFonts w:ascii="Arial" w:hAnsi="Arial" w:cs="Arial"/>
          <w:szCs w:val="24"/>
          <w:lang w:bidi="en-US"/>
        </w:rPr>
        <w:t>The PeruNPDB virtual screening protocol is described here in greater detail to complement the main text. The PeruNPDB consists of a curated collection of small molecules derived from native Peruvian biodiversity, supplied in SMILES format</w:t>
      </w:r>
      <w:r w:rsidR="00153355" w:rsidRPr="00AD5E07">
        <w:rPr>
          <w:lang w:bidi="en-US"/>
        </w:rPr>
        <w:fldChar w:fldCharType="begin" w:fldLock="1"/>
      </w:r>
      <w:r w:rsidR="002B3159">
        <w:rPr>
          <w:lang w:bidi="en-US"/>
        </w:rPr>
        <w:instrText>ADDIN CSL_CITATION {"citationItems":[{"id":"ITEM-1","itemData":{"ISSN":"0095-2338","author":[{"dropping-particle":"","family":"Weininger","given":"David","non-dropping-particle":"","parse-names":false,"suffix":""}],"container-title":"Journal of chemical information and computer sciences","id":"ITEM-1","issue":"1","issued":{"date-parts":[["1988"]]},"page":"31-36","publisher":"ACS Publications","title":"SMILES, a chemical language and information system. 1. Introduction to methodology and encoding rules","type":"article-journal","volume":"28"},"uris":["http://www.mendeley.com/documents/?uuid=0d4008d3-d287-40ba-9a8d-80d2a3ffaabd"]}],"mendeley":{"formattedCitation":"[15]","plainTextFormattedCitation":"[15]","previouslyFormattedCitation":"[15]"},"properties":{"noteIndex":0},"schema":"https://github.com/citation-style-language/schema/raw/master/csl-citation.json"}</w:instrText>
      </w:r>
      <w:r w:rsidR="00153355" w:rsidRPr="00AD5E07">
        <w:rPr>
          <w:lang w:bidi="en-US"/>
        </w:rPr>
        <w:fldChar w:fldCharType="separate"/>
      </w:r>
      <w:r w:rsidR="00153355" w:rsidRPr="00153355">
        <w:rPr>
          <w:noProof/>
          <w:lang w:bidi="en-US"/>
        </w:rPr>
        <w:t>[15]</w:t>
      </w:r>
      <w:r w:rsidR="00153355" w:rsidRPr="00AD5E07">
        <w:rPr>
          <w:lang w:bidi="en-US"/>
        </w:rPr>
        <w:fldChar w:fldCharType="end"/>
      </w:r>
      <w:r w:rsidRPr="005E1FE9">
        <w:rPr>
          <w:rFonts w:ascii="Arial" w:hAnsi="Arial" w:cs="Arial"/>
          <w:szCs w:val="24"/>
          <w:lang w:bidi="en-US"/>
        </w:rPr>
        <w:t xml:space="preserve"> to encode connectivity and stereochemistry. A total of 280 SMILES-encoded compounds were retrieved from the official PeruNPDB web server (https://perunpdb.com.pe, accessed on April 15, 2024)</w:t>
      </w:r>
      <w:r w:rsidR="00153355" w:rsidRPr="00AD5E07">
        <w:rPr>
          <w:lang w:bidi="en-US"/>
        </w:rPr>
        <w:fldChar w:fldCharType="begin" w:fldLock="1"/>
      </w:r>
      <w:r w:rsidR="002B3159">
        <w:rPr>
          <w:lang w:bidi="en-US"/>
        </w:rPr>
        <w:instrText>ADDIN CSL_CITATION {"citationItems":[{"id":"ITEM-1","itemData":{"ISSN":"2045-2322","author":[{"dropping-particle":"","family":"Barazorda-Ccahuana","given":"Haruna L","non-dropping-particle":"","parse-names":false,"suffix":""},{"dropping-particle":"","family":"Ranilla","given":"Lena Gálvez","non-dropping-particle":"","parse-names":false,"suffix":""},{"dropping-particle":"","family":"Candia-Puma","given":"Mayron Antonio","non-dropping-particle":"","parse-names":false,"suffix":""},{"dropping-particle":"","family":"Cárcamo-Rodriguez","given":"Eymi Gladys","non-dropping-particle":"","parse-names":false,"suffix":""},{"dropping-particle":"","family":"Centeno-Lopez","given":"Angela Emperatriz","non-dropping-particle":"","parse-names":false,"suffix":""},{"dropping-particle":"","family":"Davila-Del-Carpio","given":"Gonzalo","non-dropping-particle":"","parse-names":false,"suffix":""},{"dropping-particle":"","family":"Medina-Franco","given":"José L","non-dropping-particle":"","parse-names":false,"suffix":""},{"dropping-particle":"","family":"Chávez-Fumagalli","given":"Miguel Angel","non-dropping-particle":"","parse-names":false,"suffix":""}],"container-title":"Scientific Reports","id":"ITEM-1","issue":"1","issued":{"date-parts":[["2023"]]},"page":"7577","publisher":"Nature Publishing Group UK London","title":"PeruNPDB: the Peruvian Natural Products Database for in silico drug screening","type":"article-journal","volume":"13"},"uris":["http://www.mendeley.com/documents/?uuid=f60f85c4-cd48-4376-9747-9d7ccb55f379"]}],"mendeley":{"formattedCitation":"[16]","plainTextFormattedCitation":"[16]","previouslyFormattedCitation":"[16]"},"properties":{"noteIndex":0},"schema":"https://github.com/citation-style-language/schema/raw/master/csl-citation.json"}</w:instrText>
      </w:r>
      <w:r w:rsidR="00153355" w:rsidRPr="00AD5E07">
        <w:rPr>
          <w:lang w:bidi="en-US"/>
        </w:rPr>
        <w:fldChar w:fldCharType="separate"/>
      </w:r>
      <w:r w:rsidR="00153355" w:rsidRPr="00153355">
        <w:rPr>
          <w:noProof/>
          <w:lang w:bidi="en-US"/>
        </w:rPr>
        <w:t>[16]</w:t>
      </w:r>
      <w:r w:rsidR="00153355" w:rsidRPr="00AD5E07">
        <w:rPr>
          <w:lang w:bidi="en-US"/>
        </w:rPr>
        <w:fldChar w:fldCharType="end"/>
      </w:r>
      <w:r w:rsidRPr="005E1FE9">
        <w:rPr>
          <w:rFonts w:ascii="Arial" w:hAnsi="Arial" w:cs="Arial"/>
          <w:szCs w:val="24"/>
          <w:lang w:bidi="en-US"/>
        </w:rPr>
        <w:t>.</w:t>
      </w:r>
    </w:p>
    <w:p w14:paraId="578BA330" w14:textId="2742965F" w:rsidR="004938C7" w:rsidRPr="005E1FE9" w:rsidRDefault="004938C7" w:rsidP="005E1FE9">
      <w:pPr>
        <w:pStyle w:val="TAMainText"/>
        <w:spacing w:after="240" w:line="240" w:lineRule="auto"/>
        <w:ind w:firstLine="0"/>
        <w:rPr>
          <w:rFonts w:ascii="Arial" w:hAnsi="Arial" w:cs="Arial"/>
          <w:szCs w:val="24"/>
          <w:lang w:bidi="en-US"/>
        </w:rPr>
      </w:pPr>
      <w:r w:rsidRPr="005E1FE9">
        <w:rPr>
          <w:rFonts w:ascii="Arial" w:hAnsi="Arial" w:cs="Arial"/>
          <w:szCs w:val="24"/>
          <w:lang w:bidi="en-US"/>
        </w:rPr>
        <w:t>Ligand preprocessing was carried out with OpenBabel (v3.1.1) integrated within the Python Prescription Virtual Screening Tool</w:t>
      </w:r>
      <w:r w:rsidR="00153355" w:rsidRPr="00AD5E07">
        <w:rPr>
          <w:lang w:bidi="en-US"/>
        </w:rPr>
        <w:fldChar w:fldCharType="begin" w:fldLock="1"/>
      </w:r>
      <w:r w:rsidR="002B3159">
        <w:rPr>
          <w:lang w:bidi="en-US"/>
        </w:rPr>
        <w:instrText>ADDIN CSL_CITATION {"citationItems":[{"id":"ITEM-1","itemData":{"DOI":"10.1007/978-1-4939-2269-7_19","ISSN":"1940-6029 (Electronic)","PMID":"25618350","abstract":"Virtual molecular screening is used to dock small-molecule libraries to a  macromolecule in order to find lead compounds with desired biological function. This in silico method is well known for its application in computer-aided drug design. This chapter describes how to perform small-molecule virtual screening by docking with PyRx, which is open-source software with an intuitive user interface that runs on all major operating systems (Linux, Windows, and Mac OS). Specific steps for using PyRx, as well as considerations for data preparation, docking, and data analysis, are also described.","author":[{"dropping-particle":"","family":"Dallakyan","given":"Sargis","non-dropping-particle":"","parse-names":false,"suffix":""},{"dropping-particle":"","family":"Olson","given":"Arthur J","non-dropping-particle":"","parse-names":false,"suffix":""}],"container-title":"Methods in molecular biology (Clifton, N.J.)","id":"ITEM-1","issued":{"date-parts":[["2015"]]},"language":"eng","page":"243-250","publisher-place":"United States","title":"Small-molecule library screening by docking with PyRx.","type":"article-journal","volume":"1263"},"uris":["http://www.mendeley.com/documents/?uuid=20530ea2-5a48-4f0f-bbe9-d08d2541d37a"]}],"mendeley":{"formattedCitation":"[17]","plainTextFormattedCitation":"[17]","previouslyFormattedCitation":"[17]"},"properties":{"noteIndex":0},"schema":"https://github.com/citation-style-language/schema/raw/master/csl-citation.json"}</w:instrText>
      </w:r>
      <w:r w:rsidR="00153355" w:rsidRPr="00AD5E07">
        <w:rPr>
          <w:lang w:bidi="en-US"/>
        </w:rPr>
        <w:fldChar w:fldCharType="separate"/>
      </w:r>
      <w:r w:rsidR="00153355" w:rsidRPr="00153355">
        <w:rPr>
          <w:noProof/>
          <w:lang w:bidi="en-US"/>
        </w:rPr>
        <w:t>[17]</w:t>
      </w:r>
      <w:r w:rsidR="00153355" w:rsidRPr="00AD5E07">
        <w:rPr>
          <w:lang w:bidi="en-US"/>
        </w:rPr>
        <w:fldChar w:fldCharType="end"/>
      </w:r>
      <w:r w:rsidRPr="005E1FE9">
        <w:rPr>
          <w:rFonts w:ascii="Arial" w:hAnsi="Arial" w:cs="Arial"/>
          <w:szCs w:val="24"/>
          <w:lang w:bidi="en-US"/>
        </w:rPr>
        <w:t xml:space="preserve">, converting SMILES into three-dimensional conformations followed by energy minimization. The refined VCX2 receptor, </w:t>
      </w:r>
      <w:r w:rsidRPr="005E1FE9">
        <w:rPr>
          <w:rFonts w:ascii="Arial" w:hAnsi="Arial" w:cs="Arial"/>
          <w:szCs w:val="24"/>
          <w:lang w:bidi="en-US"/>
        </w:rPr>
        <w:lastRenderedPageBreak/>
        <w:t>previously subjected to molecular dynamics, was used for docking simulations in PyRx (v0.9.8) employing AutoDock Vina (v1.2.5)</w:t>
      </w:r>
      <w:r w:rsidR="00153355" w:rsidRPr="00AD5E07">
        <w:rPr>
          <w:lang w:bidi="en-US"/>
        </w:rPr>
        <w:fldChar w:fldCharType="begin" w:fldLock="1"/>
      </w:r>
      <w:r w:rsidR="002B3159">
        <w:rPr>
          <w:lang w:bidi="en-US"/>
        </w:rPr>
        <w:instrText>ADDIN CSL_CITATION {"citationItems":[{"id":"ITEM-1","itemData":{"DOI":"10.1002/jcc.21334","ISSN":"1096-987X (Electronic)","PMID":"19499576","abstract":"AutoDock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user.","author":[{"dropping-particle":"","family":"Trott","given":"Oleg","non-dropping-particle":"","parse-names":false,"suffix":""},{"dropping-particle":"","family":"Olson","given":"Arthur J","non-dropping-particle":"","parse-names":false,"suffix":""}],"container-title":"Journal of computational chemistry","id":"ITEM-1","issue":"2","issued":{"date-parts":[["2010","1"]]},"language":"eng","page":"455-461","title":"AutoDock Vina: improving the speed and accuracy of docking with a new scoring  function, efficient optimization, and multithreading.","type":"article-journal","volume":"31"},"uris":["http://www.mendeley.com/documents/?uuid=9becaf7b-9e2a-459c-902f-a8ea93126826"]}],"mendeley":{"formattedCitation":"[18]","plainTextFormattedCitation":"[18]","previouslyFormattedCitation":"[18]"},"properties":{"noteIndex":0},"schema":"https://github.com/citation-style-language/schema/raw/master/csl-citation.json"}</w:instrText>
      </w:r>
      <w:r w:rsidR="00153355" w:rsidRPr="00AD5E07">
        <w:rPr>
          <w:lang w:bidi="en-US"/>
        </w:rPr>
        <w:fldChar w:fldCharType="separate"/>
      </w:r>
      <w:r w:rsidR="00153355" w:rsidRPr="00153355">
        <w:rPr>
          <w:noProof/>
          <w:lang w:bidi="en-US"/>
        </w:rPr>
        <w:t>[18]</w:t>
      </w:r>
      <w:r w:rsidR="00153355" w:rsidRPr="00AD5E07">
        <w:rPr>
          <w:lang w:bidi="en-US"/>
        </w:rPr>
        <w:fldChar w:fldCharType="end"/>
      </w:r>
      <w:r w:rsidRPr="005E1FE9">
        <w:rPr>
          <w:rFonts w:ascii="Arial" w:hAnsi="Arial" w:cs="Arial"/>
          <w:szCs w:val="24"/>
          <w:lang w:bidi="en-US"/>
        </w:rPr>
        <w:t xml:space="preserve">. Docking parameters were defined with the “Run </w:t>
      </w:r>
      <w:proofErr w:type="spellStart"/>
      <w:r w:rsidRPr="005E1FE9">
        <w:rPr>
          <w:rFonts w:ascii="Arial" w:hAnsi="Arial" w:cs="Arial"/>
          <w:szCs w:val="24"/>
          <w:lang w:bidi="en-US"/>
        </w:rPr>
        <w:t>AutoGrid</w:t>
      </w:r>
      <w:proofErr w:type="spellEnd"/>
      <w:r w:rsidRPr="005E1FE9">
        <w:rPr>
          <w:rFonts w:ascii="Arial" w:hAnsi="Arial" w:cs="Arial"/>
          <w:szCs w:val="24"/>
          <w:lang w:bidi="en-US"/>
        </w:rPr>
        <w:t xml:space="preserve">” option, and calculations were executed with the Lamarckian Genetic Algorithm under the Run AutoDock module, using an exhaustiveness level of 20. For reproducibility, only the </w:t>
      </w:r>
      <w:r w:rsidR="00D8232B" w:rsidRPr="005E1FE9">
        <w:rPr>
          <w:rFonts w:ascii="Arial" w:hAnsi="Arial" w:cs="Arial"/>
          <w:szCs w:val="24"/>
          <w:lang w:bidi="en-US"/>
        </w:rPr>
        <w:t>lowest energy</w:t>
      </w:r>
      <w:r w:rsidRPr="005E1FE9">
        <w:rPr>
          <w:rFonts w:ascii="Arial" w:hAnsi="Arial" w:cs="Arial"/>
          <w:szCs w:val="24"/>
          <w:lang w:bidi="en-US"/>
        </w:rPr>
        <w:t xml:space="preserve"> pose for each ligand was retained.</w:t>
      </w:r>
    </w:p>
    <w:p w14:paraId="5AF6DE09" w14:textId="3D8D68EF" w:rsidR="004938C7" w:rsidRPr="005E1FE9" w:rsidRDefault="004938C7" w:rsidP="005E1FE9">
      <w:pPr>
        <w:pStyle w:val="TAMainText"/>
        <w:spacing w:after="240" w:line="240" w:lineRule="auto"/>
        <w:ind w:firstLine="0"/>
        <w:rPr>
          <w:rFonts w:ascii="Arial" w:hAnsi="Arial" w:cs="Arial"/>
          <w:szCs w:val="24"/>
          <w:lang w:bidi="en-US"/>
        </w:rPr>
      </w:pPr>
      <w:r w:rsidRPr="005E1FE9">
        <w:rPr>
          <w:rFonts w:ascii="Arial" w:hAnsi="Arial" w:cs="Arial"/>
          <w:szCs w:val="24"/>
          <w:lang w:bidi="en-US"/>
        </w:rPr>
        <w:t xml:space="preserve">To standardize results across the compound set, docking affinities were </w:t>
      </w:r>
      <w:proofErr w:type="spellStart"/>
      <w:r w:rsidRPr="005E1FE9">
        <w:rPr>
          <w:rFonts w:ascii="Arial" w:hAnsi="Arial" w:cs="Arial"/>
          <w:szCs w:val="24"/>
          <w:lang w:bidi="en-US"/>
        </w:rPr>
        <w:t>normalised</w:t>
      </w:r>
      <w:proofErr w:type="spellEnd"/>
      <w:r w:rsidRPr="005E1FE9">
        <w:rPr>
          <w:rFonts w:ascii="Arial" w:hAnsi="Arial" w:cs="Arial"/>
          <w:szCs w:val="24"/>
          <w:lang w:bidi="en-US"/>
        </w:rPr>
        <w:t xml:space="preserve"> using Z-scores. A statistical threshold of ±1.645 (corresponding to p &lt; 0.05) was applied to define favorable interactions. Binding energy distributions were visualized using violin plots generated in GraphPad Prism (v10.0.2; GraphPad Software, San Diego, CA, USA).</w:t>
      </w:r>
    </w:p>
    <w:p w14:paraId="5EE442A4" w14:textId="77777777" w:rsidR="005E1FE9" w:rsidRPr="005E1FE9" w:rsidRDefault="005E1FE9" w:rsidP="005E1FE9">
      <w:pPr>
        <w:jc w:val="both"/>
        <w:rPr>
          <w:rFonts w:ascii="Arial" w:hAnsi="Arial" w:cs="Arial"/>
          <w:b/>
          <w:bCs/>
          <w:noProof/>
          <w:sz w:val="24"/>
          <w:szCs w:val="24"/>
        </w:rPr>
      </w:pPr>
      <w:r w:rsidRPr="005E1FE9">
        <w:rPr>
          <w:rFonts w:ascii="Arial" w:hAnsi="Arial" w:cs="Arial"/>
          <w:b/>
          <w:bCs/>
          <w:noProof/>
          <w:sz w:val="24"/>
          <w:szCs w:val="24"/>
        </w:rPr>
        <w:t>Ligand Preparation, Active Site Calculation, and Glide Grid Generation</w:t>
      </w:r>
    </w:p>
    <w:p w14:paraId="4CA6C515" w14:textId="77777777" w:rsidR="005E1FE9" w:rsidRPr="005E1FE9" w:rsidRDefault="005E1FE9" w:rsidP="005E1FE9">
      <w:pPr>
        <w:jc w:val="both"/>
        <w:rPr>
          <w:rFonts w:ascii="Arial" w:hAnsi="Arial" w:cs="Arial"/>
          <w:noProof/>
          <w:sz w:val="24"/>
          <w:szCs w:val="24"/>
        </w:rPr>
      </w:pPr>
      <w:r w:rsidRPr="005E1FE9">
        <w:rPr>
          <w:rFonts w:ascii="Arial" w:hAnsi="Arial" w:cs="Arial"/>
          <w:noProof/>
          <w:sz w:val="24"/>
          <w:szCs w:val="24"/>
        </w:rPr>
        <w:t>For reproducibility, additional methodological details are provided here. The top-ranked ligands from virtual screening were prepared with Schrödinger Maestro (v12.8.117) using the LigPrep wizard. Protonation states and tautomers were generated with Epik at pH 7.0 ± 2.0, with stereoisomer enumeration capped at 32 per compound. This ensured broad conformational coverage and accurate representation of ligand flexibility under physiological conditions.</w:t>
      </w:r>
    </w:p>
    <w:p w14:paraId="19525B75" w14:textId="77777777" w:rsidR="005E1FE9" w:rsidRPr="005E1FE9" w:rsidRDefault="005E1FE9" w:rsidP="005E1FE9">
      <w:pPr>
        <w:jc w:val="both"/>
        <w:rPr>
          <w:rFonts w:ascii="Arial" w:hAnsi="Arial" w:cs="Arial"/>
          <w:noProof/>
          <w:sz w:val="24"/>
          <w:szCs w:val="24"/>
        </w:rPr>
      </w:pPr>
      <w:r w:rsidRPr="005E1FE9">
        <w:rPr>
          <w:rFonts w:ascii="Arial" w:hAnsi="Arial" w:cs="Arial"/>
          <w:noProof/>
          <w:sz w:val="24"/>
          <w:szCs w:val="24"/>
        </w:rPr>
        <w:t>Following structural refinement of VCX2, potential binding pockets were predicted with the SiteMap module. The algorithm ranked sites according to score, volume, enclosure, and hydrophobic/hydrophilic balance. To refine the pharmacophoric focus, site maps were cropped at 4.0 Å from the nearest site point. The highest-scoring binding site, which aligned with conformations stabilized in molecular dynamics and confirmed by principal component analysis, was selected for downstream docking.</w:t>
      </w:r>
    </w:p>
    <w:p w14:paraId="2E3BE31A" w14:textId="77777777" w:rsidR="005E1FE9" w:rsidRPr="005E1FE9" w:rsidRDefault="005E1FE9" w:rsidP="005E1FE9">
      <w:pPr>
        <w:pStyle w:val="TAMainText"/>
        <w:spacing w:after="240" w:line="240" w:lineRule="auto"/>
        <w:ind w:firstLine="0"/>
        <w:rPr>
          <w:rFonts w:ascii="Arial" w:hAnsi="Arial" w:cs="Arial"/>
          <w:b/>
          <w:bCs/>
          <w:szCs w:val="24"/>
          <w:lang w:bidi="en-US"/>
        </w:rPr>
      </w:pPr>
      <w:r w:rsidRPr="005E1FE9">
        <w:rPr>
          <w:rFonts w:ascii="Arial" w:hAnsi="Arial" w:cs="Arial"/>
          <w:b/>
          <w:bCs/>
          <w:szCs w:val="24"/>
          <w:lang w:bidi="en-US"/>
        </w:rPr>
        <w:t>Molecular Docking (MD) and MM-GBSA Binding Free Energy Calculations</w:t>
      </w:r>
    </w:p>
    <w:p w14:paraId="4100D812" w14:textId="77777777" w:rsidR="0078071B" w:rsidRPr="0078071B" w:rsidRDefault="0078071B" w:rsidP="0078071B">
      <w:pPr>
        <w:pStyle w:val="NormalWeb"/>
        <w:jc w:val="both"/>
        <w:rPr>
          <w:rFonts w:ascii="Arial" w:hAnsi="Arial" w:cs="Arial"/>
          <w:noProof/>
        </w:rPr>
      </w:pPr>
      <w:r w:rsidRPr="0078071B">
        <w:rPr>
          <w:rFonts w:ascii="Arial" w:hAnsi="Arial" w:cs="Arial"/>
          <w:noProof/>
        </w:rPr>
        <w:t>Following receptor grid generation, molecular docking was carried out using the Glide module (Schrödinger Suite v12.8.117) within the binding pocket identified by SiteMap. A multi-tiered precision protocol was implemented:</w:t>
      </w:r>
    </w:p>
    <w:p w14:paraId="0DC504C5" w14:textId="77777777" w:rsidR="0078071B" w:rsidRPr="0078071B" w:rsidRDefault="0078071B" w:rsidP="0078071B">
      <w:pPr>
        <w:pStyle w:val="NormalWeb"/>
        <w:numPr>
          <w:ilvl w:val="0"/>
          <w:numId w:val="2"/>
        </w:numPr>
        <w:spacing w:after="0"/>
        <w:jc w:val="both"/>
        <w:rPr>
          <w:rFonts w:ascii="Arial" w:hAnsi="Arial" w:cs="Arial"/>
          <w:noProof/>
        </w:rPr>
      </w:pPr>
      <w:r w:rsidRPr="0078071B">
        <w:rPr>
          <w:rFonts w:ascii="Arial" w:hAnsi="Arial" w:cs="Arial"/>
          <w:noProof/>
        </w:rPr>
        <w:t>Standard Precision (SP) was first applied to filter unfavorable poses and identify plausible ligand orientations.</w:t>
      </w:r>
    </w:p>
    <w:p w14:paraId="7E512739" w14:textId="77777777" w:rsidR="0078071B" w:rsidRPr="0078071B" w:rsidRDefault="0078071B" w:rsidP="0078071B">
      <w:pPr>
        <w:pStyle w:val="NormalWeb"/>
        <w:numPr>
          <w:ilvl w:val="0"/>
          <w:numId w:val="2"/>
        </w:numPr>
        <w:spacing w:after="0"/>
        <w:jc w:val="both"/>
        <w:rPr>
          <w:rFonts w:ascii="Arial" w:hAnsi="Arial" w:cs="Arial"/>
          <w:noProof/>
        </w:rPr>
      </w:pPr>
      <w:r w:rsidRPr="0078071B">
        <w:rPr>
          <w:rFonts w:ascii="Arial" w:hAnsi="Arial" w:cs="Arial"/>
          <w:noProof/>
        </w:rPr>
        <w:t>Surviving candidates were redocked with Extra Precision (XP), which uses enhanced sampling and a refined scoring function to evaluate binding orientations and interaction energies more rigorously.</w:t>
      </w:r>
    </w:p>
    <w:p w14:paraId="55D913C4" w14:textId="77777777" w:rsidR="0078071B" w:rsidRDefault="0078071B" w:rsidP="0078071B">
      <w:pPr>
        <w:pStyle w:val="NormalWeb"/>
        <w:numPr>
          <w:ilvl w:val="0"/>
          <w:numId w:val="2"/>
        </w:numPr>
        <w:spacing w:after="0"/>
        <w:jc w:val="both"/>
        <w:rPr>
          <w:rFonts w:ascii="Arial" w:hAnsi="Arial" w:cs="Arial"/>
          <w:noProof/>
        </w:rPr>
      </w:pPr>
      <w:r w:rsidRPr="0078071B">
        <w:rPr>
          <w:rFonts w:ascii="Arial" w:hAnsi="Arial" w:cs="Arial"/>
          <w:noProof/>
        </w:rPr>
        <w:t>During docking, the van der Waals scaling factor was set to 0.80 for nonpolar ligand atoms, and enhanced sampling was enabled to increase pose diversity.</w:t>
      </w:r>
    </w:p>
    <w:p w14:paraId="2F6788D1" w14:textId="77777777" w:rsidR="0078071B" w:rsidRPr="0078071B" w:rsidRDefault="0078071B" w:rsidP="0078071B">
      <w:pPr>
        <w:pStyle w:val="NormalWeb"/>
        <w:spacing w:after="0"/>
        <w:ind w:left="720"/>
        <w:jc w:val="both"/>
        <w:rPr>
          <w:rFonts w:ascii="Arial" w:hAnsi="Arial" w:cs="Arial"/>
          <w:noProof/>
        </w:rPr>
      </w:pPr>
    </w:p>
    <w:p w14:paraId="17042424" w14:textId="77777777" w:rsidR="0078071B" w:rsidRPr="0078071B" w:rsidRDefault="0078071B" w:rsidP="0078071B">
      <w:pPr>
        <w:pStyle w:val="NormalWeb"/>
        <w:jc w:val="both"/>
        <w:rPr>
          <w:rFonts w:ascii="Arial" w:hAnsi="Arial" w:cs="Arial"/>
          <w:noProof/>
        </w:rPr>
      </w:pPr>
      <w:r w:rsidRPr="0078071B">
        <w:rPr>
          <w:rFonts w:ascii="Arial" w:hAnsi="Arial" w:cs="Arial"/>
          <w:noProof/>
        </w:rPr>
        <w:t>Docking results were ranked by GlideScore, and top complexes were analyzed in Maestro with the Interaction Diagram tool to identify hydrogen bonds, salt bridges, hydrophobic contacts, and π–π stacking interactions within the VCX2 pocket.</w:t>
      </w:r>
    </w:p>
    <w:p w14:paraId="2182C26F" w14:textId="77777777" w:rsidR="0078071B" w:rsidRPr="0078071B" w:rsidRDefault="0078071B" w:rsidP="0078071B">
      <w:pPr>
        <w:pStyle w:val="NormalWeb"/>
        <w:jc w:val="both"/>
        <w:rPr>
          <w:rFonts w:ascii="Arial" w:hAnsi="Arial" w:cs="Arial"/>
          <w:noProof/>
        </w:rPr>
      </w:pPr>
      <w:r w:rsidRPr="0078071B">
        <w:rPr>
          <w:rFonts w:ascii="Arial" w:hAnsi="Arial" w:cs="Arial"/>
          <w:noProof/>
        </w:rPr>
        <w:t xml:space="preserve">To further evaluate binding energetics under thermodynamically realistic conditions, Molecular Mechanics/Generalized Born Surface Area (MM-GBSA) calculations were </w:t>
      </w:r>
      <w:r w:rsidRPr="0078071B">
        <w:rPr>
          <w:rFonts w:ascii="Arial" w:hAnsi="Arial" w:cs="Arial"/>
          <w:noProof/>
        </w:rPr>
        <w:lastRenderedPageBreak/>
        <w:t>performed using the Prime module (v4.8, Schrödinger Suite) with the VSGB 2.0 solvation model and the OPLS4 force field.</w:t>
      </w:r>
    </w:p>
    <w:p w14:paraId="6AC52A0F" w14:textId="77777777" w:rsidR="0078071B" w:rsidRPr="0078071B" w:rsidRDefault="0078071B" w:rsidP="0078071B">
      <w:pPr>
        <w:pStyle w:val="NormalWeb"/>
        <w:jc w:val="both"/>
        <w:rPr>
          <w:rFonts w:ascii="Arial" w:hAnsi="Arial" w:cs="Arial"/>
          <w:noProof/>
        </w:rPr>
      </w:pPr>
      <w:r w:rsidRPr="0078071B">
        <w:rPr>
          <w:rFonts w:ascii="Arial" w:hAnsi="Arial" w:cs="Arial"/>
          <w:noProof/>
        </w:rPr>
        <w:t>Structural snapshots of protein–ligand complexes were extracted from the final 10 ns of the 100 ns MD trajectories (90–100 ns). This period was chosen based on RMSD stabilization and energy convergence, ensuring equilibrium conditions for free energy estimation.</w:t>
      </w:r>
    </w:p>
    <w:p w14:paraId="28EB70A5" w14:textId="77777777" w:rsidR="0078071B" w:rsidRPr="0078071B" w:rsidRDefault="0078071B" w:rsidP="0078071B">
      <w:pPr>
        <w:pStyle w:val="NormalWeb"/>
        <w:jc w:val="both"/>
        <w:rPr>
          <w:rFonts w:ascii="Arial" w:hAnsi="Arial" w:cs="Arial"/>
          <w:noProof/>
        </w:rPr>
      </w:pPr>
    </w:p>
    <w:p w14:paraId="6B4D32B2" w14:textId="48D684A7" w:rsidR="0078071B" w:rsidRDefault="0078071B" w:rsidP="0078071B">
      <w:pPr>
        <w:pStyle w:val="NormalWeb"/>
        <w:jc w:val="both"/>
        <w:rPr>
          <w:rFonts w:ascii="Arial" w:hAnsi="Arial" w:cs="Arial"/>
          <w:noProof/>
        </w:rPr>
      </w:pPr>
      <w:r w:rsidRPr="0078071B">
        <w:rPr>
          <w:rFonts w:ascii="Arial" w:hAnsi="Arial" w:cs="Arial"/>
          <w:noProof/>
        </w:rPr>
        <w:t>Binding free energy (ΔG</w:t>
      </w:r>
      <w:r w:rsidRPr="0078071B">
        <w:rPr>
          <w:rFonts w:ascii="Arial" w:hAnsi="Arial" w:cs="Arial"/>
          <w:noProof/>
          <w:vertAlign w:val="subscript"/>
        </w:rPr>
        <w:t>bind</w:t>
      </w:r>
      <w:r w:rsidRPr="0078071B">
        <w:rPr>
          <w:rFonts w:ascii="Arial" w:hAnsi="Arial" w:cs="Arial"/>
          <w:noProof/>
        </w:rPr>
        <w:t>) was calculated using the single-trajectory MM-GBSA approach, according to the following equations:</w:t>
      </w:r>
    </w:p>
    <w:p w14:paraId="1CBEDFFA" w14:textId="77777777" w:rsidR="0078071B" w:rsidRPr="00AD5E07" w:rsidRDefault="0078071B" w:rsidP="0078071B">
      <w:pPr>
        <w:pStyle w:val="TAMainText"/>
        <w:ind w:firstLine="0"/>
        <w:jc w:val="center"/>
        <w:rPr>
          <w:lang w:bidi="en-US"/>
        </w:rPr>
      </w:pPr>
      <w:proofErr w:type="spellStart"/>
      <w:r w:rsidRPr="00AD5E07">
        <w:rPr>
          <w:lang w:bidi="en-US"/>
        </w:rPr>
        <w:t>ΔG</w:t>
      </w:r>
      <w:r w:rsidRPr="00AD5E07">
        <w:rPr>
          <w:vertAlign w:val="subscript"/>
          <w:lang w:bidi="en-US"/>
        </w:rPr>
        <w:t>bind</w:t>
      </w:r>
      <w:proofErr w:type="spellEnd"/>
      <w:r w:rsidRPr="00AD5E07">
        <w:rPr>
          <w:lang w:bidi="en-US"/>
        </w:rPr>
        <w:t xml:space="preserve">​ = </w:t>
      </w:r>
      <w:proofErr w:type="spellStart"/>
      <w:r w:rsidRPr="00AD5E07">
        <w:rPr>
          <w:lang w:bidi="en-US"/>
        </w:rPr>
        <w:t>G</w:t>
      </w:r>
      <w:r w:rsidRPr="00AD5E07">
        <w:rPr>
          <w:vertAlign w:val="subscript"/>
          <w:lang w:bidi="en-US"/>
        </w:rPr>
        <w:t>complex</w:t>
      </w:r>
      <w:proofErr w:type="spellEnd"/>
      <w:r w:rsidRPr="00AD5E07">
        <w:rPr>
          <w:lang w:bidi="en-US"/>
        </w:rPr>
        <w:t>​−(</w:t>
      </w:r>
      <w:proofErr w:type="spellStart"/>
      <w:r w:rsidRPr="00AD5E07">
        <w:rPr>
          <w:lang w:bidi="en-US"/>
        </w:rPr>
        <w:t>G</w:t>
      </w:r>
      <w:r w:rsidRPr="00AD5E07">
        <w:rPr>
          <w:vertAlign w:val="subscript"/>
          <w:lang w:bidi="en-US"/>
        </w:rPr>
        <w:t>protein</w:t>
      </w:r>
      <w:proofErr w:type="spellEnd"/>
      <w:r w:rsidRPr="00AD5E07">
        <w:rPr>
          <w:lang w:bidi="en-US"/>
        </w:rPr>
        <w:t>​+</w:t>
      </w:r>
      <w:proofErr w:type="spellStart"/>
      <w:proofErr w:type="gramStart"/>
      <w:r w:rsidRPr="00AD5E07">
        <w:rPr>
          <w:lang w:bidi="en-US"/>
        </w:rPr>
        <w:t>G</w:t>
      </w:r>
      <w:r w:rsidRPr="00AD5E07">
        <w:rPr>
          <w:vertAlign w:val="subscript"/>
          <w:lang w:bidi="en-US"/>
        </w:rPr>
        <w:t>ligand</w:t>
      </w:r>
      <w:proofErr w:type="spellEnd"/>
      <w:r w:rsidRPr="00AD5E07">
        <w:rPr>
          <w:lang w:bidi="en-US"/>
        </w:rPr>
        <w:t>​)  (</w:t>
      </w:r>
      <w:proofErr w:type="gramEnd"/>
      <w:r w:rsidRPr="00AD5E07">
        <w:rPr>
          <w:lang w:bidi="en-US"/>
        </w:rPr>
        <w:t>1)</w:t>
      </w:r>
    </w:p>
    <w:p w14:paraId="7227B27A" w14:textId="58C7F3E9" w:rsidR="0078071B" w:rsidRDefault="0078071B" w:rsidP="0078071B">
      <w:pPr>
        <w:pStyle w:val="NormalWeb"/>
        <w:jc w:val="both"/>
        <w:rPr>
          <w:rFonts w:ascii="Arial" w:hAnsi="Arial" w:cs="Arial"/>
          <w:noProof/>
        </w:rPr>
      </w:pPr>
      <w:r w:rsidRPr="0078071B">
        <w:rPr>
          <w:rFonts w:ascii="Arial" w:hAnsi="Arial" w:cs="Arial"/>
          <w:noProof/>
        </w:rPr>
        <w:t>Where each free energy term G is defined as:</w:t>
      </w:r>
    </w:p>
    <w:p w14:paraId="40092EC9" w14:textId="77777777" w:rsidR="0078071B" w:rsidRPr="00AD5E07" w:rsidRDefault="0078071B" w:rsidP="0078071B">
      <w:pPr>
        <w:pStyle w:val="TAMainText"/>
        <w:ind w:firstLine="0"/>
        <w:jc w:val="center"/>
        <w:rPr>
          <w:lang w:bidi="en-US"/>
        </w:rPr>
      </w:pPr>
      <w:r w:rsidRPr="00AD5E07">
        <w:rPr>
          <w:lang w:bidi="en-US"/>
        </w:rPr>
        <w:t>G = E</w:t>
      </w:r>
      <w:r w:rsidRPr="00AD5E07">
        <w:rPr>
          <w:vertAlign w:val="subscript"/>
          <w:lang w:bidi="en-US"/>
        </w:rPr>
        <w:t>MM</w:t>
      </w:r>
      <w:r w:rsidRPr="00AD5E07">
        <w:rPr>
          <w:lang w:bidi="en-US"/>
        </w:rPr>
        <w:t>​+</w:t>
      </w:r>
      <w:proofErr w:type="spellStart"/>
      <w:r w:rsidRPr="00AD5E07">
        <w:rPr>
          <w:lang w:bidi="en-US"/>
        </w:rPr>
        <w:t>G</w:t>
      </w:r>
      <w:r w:rsidRPr="00AD5E07">
        <w:rPr>
          <w:vertAlign w:val="subscript"/>
          <w:lang w:bidi="en-US"/>
        </w:rPr>
        <w:t>solv</w:t>
      </w:r>
      <w:proofErr w:type="spellEnd"/>
      <w:r w:rsidRPr="00AD5E07">
        <w:rPr>
          <w:lang w:bidi="en-US"/>
        </w:rPr>
        <w:t>​+G</w:t>
      </w:r>
      <w:r w:rsidRPr="00AD5E07">
        <w:rPr>
          <w:vertAlign w:val="subscript"/>
          <w:lang w:bidi="en-US"/>
        </w:rPr>
        <w:t xml:space="preserve">SA                               </w:t>
      </w:r>
      <w:proofErr w:type="gramStart"/>
      <w:r w:rsidRPr="00AD5E07">
        <w:rPr>
          <w:vertAlign w:val="subscript"/>
          <w:lang w:bidi="en-US"/>
        </w:rPr>
        <w:t xml:space="preserve">   </w:t>
      </w:r>
      <w:r w:rsidRPr="00AD5E07">
        <w:rPr>
          <w:lang w:bidi="en-US"/>
        </w:rPr>
        <w:t>(</w:t>
      </w:r>
      <w:proofErr w:type="gramEnd"/>
      <w:r w:rsidRPr="00AD5E07">
        <w:rPr>
          <w:lang w:bidi="en-US"/>
        </w:rPr>
        <w:t>2)</w:t>
      </w:r>
    </w:p>
    <w:p w14:paraId="1DF3EB81" w14:textId="3BE6A860" w:rsidR="0078071B" w:rsidRPr="0078071B" w:rsidRDefault="0078071B" w:rsidP="0078071B">
      <w:pPr>
        <w:pStyle w:val="NormalWeb"/>
        <w:jc w:val="both"/>
        <w:rPr>
          <w:rFonts w:ascii="Arial" w:hAnsi="Arial" w:cs="Arial"/>
          <w:noProof/>
        </w:rPr>
      </w:pPr>
      <w:r w:rsidRPr="0078071B">
        <w:rPr>
          <w:rFonts w:ascii="Arial" w:hAnsi="Arial" w:cs="Arial"/>
          <w:noProof/>
        </w:rPr>
        <w:t>Thus,</w:t>
      </w:r>
    </w:p>
    <w:p w14:paraId="3B54B921" w14:textId="77777777" w:rsidR="0078071B" w:rsidRPr="00AD5E07" w:rsidRDefault="0078071B" w:rsidP="0078071B">
      <w:pPr>
        <w:pStyle w:val="TAMainText"/>
        <w:ind w:firstLine="0"/>
        <w:jc w:val="center"/>
        <w:rPr>
          <w:lang w:bidi="en-US"/>
        </w:rPr>
      </w:pPr>
      <w:proofErr w:type="spellStart"/>
      <w:r w:rsidRPr="00AD5E07">
        <w:rPr>
          <w:lang w:bidi="en-US"/>
        </w:rPr>
        <w:t>G</w:t>
      </w:r>
      <w:r w:rsidRPr="00AD5E07">
        <w:rPr>
          <w:vertAlign w:val="subscript"/>
          <w:lang w:bidi="en-US"/>
        </w:rPr>
        <w:t>bind</w:t>
      </w:r>
      <w:proofErr w:type="spellEnd"/>
      <w:r w:rsidRPr="00AD5E07">
        <w:rPr>
          <w:vertAlign w:val="subscript"/>
          <w:lang w:bidi="en-US"/>
        </w:rPr>
        <w:t>​</w:t>
      </w:r>
      <w:r w:rsidRPr="00AD5E07">
        <w:rPr>
          <w:lang w:bidi="en-US"/>
        </w:rPr>
        <w:t xml:space="preserve"> = ΔE</w:t>
      </w:r>
      <w:r w:rsidRPr="00AD5E07">
        <w:rPr>
          <w:vertAlign w:val="subscript"/>
          <w:lang w:bidi="en-US"/>
        </w:rPr>
        <w:t>MM</w:t>
      </w:r>
      <w:r w:rsidRPr="00AD5E07">
        <w:rPr>
          <w:lang w:bidi="en-US"/>
        </w:rPr>
        <w:t xml:space="preserve"> ​+ </w:t>
      </w:r>
      <w:proofErr w:type="spellStart"/>
      <w:r w:rsidRPr="00AD5E07">
        <w:rPr>
          <w:lang w:bidi="en-US"/>
        </w:rPr>
        <w:t>ΔG</w:t>
      </w:r>
      <w:r w:rsidRPr="00AD5E07">
        <w:rPr>
          <w:vertAlign w:val="subscript"/>
          <w:lang w:bidi="en-US"/>
        </w:rPr>
        <w:t>solv</w:t>
      </w:r>
      <w:proofErr w:type="spellEnd"/>
      <w:r w:rsidRPr="00AD5E07">
        <w:rPr>
          <w:lang w:bidi="en-US"/>
        </w:rPr>
        <w:t xml:space="preserve"> ​+ ΔG</w:t>
      </w:r>
      <w:r w:rsidRPr="00AD5E07">
        <w:rPr>
          <w:vertAlign w:val="subscript"/>
          <w:lang w:bidi="en-US"/>
        </w:rPr>
        <w:t>SA</w:t>
      </w:r>
      <w:r w:rsidRPr="00AD5E07">
        <w:rPr>
          <w:lang w:bidi="en-US"/>
        </w:rPr>
        <w:t xml:space="preserve">​   </w:t>
      </w:r>
      <w:proofErr w:type="gramStart"/>
      <w:r w:rsidRPr="00AD5E07">
        <w:rPr>
          <w:lang w:bidi="en-US"/>
        </w:rPr>
        <w:t xml:space="preserve">   (</w:t>
      </w:r>
      <w:proofErr w:type="gramEnd"/>
      <w:r w:rsidRPr="00AD5E07">
        <w:rPr>
          <w:lang w:bidi="en-US"/>
        </w:rPr>
        <w:t>3)</w:t>
      </w:r>
    </w:p>
    <w:p w14:paraId="3E05F163" w14:textId="47C3DB4D" w:rsidR="0078071B" w:rsidRPr="0078071B" w:rsidRDefault="0078071B" w:rsidP="0078071B">
      <w:pPr>
        <w:pStyle w:val="NormalWeb"/>
        <w:jc w:val="both"/>
        <w:rPr>
          <w:rFonts w:ascii="Arial" w:hAnsi="Arial" w:cs="Arial"/>
          <w:noProof/>
        </w:rPr>
      </w:pPr>
      <w:r w:rsidRPr="0078071B">
        <w:rPr>
          <w:rFonts w:ascii="Arial" w:hAnsi="Arial" w:cs="Arial"/>
          <w:noProof/>
        </w:rPr>
        <w:t>ΔE</w:t>
      </w:r>
      <w:r w:rsidRPr="0078071B">
        <w:rPr>
          <w:rFonts w:ascii="Arial" w:hAnsi="Arial" w:cs="Arial"/>
          <w:noProof/>
          <w:vertAlign w:val="subscript"/>
        </w:rPr>
        <w:t>MM</w:t>
      </w:r>
      <w:r w:rsidRPr="0078071B">
        <w:rPr>
          <w:rFonts w:ascii="Arial" w:hAnsi="Arial" w:cs="Arial"/>
          <w:noProof/>
        </w:rPr>
        <w:t>: Difference in molecular mechanics energies (bonded, van der Waals, electrostatics) between the bound and unbound states.</w:t>
      </w:r>
    </w:p>
    <w:p w14:paraId="72E2D27E" w14:textId="13AF409A" w:rsidR="0078071B" w:rsidRPr="0078071B" w:rsidRDefault="0078071B" w:rsidP="0078071B">
      <w:pPr>
        <w:pStyle w:val="NormalWeb"/>
        <w:jc w:val="both"/>
        <w:rPr>
          <w:rFonts w:ascii="Arial" w:hAnsi="Arial" w:cs="Arial"/>
          <w:noProof/>
        </w:rPr>
      </w:pPr>
      <w:r w:rsidRPr="0078071B">
        <w:rPr>
          <w:rFonts w:ascii="Arial" w:hAnsi="Arial" w:cs="Arial"/>
          <w:noProof/>
        </w:rPr>
        <w:t>ΔG</w:t>
      </w:r>
      <w:r w:rsidRPr="0078071B">
        <w:rPr>
          <w:rFonts w:ascii="Arial" w:hAnsi="Arial" w:cs="Arial"/>
          <w:noProof/>
          <w:vertAlign w:val="subscript"/>
        </w:rPr>
        <w:t>solv</w:t>
      </w:r>
      <w:r w:rsidRPr="0078071B">
        <w:rPr>
          <w:rFonts w:ascii="Arial" w:hAnsi="Arial" w:cs="Arial"/>
          <w:noProof/>
        </w:rPr>
        <w:t>: Solvation free energy difference calculated using the VSGB 2.0 implicit solvation model.</w:t>
      </w:r>
    </w:p>
    <w:p w14:paraId="03FE193B" w14:textId="454E161B" w:rsidR="0078071B" w:rsidRPr="0078071B" w:rsidRDefault="0078071B" w:rsidP="0078071B">
      <w:pPr>
        <w:pStyle w:val="NormalWeb"/>
        <w:jc w:val="both"/>
        <w:rPr>
          <w:rFonts w:ascii="Arial" w:hAnsi="Arial" w:cs="Arial"/>
          <w:noProof/>
        </w:rPr>
      </w:pPr>
      <w:r w:rsidRPr="0078071B">
        <w:rPr>
          <w:rFonts w:ascii="Arial" w:hAnsi="Arial" w:cs="Arial"/>
          <w:noProof/>
        </w:rPr>
        <w:t>ΔG</w:t>
      </w:r>
      <w:r w:rsidRPr="0078071B">
        <w:rPr>
          <w:rFonts w:ascii="Arial" w:hAnsi="Arial" w:cs="Arial"/>
          <w:noProof/>
          <w:vertAlign w:val="subscript"/>
        </w:rPr>
        <w:t>SA</w:t>
      </w:r>
      <w:r w:rsidRPr="0078071B">
        <w:rPr>
          <w:rFonts w:ascii="Arial" w:hAnsi="Arial" w:cs="Arial"/>
          <w:noProof/>
        </w:rPr>
        <w:t>: Nonpolar solvation contribution estimated from solvent-accessible surface area (SASA).</w:t>
      </w:r>
    </w:p>
    <w:p w14:paraId="2368EC60" w14:textId="7BC366CF" w:rsidR="0078071B" w:rsidRDefault="0078071B" w:rsidP="0078071B">
      <w:pPr>
        <w:pStyle w:val="NormalWeb"/>
        <w:jc w:val="both"/>
        <w:rPr>
          <w:rFonts w:ascii="Arial" w:hAnsi="Arial" w:cs="Arial"/>
          <w:noProof/>
        </w:rPr>
      </w:pPr>
      <w:r>
        <w:rPr>
          <w:rFonts w:ascii="Arial" w:hAnsi="Arial" w:cs="Arial"/>
          <w:noProof/>
        </w:rPr>
        <w:t>Additionally, ligand strain energy and interaction energy were calculated</w:t>
      </w:r>
      <w:r w:rsidRPr="0078071B">
        <w:rPr>
          <w:rFonts w:ascii="Arial" w:hAnsi="Arial" w:cs="Arial"/>
          <w:noProof/>
        </w:rPr>
        <w:t xml:space="preserve"> to account for conformational penalties and steric clashes. Per-residue free energy contributions were obtained using the Prime Energy Visualizer, </w:t>
      </w:r>
      <w:r>
        <w:rPr>
          <w:rFonts w:ascii="Arial" w:hAnsi="Arial" w:cs="Arial"/>
          <w:noProof/>
        </w:rPr>
        <w:t>enabling the identification of key residues that drive</w:t>
      </w:r>
      <w:r w:rsidRPr="0078071B">
        <w:rPr>
          <w:rFonts w:ascii="Arial" w:hAnsi="Arial" w:cs="Arial"/>
          <w:noProof/>
        </w:rPr>
        <w:t xml:space="preserve"> binding affinity within the VCX2 active site.</w:t>
      </w:r>
    </w:p>
    <w:p w14:paraId="5222E93C" w14:textId="77777777" w:rsidR="0078071B" w:rsidRDefault="0078071B" w:rsidP="0078071B">
      <w:pPr>
        <w:pStyle w:val="NormalWeb"/>
        <w:jc w:val="both"/>
        <w:rPr>
          <w:rFonts w:ascii="Arial" w:hAnsi="Arial" w:cs="Arial"/>
          <w:noProof/>
        </w:rPr>
      </w:pPr>
    </w:p>
    <w:p w14:paraId="33A6E61D" w14:textId="1625FAD3" w:rsidR="00103532" w:rsidRPr="00103532" w:rsidRDefault="00103532" w:rsidP="005E1FE9">
      <w:pPr>
        <w:jc w:val="both"/>
        <w:rPr>
          <w:rFonts w:ascii="Palatino Linotype" w:hAnsi="Palatino Linotype"/>
          <w:noProof/>
        </w:rPr>
      </w:pPr>
    </w:p>
    <w:p w14:paraId="4AB31B76" w14:textId="77777777" w:rsidR="00B132F3" w:rsidRPr="00103532" w:rsidRDefault="00B132F3" w:rsidP="001A6136">
      <w:pPr>
        <w:jc w:val="center"/>
        <w:rPr>
          <w:noProof/>
        </w:rPr>
      </w:pPr>
    </w:p>
    <w:p w14:paraId="465ABFD8" w14:textId="405E7993" w:rsidR="00CA776E" w:rsidRDefault="00CA776E" w:rsidP="001A6136">
      <w:pPr>
        <w:jc w:val="center"/>
      </w:pPr>
      <w:r>
        <w:rPr>
          <w:noProof/>
        </w:rPr>
        <w:lastRenderedPageBreak/>
        <w:drawing>
          <wp:inline distT="0" distB="0" distL="0" distR="0" wp14:anchorId="0E027BFB" wp14:editId="19725A56">
            <wp:extent cx="5943600" cy="4594225"/>
            <wp:effectExtent l="0" t="0" r="0" b="0"/>
            <wp:docPr id="945831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4225"/>
                    </a:xfrm>
                    <a:prstGeom prst="rect">
                      <a:avLst/>
                    </a:prstGeom>
                    <a:noFill/>
                    <a:ln>
                      <a:noFill/>
                    </a:ln>
                  </pic:spPr>
                </pic:pic>
              </a:graphicData>
            </a:graphic>
          </wp:inline>
        </w:drawing>
      </w:r>
    </w:p>
    <w:p w14:paraId="14EA685C" w14:textId="5BD4A3A7" w:rsidR="00C43B12" w:rsidRDefault="00C43B12" w:rsidP="00AB7318">
      <w:pPr>
        <w:jc w:val="both"/>
        <w:rPr>
          <w:rStyle w:val="Emphasis"/>
          <w:rFonts w:ascii="Arial" w:hAnsi="Arial" w:cs="Arial"/>
          <w:i w:val="0"/>
          <w:iCs w:val="0"/>
          <w:sz w:val="24"/>
          <w:szCs w:val="24"/>
        </w:rPr>
      </w:pPr>
      <w:r w:rsidRPr="00BD240E">
        <w:rPr>
          <w:rStyle w:val="Strong"/>
          <w:rFonts w:ascii="Arial" w:hAnsi="Arial" w:cs="Arial"/>
          <w:sz w:val="24"/>
          <w:szCs w:val="24"/>
        </w:rPr>
        <w:t>Figure S</w:t>
      </w:r>
      <w:r w:rsidR="000E50A9">
        <w:rPr>
          <w:rStyle w:val="Strong"/>
          <w:rFonts w:ascii="Arial" w:hAnsi="Arial" w:cs="Arial"/>
          <w:sz w:val="24"/>
          <w:szCs w:val="24"/>
        </w:rPr>
        <w:t>1</w:t>
      </w:r>
      <w:r w:rsidRPr="00BD240E">
        <w:rPr>
          <w:rStyle w:val="Strong"/>
          <w:rFonts w:ascii="Arial" w:hAnsi="Arial" w:cs="Arial"/>
          <w:i/>
          <w:iCs/>
          <w:sz w:val="24"/>
          <w:szCs w:val="24"/>
        </w:rPr>
        <w:t>.</w:t>
      </w:r>
      <w:r w:rsidRPr="00BD240E">
        <w:rPr>
          <w:rFonts w:ascii="Arial" w:hAnsi="Arial" w:cs="Arial"/>
          <w:i/>
          <w:iCs/>
          <w:sz w:val="24"/>
          <w:szCs w:val="24"/>
        </w:rPr>
        <w:t xml:space="preserve"> </w:t>
      </w:r>
      <w:r w:rsidRPr="00BD240E">
        <w:rPr>
          <w:rStyle w:val="Emphasis"/>
          <w:rFonts w:ascii="Arial" w:hAnsi="Arial" w:cs="Arial"/>
          <w:i w:val="0"/>
          <w:iCs w:val="0"/>
          <w:sz w:val="24"/>
          <w:szCs w:val="24"/>
        </w:rPr>
        <w:t xml:space="preserve">Per-residue interaction energy (kcal/mol) between VCX2 and </w:t>
      </w:r>
      <w:r w:rsidRPr="00BD240E">
        <w:rPr>
          <w:rFonts w:ascii="Arial" w:hAnsi="Arial" w:cs="Arial"/>
          <w:i/>
          <w:iCs/>
          <w:sz w:val="24"/>
          <w:szCs w:val="24"/>
        </w:rPr>
        <w:t xml:space="preserve">Luteolin-5-O-glucoside </w:t>
      </w:r>
      <w:r w:rsidRPr="00BD240E">
        <w:rPr>
          <w:rStyle w:val="Emphasis"/>
          <w:rFonts w:ascii="Arial" w:hAnsi="Arial" w:cs="Arial"/>
          <w:i w:val="0"/>
          <w:iCs w:val="0"/>
          <w:sz w:val="24"/>
          <w:szCs w:val="24"/>
        </w:rPr>
        <w:t>from MM-GBSA analysis.</w:t>
      </w:r>
    </w:p>
    <w:p w14:paraId="19D11FF8" w14:textId="77777777" w:rsidR="004825C2" w:rsidRDefault="004825C2" w:rsidP="00AB7318">
      <w:pPr>
        <w:jc w:val="both"/>
        <w:rPr>
          <w:rStyle w:val="Emphasis"/>
          <w:rFonts w:ascii="Arial" w:hAnsi="Arial" w:cs="Arial"/>
          <w:i w:val="0"/>
          <w:iCs w:val="0"/>
          <w:sz w:val="24"/>
          <w:szCs w:val="24"/>
        </w:rPr>
      </w:pPr>
    </w:p>
    <w:p w14:paraId="2D9DED27" w14:textId="4CDAF302" w:rsidR="004825C2" w:rsidRDefault="00907D3B" w:rsidP="00AB7318">
      <w:pPr>
        <w:jc w:val="both"/>
        <w:rPr>
          <w:rStyle w:val="Emphasis"/>
          <w:rFonts w:ascii="Arial" w:hAnsi="Arial" w:cs="Arial"/>
          <w:i w:val="0"/>
          <w:iCs w:val="0"/>
          <w:sz w:val="24"/>
          <w:szCs w:val="24"/>
        </w:rPr>
      </w:pPr>
      <w:r>
        <w:rPr>
          <w:noProof/>
        </w:rPr>
        <w:lastRenderedPageBreak/>
        <w:drawing>
          <wp:inline distT="0" distB="0" distL="0" distR="0" wp14:anchorId="5B68E3AD" wp14:editId="7F316613">
            <wp:extent cx="5943600" cy="6958330"/>
            <wp:effectExtent l="0" t="0" r="0" b="0"/>
            <wp:docPr id="852422844" name="Picture 2" descr="A collage of images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2844" name="Picture 2" descr="A collage of images of different colored shap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58330"/>
                    </a:xfrm>
                    <a:prstGeom prst="rect">
                      <a:avLst/>
                    </a:prstGeom>
                    <a:noFill/>
                    <a:ln>
                      <a:noFill/>
                    </a:ln>
                  </pic:spPr>
                </pic:pic>
              </a:graphicData>
            </a:graphic>
          </wp:inline>
        </w:drawing>
      </w:r>
    </w:p>
    <w:p w14:paraId="196674D4" w14:textId="62A540D3" w:rsidR="00583121" w:rsidRDefault="00F600C3" w:rsidP="00F600C3">
      <w:pPr>
        <w:jc w:val="both"/>
        <w:rPr>
          <w:rFonts w:ascii="Arial" w:hAnsi="Arial" w:cs="Arial"/>
          <w:sz w:val="24"/>
          <w:szCs w:val="24"/>
        </w:rPr>
      </w:pPr>
      <w:r w:rsidRPr="00F600C3">
        <w:rPr>
          <w:rFonts w:ascii="Arial" w:hAnsi="Arial" w:cs="Arial"/>
          <w:b/>
          <w:bCs/>
          <w:sz w:val="24"/>
          <w:szCs w:val="24"/>
        </w:rPr>
        <w:t>Figure S</w:t>
      </w:r>
      <w:r w:rsidR="000E50A9">
        <w:rPr>
          <w:rFonts w:ascii="Arial" w:hAnsi="Arial" w:cs="Arial"/>
          <w:b/>
          <w:bCs/>
          <w:sz w:val="24"/>
          <w:szCs w:val="24"/>
        </w:rPr>
        <w:t>2</w:t>
      </w:r>
      <w:r w:rsidRPr="00F600C3">
        <w:rPr>
          <w:rFonts w:ascii="Arial" w:hAnsi="Arial" w:cs="Arial"/>
          <w:b/>
          <w:bCs/>
          <w:sz w:val="24"/>
          <w:szCs w:val="24"/>
        </w:rPr>
        <w:t>.</w:t>
      </w:r>
      <w:r w:rsidRPr="00F600C3">
        <w:rPr>
          <w:rFonts w:ascii="Arial" w:hAnsi="Arial" w:cs="Arial"/>
          <w:sz w:val="24"/>
          <w:szCs w:val="24"/>
        </w:rPr>
        <w:t xml:space="preserve"> </w:t>
      </w:r>
      <w:r w:rsidR="00583121" w:rsidRPr="00583121">
        <w:rPr>
          <w:rFonts w:ascii="Arial" w:hAnsi="Arial" w:cs="Arial"/>
          <w:sz w:val="24"/>
          <w:szCs w:val="24"/>
        </w:rPr>
        <w:t xml:space="preserve">Principal component analysis (PCA) of protein dynamics. (A) (left) Eigenvalue plots for three independently modeled protein structures (Model1–Model3) show consistent decay, indicating stable and convergent dynamics. (right) PCA projection of a 1000 ns trajectory, with frames colored by time. Dashed circles highlight distinct conformational clusters, suggesting the presence of metastable states sampled during the simulation. Structural validation of the VCX2 (Variable Charge, X-linked 2) protein </w:t>
      </w:r>
      <w:r w:rsidR="00583121" w:rsidRPr="00583121">
        <w:rPr>
          <w:rFonts w:ascii="Arial" w:hAnsi="Arial" w:cs="Arial"/>
          <w:sz w:val="24"/>
          <w:szCs w:val="24"/>
        </w:rPr>
        <w:lastRenderedPageBreak/>
        <w:t xml:space="preserve">model before (left column) and after (right column) refinement. (B) Ramachandran plots (PROCHECK) show increased occupancy in favored regions post-refinement. (C) </w:t>
      </w:r>
      <w:proofErr w:type="spellStart"/>
      <w:r w:rsidR="00583121" w:rsidRPr="00583121">
        <w:rPr>
          <w:rFonts w:ascii="Arial" w:hAnsi="Arial" w:cs="Arial"/>
          <w:sz w:val="24"/>
          <w:szCs w:val="24"/>
        </w:rPr>
        <w:t>ProSA</w:t>
      </w:r>
      <w:proofErr w:type="spellEnd"/>
      <w:r w:rsidR="00583121" w:rsidRPr="00583121">
        <w:rPr>
          <w:rFonts w:ascii="Arial" w:hAnsi="Arial" w:cs="Arial"/>
          <w:sz w:val="24"/>
          <w:szCs w:val="24"/>
        </w:rPr>
        <w:t>-web Z-scores indicate enhanced model quality compared to reference X-ray and NMR structures.</w:t>
      </w:r>
      <w:r w:rsidR="00FD5EB0" w:rsidRPr="00FD5EB0">
        <w:rPr>
          <w:rFonts w:ascii="Arial" w:hAnsi="Arial" w:cs="Arial"/>
          <w:sz w:val="24"/>
          <w:szCs w:val="24"/>
        </w:rPr>
        <w:t xml:space="preserve"> </w:t>
      </w:r>
      <w:r w:rsidR="00FD5EB0" w:rsidRPr="00FD5EB0">
        <w:rPr>
          <w:rFonts w:ascii="Arial" w:hAnsi="Arial" w:cs="Arial"/>
          <w:b/>
          <w:bCs/>
          <w:sz w:val="24"/>
          <w:szCs w:val="24"/>
        </w:rPr>
        <w:t>(</w:t>
      </w:r>
      <w:r w:rsidR="00583121">
        <w:rPr>
          <w:rFonts w:ascii="Arial" w:hAnsi="Arial" w:cs="Arial"/>
          <w:b/>
          <w:bCs/>
          <w:sz w:val="24"/>
          <w:szCs w:val="24"/>
        </w:rPr>
        <w:t>D</w:t>
      </w:r>
      <w:r w:rsidR="00FD5EB0" w:rsidRPr="00FD5EB0">
        <w:rPr>
          <w:rFonts w:ascii="Arial" w:hAnsi="Arial" w:cs="Arial"/>
          <w:b/>
          <w:bCs/>
          <w:sz w:val="24"/>
          <w:szCs w:val="24"/>
        </w:rPr>
        <w:t>)</w:t>
      </w:r>
      <w:r w:rsidR="00FD5EB0" w:rsidRPr="00FD5EB0">
        <w:rPr>
          <w:rFonts w:ascii="Arial" w:hAnsi="Arial" w:cs="Arial"/>
          <w:sz w:val="24"/>
          <w:szCs w:val="24"/>
        </w:rPr>
        <w:t xml:space="preserve"> 3D cartoon representations of VCX2 show </w:t>
      </w:r>
      <w:r w:rsidR="00D8232B">
        <w:rPr>
          <w:rFonts w:ascii="Arial" w:hAnsi="Arial" w:cs="Arial"/>
          <w:sz w:val="24"/>
          <w:szCs w:val="24"/>
        </w:rPr>
        <w:t xml:space="preserve">an </w:t>
      </w:r>
      <w:r w:rsidR="00FD5EB0" w:rsidRPr="00FD5EB0">
        <w:rPr>
          <w:rFonts w:ascii="Arial" w:hAnsi="Arial" w:cs="Arial"/>
          <w:sz w:val="24"/>
          <w:szCs w:val="24"/>
        </w:rPr>
        <w:t xml:space="preserve">improved folding and </w:t>
      </w:r>
      <w:proofErr w:type="gramStart"/>
      <w:r w:rsidR="00FD5EB0" w:rsidRPr="00FD5EB0">
        <w:rPr>
          <w:rFonts w:ascii="Arial" w:hAnsi="Arial" w:cs="Arial"/>
          <w:sz w:val="24"/>
          <w:szCs w:val="24"/>
        </w:rPr>
        <w:t>compactness</w:t>
      </w:r>
      <w:proofErr w:type="gramEnd"/>
      <w:r w:rsidR="00583121">
        <w:rPr>
          <w:rFonts w:ascii="Arial" w:hAnsi="Arial" w:cs="Arial"/>
          <w:sz w:val="24"/>
          <w:szCs w:val="24"/>
        </w:rPr>
        <w:t xml:space="preserve"> </w:t>
      </w:r>
      <w:r w:rsidR="00583121" w:rsidRPr="00583121">
        <w:rPr>
          <w:rFonts w:ascii="Arial" w:hAnsi="Arial" w:cs="Arial"/>
          <w:sz w:val="24"/>
          <w:szCs w:val="24"/>
        </w:rPr>
        <w:t>model</w:t>
      </w:r>
      <w:r w:rsidR="00583121">
        <w:rPr>
          <w:rFonts w:ascii="Arial" w:hAnsi="Arial" w:cs="Arial"/>
          <w:sz w:val="24"/>
          <w:szCs w:val="24"/>
        </w:rPr>
        <w:t>.</w:t>
      </w:r>
    </w:p>
    <w:p w14:paraId="7A7576E1" w14:textId="77777777" w:rsidR="00583121" w:rsidRDefault="00583121" w:rsidP="00F600C3">
      <w:pPr>
        <w:jc w:val="both"/>
        <w:rPr>
          <w:rFonts w:ascii="Arial" w:hAnsi="Arial" w:cs="Arial"/>
          <w:sz w:val="24"/>
          <w:szCs w:val="24"/>
        </w:rPr>
      </w:pPr>
    </w:p>
    <w:p w14:paraId="5097484C" w14:textId="77777777" w:rsidR="00583121" w:rsidRDefault="00583121" w:rsidP="00F600C3">
      <w:pPr>
        <w:jc w:val="both"/>
        <w:rPr>
          <w:rFonts w:ascii="Arial" w:hAnsi="Arial" w:cs="Arial"/>
          <w:sz w:val="24"/>
          <w:szCs w:val="24"/>
        </w:rPr>
      </w:pPr>
    </w:p>
    <w:p w14:paraId="3C344F94" w14:textId="77777777" w:rsidR="00583121" w:rsidRDefault="00583121" w:rsidP="00F600C3">
      <w:pPr>
        <w:jc w:val="both"/>
        <w:rPr>
          <w:rFonts w:ascii="Arial" w:hAnsi="Arial" w:cs="Arial"/>
          <w:sz w:val="24"/>
          <w:szCs w:val="24"/>
        </w:rPr>
      </w:pPr>
    </w:p>
    <w:p w14:paraId="7C331629" w14:textId="77777777" w:rsidR="00583121" w:rsidRDefault="00583121" w:rsidP="00F600C3">
      <w:pPr>
        <w:jc w:val="both"/>
        <w:rPr>
          <w:rFonts w:ascii="Arial" w:hAnsi="Arial" w:cs="Arial"/>
          <w:sz w:val="24"/>
          <w:szCs w:val="24"/>
        </w:rPr>
      </w:pPr>
    </w:p>
    <w:p w14:paraId="6E4D62DC" w14:textId="77777777" w:rsidR="00583121" w:rsidRDefault="00583121" w:rsidP="00F600C3">
      <w:pPr>
        <w:jc w:val="both"/>
        <w:rPr>
          <w:rFonts w:ascii="Arial" w:hAnsi="Arial" w:cs="Arial"/>
          <w:sz w:val="24"/>
          <w:szCs w:val="24"/>
        </w:rPr>
      </w:pPr>
    </w:p>
    <w:p w14:paraId="22DF7EEE" w14:textId="77777777" w:rsidR="00583121" w:rsidRDefault="00583121" w:rsidP="00F600C3">
      <w:pPr>
        <w:jc w:val="both"/>
        <w:rPr>
          <w:rFonts w:ascii="Arial" w:hAnsi="Arial" w:cs="Arial"/>
          <w:sz w:val="24"/>
          <w:szCs w:val="24"/>
        </w:rPr>
      </w:pPr>
    </w:p>
    <w:p w14:paraId="0F918306" w14:textId="77777777" w:rsidR="00583121" w:rsidRDefault="00583121" w:rsidP="00F600C3">
      <w:pPr>
        <w:jc w:val="both"/>
        <w:rPr>
          <w:rFonts w:ascii="Arial" w:hAnsi="Arial" w:cs="Arial"/>
          <w:sz w:val="24"/>
          <w:szCs w:val="24"/>
        </w:rPr>
      </w:pPr>
    </w:p>
    <w:p w14:paraId="57F72C60" w14:textId="77777777" w:rsidR="00583121" w:rsidRDefault="00583121" w:rsidP="00F600C3">
      <w:pPr>
        <w:jc w:val="both"/>
        <w:rPr>
          <w:rFonts w:ascii="Arial" w:hAnsi="Arial" w:cs="Arial"/>
          <w:sz w:val="24"/>
          <w:szCs w:val="24"/>
        </w:rPr>
      </w:pPr>
    </w:p>
    <w:p w14:paraId="5FD31288" w14:textId="77777777" w:rsidR="00583121" w:rsidRDefault="00583121" w:rsidP="00F600C3">
      <w:pPr>
        <w:jc w:val="both"/>
        <w:rPr>
          <w:rFonts w:ascii="Arial" w:hAnsi="Arial" w:cs="Arial"/>
          <w:sz w:val="24"/>
          <w:szCs w:val="24"/>
        </w:rPr>
      </w:pPr>
    </w:p>
    <w:p w14:paraId="63D114DA" w14:textId="77777777" w:rsidR="00583121" w:rsidRDefault="00583121" w:rsidP="00F600C3">
      <w:pPr>
        <w:jc w:val="both"/>
        <w:rPr>
          <w:rFonts w:ascii="Arial" w:hAnsi="Arial" w:cs="Arial"/>
          <w:sz w:val="24"/>
          <w:szCs w:val="24"/>
        </w:rPr>
      </w:pPr>
    </w:p>
    <w:p w14:paraId="639E2BCD" w14:textId="77777777" w:rsidR="00583121" w:rsidRDefault="00583121" w:rsidP="00F600C3">
      <w:pPr>
        <w:jc w:val="both"/>
        <w:rPr>
          <w:rFonts w:ascii="Arial" w:hAnsi="Arial" w:cs="Arial"/>
          <w:sz w:val="24"/>
          <w:szCs w:val="24"/>
        </w:rPr>
      </w:pPr>
    </w:p>
    <w:p w14:paraId="06B23745" w14:textId="77777777" w:rsidR="00583121" w:rsidRDefault="00583121" w:rsidP="00F600C3">
      <w:pPr>
        <w:jc w:val="both"/>
        <w:rPr>
          <w:rFonts w:ascii="Arial" w:hAnsi="Arial" w:cs="Arial"/>
          <w:sz w:val="24"/>
          <w:szCs w:val="24"/>
        </w:rPr>
      </w:pPr>
    </w:p>
    <w:p w14:paraId="39C40B58" w14:textId="77777777" w:rsidR="00583121" w:rsidRDefault="00583121" w:rsidP="00F600C3">
      <w:pPr>
        <w:jc w:val="both"/>
        <w:rPr>
          <w:rFonts w:ascii="Arial" w:hAnsi="Arial" w:cs="Arial"/>
          <w:sz w:val="24"/>
          <w:szCs w:val="24"/>
        </w:rPr>
      </w:pPr>
    </w:p>
    <w:p w14:paraId="1B92CF6D" w14:textId="77777777" w:rsidR="00583121" w:rsidRDefault="00583121" w:rsidP="00F600C3">
      <w:pPr>
        <w:jc w:val="both"/>
        <w:rPr>
          <w:rFonts w:ascii="Arial" w:hAnsi="Arial" w:cs="Arial"/>
          <w:sz w:val="24"/>
          <w:szCs w:val="24"/>
        </w:rPr>
      </w:pPr>
    </w:p>
    <w:p w14:paraId="424805B0" w14:textId="77777777" w:rsidR="00583121" w:rsidRDefault="00583121" w:rsidP="00F600C3">
      <w:pPr>
        <w:jc w:val="both"/>
        <w:rPr>
          <w:rFonts w:ascii="Arial" w:hAnsi="Arial" w:cs="Arial"/>
          <w:sz w:val="24"/>
          <w:szCs w:val="24"/>
        </w:rPr>
      </w:pPr>
    </w:p>
    <w:p w14:paraId="3E50AC9E" w14:textId="77777777" w:rsidR="00583121" w:rsidRDefault="00583121" w:rsidP="00F600C3">
      <w:pPr>
        <w:jc w:val="both"/>
        <w:rPr>
          <w:rFonts w:ascii="Arial" w:hAnsi="Arial" w:cs="Arial"/>
          <w:sz w:val="24"/>
          <w:szCs w:val="24"/>
        </w:rPr>
      </w:pPr>
    </w:p>
    <w:p w14:paraId="3356513B" w14:textId="77777777" w:rsidR="00583121" w:rsidRDefault="00583121" w:rsidP="00F600C3">
      <w:pPr>
        <w:jc w:val="both"/>
        <w:rPr>
          <w:rFonts w:ascii="Arial" w:hAnsi="Arial" w:cs="Arial"/>
          <w:sz w:val="24"/>
          <w:szCs w:val="24"/>
        </w:rPr>
      </w:pPr>
    </w:p>
    <w:p w14:paraId="1FC04CE6" w14:textId="77777777" w:rsidR="00583121" w:rsidRDefault="00583121" w:rsidP="00F600C3">
      <w:pPr>
        <w:jc w:val="both"/>
        <w:rPr>
          <w:rFonts w:ascii="Arial" w:hAnsi="Arial" w:cs="Arial"/>
          <w:sz w:val="24"/>
          <w:szCs w:val="24"/>
        </w:rPr>
      </w:pPr>
    </w:p>
    <w:p w14:paraId="19FFDDA9" w14:textId="77777777" w:rsidR="00583121" w:rsidRDefault="00583121" w:rsidP="00F600C3">
      <w:pPr>
        <w:jc w:val="both"/>
        <w:rPr>
          <w:rFonts w:ascii="Arial" w:hAnsi="Arial" w:cs="Arial"/>
          <w:sz w:val="24"/>
          <w:szCs w:val="24"/>
        </w:rPr>
      </w:pPr>
    </w:p>
    <w:p w14:paraId="52F24D06" w14:textId="77777777" w:rsidR="00583121" w:rsidRDefault="00583121" w:rsidP="00F600C3">
      <w:pPr>
        <w:jc w:val="both"/>
        <w:rPr>
          <w:rFonts w:ascii="Arial" w:hAnsi="Arial" w:cs="Arial"/>
          <w:sz w:val="24"/>
          <w:szCs w:val="24"/>
        </w:rPr>
      </w:pPr>
    </w:p>
    <w:p w14:paraId="70C8F94B" w14:textId="77777777" w:rsidR="00583121" w:rsidRDefault="00583121" w:rsidP="00F600C3">
      <w:pPr>
        <w:jc w:val="both"/>
        <w:rPr>
          <w:rFonts w:ascii="Arial" w:hAnsi="Arial" w:cs="Arial"/>
          <w:sz w:val="24"/>
          <w:szCs w:val="24"/>
        </w:rPr>
      </w:pPr>
    </w:p>
    <w:p w14:paraId="6F0F8336" w14:textId="77777777" w:rsidR="00583121" w:rsidRDefault="00583121" w:rsidP="00F600C3">
      <w:pPr>
        <w:jc w:val="both"/>
        <w:rPr>
          <w:rFonts w:ascii="Arial" w:hAnsi="Arial" w:cs="Arial"/>
          <w:sz w:val="24"/>
          <w:szCs w:val="24"/>
        </w:rPr>
      </w:pPr>
    </w:p>
    <w:p w14:paraId="0E31192F" w14:textId="77777777" w:rsidR="00583121" w:rsidRDefault="00583121" w:rsidP="00F600C3">
      <w:pPr>
        <w:jc w:val="both"/>
        <w:rPr>
          <w:rFonts w:ascii="Arial" w:hAnsi="Arial" w:cs="Arial"/>
          <w:sz w:val="24"/>
          <w:szCs w:val="24"/>
        </w:rPr>
      </w:pPr>
    </w:p>
    <w:p w14:paraId="3ADF2FF8" w14:textId="62D8273F" w:rsidR="0027646A" w:rsidRDefault="0027646A" w:rsidP="00F600C3">
      <w:pPr>
        <w:jc w:val="both"/>
        <w:rPr>
          <w:rFonts w:ascii="Arial" w:hAnsi="Arial" w:cs="Arial"/>
          <w:sz w:val="24"/>
          <w:szCs w:val="24"/>
        </w:rPr>
      </w:pPr>
      <w:r w:rsidRPr="0027646A">
        <w:rPr>
          <w:rFonts w:ascii="Arial" w:hAnsi="Arial" w:cs="Arial"/>
          <w:b/>
          <w:bCs/>
          <w:sz w:val="24"/>
          <w:szCs w:val="24"/>
        </w:rPr>
        <w:lastRenderedPageBreak/>
        <w:t>Table S</w:t>
      </w:r>
      <w:r w:rsidR="008B09A2">
        <w:rPr>
          <w:rFonts w:ascii="Arial" w:hAnsi="Arial" w:cs="Arial"/>
          <w:b/>
          <w:bCs/>
          <w:sz w:val="24"/>
          <w:szCs w:val="24"/>
        </w:rPr>
        <w:t>1</w:t>
      </w:r>
      <w:r w:rsidRPr="0027646A">
        <w:rPr>
          <w:rFonts w:ascii="Arial" w:hAnsi="Arial" w:cs="Arial"/>
          <w:b/>
          <w:bCs/>
          <w:sz w:val="24"/>
          <w:szCs w:val="24"/>
        </w:rPr>
        <w:t>.</w:t>
      </w:r>
      <w:r>
        <w:rPr>
          <w:rFonts w:ascii="Arial" w:hAnsi="Arial" w:cs="Arial"/>
          <w:sz w:val="24"/>
          <w:szCs w:val="24"/>
        </w:rPr>
        <w:t xml:space="preserve"> </w:t>
      </w:r>
      <w:r w:rsidRPr="0027646A">
        <w:rPr>
          <w:rFonts w:ascii="Arial" w:hAnsi="Arial" w:cs="Arial"/>
          <w:sz w:val="24"/>
          <w:szCs w:val="24"/>
        </w:rPr>
        <w:t>Root-Mean-Square Deviation (RMSD) and standard deviation (± SD) of the VCX2 protein structure across different time intervals during a 999-nanosecond molecular dynamics simulation.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430"/>
        <w:gridCol w:w="3060"/>
      </w:tblGrid>
      <w:tr w:rsidR="0027646A" w:rsidRPr="0027646A" w14:paraId="440F3C35" w14:textId="77777777" w:rsidTr="0027646A">
        <w:trPr>
          <w:trHeight w:val="250"/>
          <w:jc w:val="center"/>
        </w:trPr>
        <w:tc>
          <w:tcPr>
            <w:tcW w:w="2065" w:type="dxa"/>
            <w:tcBorders>
              <w:top w:val="single" w:sz="4" w:space="0" w:color="auto"/>
              <w:bottom w:val="single" w:sz="4" w:space="0" w:color="auto"/>
            </w:tcBorders>
            <w:noWrap/>
            <w:hideMark/>
          </w:tcPr>
          <w:p w14:paraId="2A525F41" w14:textId="77777777" w:rsidR="0027646A" w:rsidRPr="0027646A" w:rsidRDefault="0027646A" w:rsidP="0027646A">
            <w:pPr>
              <w:jc w:val="both"/>
              <w:rPr>
                <w:rFonts w:ascii="Arial" w:hAnsi="Arial" w:cs="Arial"/>
                <w:sz w:val="24"/>
                <w:szCs w:val="24"/>
              </w:rPr>
            </w:pPr>
            <w:r w:rsidRPr="0027646A">
              <w:rPr>
                <w:rFonts w:ascii="Arial" w:hAnsi="Arial" w:cs="Arial"/>
                <w:sz w:val="24"/>
                <w:szCs w:val="24"/>
              </w:rPr>
              <w:t>Time interval (ns)</w:t>
            </w:r>
          </w:p>
        </w:tc>
        <w:tc>
          <w:tcPr>
            <w:tcW w:w="2430" w:type="dxa"/>
            <w:tcBorders>
              <w:top w:val="single" w:sz="4" w:space="0" w:color="auto"/>
              <w:bottom w:val="single" w:sz="4" w:space="0" w:color="auto"/>
            </w:tcBorders>
            <w:noWrap/>
            <w:hideMark/>
          </w:tcPr>
          <w:p w14:paraId="351D1052" w14:textId="77777777" w:rsidR="0027646A" w:rsidRPr="0027646A" w:rsidRDefault="0027646A" w:rsidP="0027646A">
            <w:pPr>
              <w:jc w:val="both"/>
              <w:rPr>
                <w:rFonts w:ascii="Arial" w:hAnsi="Arial" w:cs="Arial"/>
                <w:sz w:val="24"/>
                <w:szCs w:val="24"/>
              </w:rPr>
            </w:pPr>
            <w:r w:rsidRPr="0027646A">
              <w:rPr>
                <w:rFonts w:ascii="Arial" w:hAnsi="Arial" w:cs="Arial"/>
                <w:sz w:val="24"/>
                <w:szCs w:val="24"/>
              </w:rPr>
              <w:t>Average RMSD (nm)</w:t>
            </w:r>
          </w:p>
        </w:tc>
        <w:tc>
          <w:tcPr>
            <w:tcW w:w="3060" w:type="dxa"/>
            <w:tcBorders>
              <w:top w:val="single" w:sz="4" w:space="0" w:color="auto"/>
              <w:bottom w:val="single" w:sz="4" w:space="0" w:color="auto"/>
            </w:tcBorders>
            <w:noWrap/>
            <w:hideMark/>
          </w:tcPr>
          <w:p w14:paraId="3707DF53" w14:textId="77777777" w:rsidR="0027646A" w:rsidRPr="0027646A" w:rsidRDefault="0027646A" w:rsidP="0027646A">
            <w:pPr>
              <w:jc w:val="both"/>
              <w:rPr>
                <w:rFonts w:ascii="Arial" w:hAnsi="Arial" w:cs="Arial"/>
                <w:sz w:val="24"/>
                <w:szCs w:val="24"/>
              </w:rPr>
            </w:pPr>
            <w:r w:rsidRPr="0027646A">
              <w:rPr>
                <w:rFonts w:ascii="Arial" w:hAnsi="Arial" w:cs="Arial"/>
                <w:sz w:val="24"/>
                <w:szCs w:val="24"/>
              </w:rPr>
              <w:t xml:space="preserve"> Standard Deviation (±nm)</w:t>
            </w:r>
          </w:p>
        </w:tc>
      </w:tr>
      <w:tr w:rsidR="0027646A" w:rsidRPr="0027646A" w14:paraId="7ACFE968" w14:textId="77777777" w:rsidTr="0027646A">
        <w:trPr>
          <w:trHeight w:val="250"/>
          <w:jc w:val="center"/>
        </w:trPr>
        <w:tc>
          <w:tcPr>
            <w:tcW w:w="2065" w:type="dxa"/>
            <w:tcBorders>
              <w:top w:val="single" w:sz="4" w:space="0" w:color="auto"/>
            </w:tcBorders>
            <w:noWrap/>
            <w:hideMark/>
          </w:tcPr>
          <w:p w14:paraId="17859AEB"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0–100</w:t>
            </w:r>
          </w:p>
        </w:tc>
        <w:tc>
          <w:tcPr>
            <w:tcW w:w="2430" w:type="dxa"/>
            <w:tcBorders>
              <w:top w:val="single" w:sz="4" w:space="0" w:color="auto"/>
            </w:tcBorders>
            <w:noWrap/>
            <w:hideMark/>
          </w:tcPr>
          <w:p w14:paraId="7B94DECB"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0,0000</w:t>
            </w:r>
          </w:p>
        </w:tc>
        <w:tc>
          <w:tcPr>
            <w:tcW w:w="3060" w:type="dxa"/>
            <w:tcBorders>
              <w:top w:val="single" w:sz="4" w:space="0" w:color="auto"/>
            </w:tcBorders>
            <w:noWrap/>
            <w:hideMark/>
          </w:tcPr>
          <w:p w14:paraId="1933FF25"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0,0000</w:t>
            </w:r>
          </w:p>
        </w:tc>
      </w:tr>
      <w:tr w:rsidR="0027646A" w:rsidRPr="0027646A" w14:paraId="36324163" w14:textId="77777777" w:rsidTr="0027646A">
        <w:trPr>
          <w:trHeight w:val="250"/>
          <w:jc w:val="center"/>
        </w:trPr>
        <w:tc>
          <w:tcPr>
            <w:tcW w:w="2065" w:type="dxa"/>
            <w:noWrap/>
            <w:hideMark/>
          </w:tcPr>
          <w:p w14:paraId="153A391D"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100–250</w:t>
            </w:r>
          </w:p>
        </w:tc>
        <w:tc>
          <w:tcPr>
            <w:tcW w:w="2430" w:type="dxa"/>
            <w:noWrap/>
            <w:hideMark/>
          </w:tcPr>
          <w:p w14:paraId="75ADCA99" w14:textId="483326F1" w:rsidR="0027646A" w:rsidRPr="0027646A" w:rsidRDefault="0027646A" w:rsidP="0027646A">
            <w:pPr>
              <w:jc w:val="center"/>
              <w:rPr>
                <w:rFonts w:ascii="Arial" w:hAnsi="Arial" w:cs="Arial"/>
                <w:sz w:val="24"/>
                <w:szCs w:val="24"/>
              </w:rPr>
            </w:pPr>
            <w:r w:rsidRPr="0027646A">
              <w:rPr>
                <w:rFonts w:ascii="Arial" w:hAnsi="Arial" w:cs="Arial"/>
                <w:sz w:val="24"/>
                <w:szCs w:val="24"/>
              </w:rPr>
              <w:t>0,</w:t>
            </w:r>
            <w:r w:rsidR="009C5F64">
              <w:rPr>
                <w:rFonts w:ascii="Arial" w:hAnsi="Arial" w:cs="Arial"/>
                <w:sz w:val="24"/>
                <w:szCs w:val="24"/>
              </w:rPr>
              <w:t>0</w:t>
            </w:r>
            <w:r w:rsidRPr="0027646A">
              <w:rPr>
                <w:rFonts w:ascii="Arial" w:hAnsi="Arial" w:cs="Arial"/>
                <w:sz w:val="24"/>
                <w:szCs w:val="24"/>
              </w:rPr>
              <w:t>556</w:t>
            </w:r>
          </w:p>
        </w:tc>
        <w:tc>
          <w:tcPr>
            <w:tcW w:w="3060" w:type="dxa"/>
            <w:noWrap/>
            <w:hideMark/>
          </w:tcPr>
          <w:p w14:paraId="27425136" w14:textId="57FD22CB" w:rsidR="0027646A" w:rsidRPr="0027646A" w:rsidRDefault="0027646A" w:rsidP="0027646A">
            <w:pPr>
              <w:jc w:val="center"/>
              <w:rPr>
                <w:rFonts w:ascii="Arial" w:hAnsi="Arial" w:cs="Arial"/>
                <w:sz w:val="24"/>
                <w:szCs w:val="24"/>
              </w:rPr>
            </w:pPr>
            <w:r w:rsidRPr="0027646A">
              <w:rPr>
                <w:rFonts w:ascii="Arial" w:hAnsi="Arial" w:cs="Arial"/>
                <w:sz w:val="24"/>
                <w:szCs w:val="24"/>
              </w:rPr>
              <w:t>0,</w:t>
            </w:r>
            <w:r w:rsidR="00A426D9">
              <w:rPr>
                <w:rFonts w:ascii="Arial" w:hAnsi="Arial" w:cs="Arial"/>
                <w:sz w:val="24"/>
                <w:szCs w:val="24"/>
              </w:rPr>
              <w:t>0</w:t>
            </w:r>
            <w:r w:rsidRPr="0027646A">
              <w:rPr>
                <w:rFonts w:ascii="Arial" w:hAnsi="Arial" w:cs="Arial"/>
                <w:sz w:val="24"/>
                <w:szCs w:val="24"/>
              </w:rPr>
              <w:t>291</w:t>
            </w:r>
          </w:p>
        </w:tc>
      </w:tr>
      <w:tr w:rsidR="0027646A" w:rsidRPr="0027646A" w14:paraId="18CE140D" w14:textId="77777777" w:rsidTr="0027646A">
        <w:trPr>
          <w:trHeight w:val="250"/>
          <w:jc w:val="center"/>
        </w:trPr>
        <w:tc>
          <w:tcPr>
            <w:tcW w:w="2065" w:type="dxa"/>
            <w:noWrap/>
            <w:hideMark/>
          </w:tcPr>
          <w:p w14:paraId="4103325B"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250–500</w:t>
            </w:r>
          </w:p>
        </w:tc>
        <w:tc>
          <w:tcPr>
            <w:tcW w:w="2430" w:type="dxa"/>
            <w:noWrap/>
            <w:hideMark/>
          </w:tcPr>
          <w:p w14:paraId="32AF9A29" w14:textId="1F939B2E" w:rsidR="0027646A" w:rsidRPr="0027646A" w:rsidRDefault="0027646A" w:rsidP="0027646A">
            <w:pPr>
              <w:jc w:val="center"/>
              <w:rPr>
                <w:rFonts w:ascii="Arial" w:hAnsi="Arial" w:cs="Arial"/>
                <w:sz w:val="24"/>
                <w:szCs w:val="24"/>
              </w:rPr>
            </w:pPr>
            <w:r w:rsidRPr="0027646A">
              <w:rPr>
                <w:rFonts w:ascii="Arial" w:hAnsi="Arial" w:cs="Arial"/>
                <w:sz w:val="24"/>
                <w:szCs w:val="24"/>
              </w:rPr>
              <w:t>0,185</w:t>
            </w:r>
            <w:r w:rsidR="009C5F64">
              <w:rPr>
                <w:rFonts w:ascii="Arial" w:hAnsi="Arial" w:cs="Arial"/>
                <w:sz w:val="24"/>
                <w:szCs w:val="24"/>
              </w:rPr>
              <w:t>2</w:t>
            </w:r>
          </w:p>
        </w:tc>
        <w:tc>
          <w:tcPr>
            <w:tcW w:w="3060" w:type="dxa"/>
            <w:noWrap/>
            <w:hideMark/>
          </w:tcPr>
          <w:p w14:paraId="15B9ED37" w14:textId="3B54F647" w:rsidR="0027646A" w:rsidRPr="0027646A" w:rsidRDefault="0027646A" w:rsidP="0027646A">
            <w:pPr>
              <w:jc w:val="center"/>
              <w:rPr>
                <w:rFonts w:ascii="Arial" w:hAnsi="Arial" w:cs="Arial"/>
                <w:sz w:val="24"/>
                <w:szCs w:val="24"/>
              </w:rPr>
            </w:pPr>
            <w:r w:rsidRPr="0027646A">
              <w:rPr>
                <w:rFonts w:ascii="Arial" w:hAnsi="Arial" w:cs="Arial"/>
                <w:sz w:val="24"/>
                <w:szCs w:val="24"/>
              </w:rPr>
              <w:t>0,</w:t>
            </w:r>
            <w:r w:rsidR="00A426D9">
              <w:rPr>
                <w:rFonts w:ascii="Arial" w:hAnsi="Arial" w:cs="Arial"/>
                <w:sz w:val="24"/>
                <w:szCs w:val="24"/>
              </w:rPr>
              <w:t>0</w:t>
            </w:r>
            <w:r w:rsidRPr="0027646A">
              <w:rPr>
                <w:rFonts w:ascii="Arial" w:hAnsi="Arial" w:cs="Arial"/>
                <w:sz w:val="24"/>
                <w:szCs w:val="24"/>
              </w:rPr>
              <w:t>884</w:t>
            </w:r>
          </w:p>
        </w:tc>
      </w:tr>
      <w:tr w:rsidR="0027646A" w:rsidRPr="0027646A" w14:paraId="184B9A74" w14:textId="77777777" w:rsidTr="0027646A">
        <w:trPr>
          <w:trHeight w:val="250"/>
          <w:jc w:val="center"/>
        </w:trPr>
        <w:tc>
          <w:tcPr>
            <w:tcW w:w="2065" w:type="dxa"/>
            <w:noWrap/>
            <w:hideMark/>
          </w:tcPr>
          <w:p w14:paraId="34E3EB9F"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500–750</w:t>
            </w:r>
          </w:p>
        </w:tc>
        <w:tc>
          <w:tcPr>
            <w:tcW w:w="2430" w:type="dxa"/>
            <w:noWrap/>
            <w:hideMark/>
          </w:tcPr>
          <w:p w14:paraId="26D315BE" w14:textId="7CB4FDE3" w:rsidR="0027646A" w:rsidRPr="0027646A" w:rsidRDefault="0027646A" w:rsidP="0027646A">
            <w:pPr>
              <w:jc w:val="center"/>
              <w:rPr>
                <w:rFonts w:ascii="Arial" w:hAnsi="Arial" w:cs="Arial"/>
                <w:sz w:val="24"/>
                <w:szCs w:val="24"/>
              </w:rPr>
            </w:pPr>
            <w:r w:rsidRPr="0027646A">
              <w:rPr>
                <w:rFonts w:ascii="Arial" w:hAnsi="Arial" w:cs="Arial"/>
                <w:sz w:val="24"/>
                <w:szCs w:val="24"/>
              </w:rPr>
              <w:t>0,297</w:t>
            </w:r>
            <w:r w:rsidR="009C5F64">
              <w:rPr>
                <w:rFonts w:ascii="Arial" w:hAnsi="Arial" w:cs="Arial"/>
                <w:sz w:val="24"/>
                <w:szCs w:val="24"/>
              </w:rPr>
              <w:t>6</w:t>
            </w:r>
          </w:p>
        </w:tc>
        <w:tc>
          <w:tcPr>
            <w:tcW w:w="3060" w:type="dxa"/>
            <w:noWrap/>
            <w:hideMark/>
          </w:tcPr>
          <w:p w14:paraId="0AF5F1D8" w14:textId="47F64E61" w:rsidR="0027646A" w:rsidRPr="0027646A" w:rsidRDefault="0027646A" w:rsidP="0027646A">
            <w:pPr>
              <w:jc w:val="center"/>
              <w:rPr>
                <w:rFonts w:ascii="Arial" w:hAnsi="Arial" w:cs="Arial"/>
                <w:sz w:val="24"/>
                <w:szCs w:val="24"/>
              </w:rPr>
            </w:pPr>
            <w:r w:rsidRPr="0027646A">
              <w:rPr>
                <w:rFonts w:ascii="Arial" w:hAnsi="Arial" w:cs="Arial"/>
                <w:sz w:val="24"/>
                <w:szCs w:val="24"/>
              </w:rPr>
              <w:t>0,</w:t>
            </w:r>
            <w:r w:rsidR="00A426D9">
              <w:rPr>
                <w:rFonts w:ascii="Arial" w:hAnsi="Arial" w:cs="Arial"/>
                <w:sz w:val="24"/>
                <w:szCs w:val="24"/>
              </w:rPr>
              <w:t>0</w:t>
            </w:r>
            <w:r w:rsidRPr="0027646A">
              <w:rPr>
                <w:rFonts w:ascii="Arial" w:hAnsi="Arial" w:cs="Arial"/>
                <w:sz w:val="24"/>
                <w:szCs w:val="24"/>
              </w:rPr>
              <w:t>572</w:t>
            </w:r>
          </w:p>
        </w:tc>
      </w:tr>
      <w:tr w:rsidR="0027646A" w:rsidRPr="0027646A" w14:paraId="5C91F621" w14:textId="77777777" w:rsidTr="0027646A">
        <w:trPr>
          <w:trHeight w:val="250"/>
          <w:jc w:val="center"/>
        </w:trPr>
        <w:tc>
          <w:tcPr>
            <w:tcW w:w="2065" w:type="dxa"/>
            <w:noWrap/>
            <w:hideMark/>
          </w:tcPr>
          <w:p w14:paraId="27710359" w14:textId="77777777" w:rsidR="0027646A" w:rsidRPr="0027646A" w:rsidRDefault="0027646A" w:rsidP="0027646A">
            <w:pPr>
              <w:jc w:val="center"/>
              <w:rPr>
                <w:rFonts w:ascii="Arial" w:hAnsi="Arial" w:cs="Arial"/>
                <w:sz w:val="24"/>
                <w:szCs w:val="24"/>
              </w:rPr>
            </w:pPr>
            <w:r w:rsidRPr="0027646A">
              <w:rPr>
                <w:rFonts w:ascii="Arial" w:hAnsi="Arial" w:cs="Arial"/>
                <w:sz w:val="24"/>
                <w:szCs w:val="24"/>
              </w:rPr>
              <w:t>750–999</w:t>
            </w:r>
          </w:p>
        </w:tc>
        <w:tc>
          <w:tcPr>
            <w:tcW w:w="2430" w:type="dxa"/>
            <w:noWrap/>
            <w:hideMark/>
          </w:tcPr>
          <w:p w14:paraId="359A3171" w14:textId="4E390CD9" w:rsidR="0027646A" w:rsidRPr="0027646A" w:rsidRDefault="0027646A" w:rsidP="0027646A">
            <w:pPr>
              <w:jc w:val="center"/>
              <w:rPr>
                <w:rFonts w:ascii="Arial" w:hAnsi="Arial" w:cs="Arial"/>
                <w:sz w:val="24"/>
                <w:szCs w:val="24"/>
              </w:rPr>
            </w:pPr>
            <w:r w:rsidRPr="0027646A">
              <w:rPr>
                <w:rFonts w:ascii="Arial" w:hAnsi="Arial" w:cs="Arial"/>
                <w:sz w:val="24"/>
                <w:szCs w:val="24"/>
              </w:rPr>
              <w:t>0,308</w:t>
            </w:r>
            <w:r w:rsidR="009C5F64">
              <w:rPr>
                <w:rFonts w:ascii="Arial" w:hAnsi="Arial" w:cs="Arial"/>
                <w:sz w:val="24"/>
                <w:szCs w:val="24"/>
              </w:rPr>
              <w:t>6</w:t>
            </w:r>
          </w:p>
        </w:tc>
        <w:tc>
          <w:tcPr>
            <w:tcW w:w="3060" w:type="dxa"/>
            <w:noWrap/>
            <w:hideMark/>
          </w:tcPr>
          <w:p w14:paraId="77679A28" w14:textId="0CD97B05" w:rsidR="0027646A" w:rsidRPr="0027646A" w:rsidRDefault="0027646A" w:rsidP="0027646A">
            <w:pPr>
              <w:jc w:val="center"/>
              <w:rPr>
                <w:rFonts w:ascii="Arial" w:hAnsi="Arial" w:cs="Arial"/>
                <w:sz w:val="24"/>
                <w:szCs w:val="24"/>
              </w:rPr>
            </w:pPr>
            <w:r w:rsidRPr="0027646A">
              <w:rPr>
                <w:rFonts w:ascii="Arial" w:hAnsi="Arial" w:cs="Arial"/>
                <w:sz w:val="24"/>
                <w:szCs w:val="24"/>
              </w:rPr>
              <w:t>0,</w:t>
            </w:r>
            <w:r w:rsidR="00A426D9">
              <w:rPr>
                <w:rFonts w:ascii="Arial" w:hAnsi="Arial" w:cs="Arial"/>
                <w:sz w:val="24"/>
                <w:szCs w:val="24"/>
              </w:rPr>
              <w:t>0</w:t>
            </w:r>
            <w:r w:rsidRPr="0027646A">
              <w:rPr>
                <w:rFonts w:ascii="Arial" w:hAnsi="Arial" w:cs="Arial"/>
                <w:sz w:val="24"/>
                <w:szCs w:val="24"/>
              </w:rPr>
              <w:t>619</w:t>
            </w:r>
          </w:p>
        </w:tc>
      </w:tr>
    </w:tbl>
    <w:p w14:paraId="62867D9E" w14:textId="77777777" w:rsidR="0027646A" w:rsidRDefault="0027646A" w:rsidP="00F600C3">
      <w:pPr>
        <w:jc w:val="both"/>
        <w:rPr>
          <w:rFonts w:ascii="Arial" w:hAnsi="Arial" w:cs="Arial"/>
          <w:sz w:val="24"/>
          <w:szCs w:val="24"/>
        </w:rPr>
      </w:pPr>
    </w:p>
    <w:p w14:paraId="3545CFCF" w14:textId="77777777" w:rsidR="00A5433B" w:rsidRDefault="00A5433B" w:rsidP="00F600C3">
      <w:pPr>
        <w:jc w:val="both"/>
        <w:rPr>
          <w:rFonts w:ascii="Arial" w:hAnsi="Arial" w:cs="Arial"/>
          <w:sz w:val="24"/>
          <w:szCs w:val="24"/>
        </w:rPr>
      </w:pPr>
    </w:p>
    <w:p w14:paraId="4A6A8A6F" w14:textId="77777777" w:rsidR="00A5433B" w:rsidRDefault="00A5433B" w:rsidP="00F600C3">
      <w:pPr>
        <w:jc w:val="both"/>
        <w:rPr>
          <w:rFonts w:ascii="Arial" w:hAnsi="Arial" w:cs="Arial"/>
          <w:sz w:val="24"/>
          <w:szCs w:val="24"/>
        </w:rPr>
      </w:pPr>
    </w:p>
    <w:p w14:paraId="63ECBE12" w14:textId="77777777" w:rsidR="00A5433B" w:rsidRDefault="00A5433B" w:rsidP="00F600C3">
      <w:pPr>
        <w:jc w:val="both"/>
        <w:rPr>
          <w:rFonts w:ascii="Arial" w:hAnsi="Arial" w:cs="Arial"/>
          <w:sz w:val="24"/>
          <w:szCs w:val="24"/>
        </w:rPr>
      </w:pPr>
    </w:p>
    <w:p w14:paraId="3FD84C14" w14:textId="77777777" w:rsidR="00A5433B" w:rsidRDefault="00A5433B" w:rsidP="00F600C3">
      <w:pPr>
        <w:jc w:val="both"/>
        <w:rPr>
          <w:rFonts w:ascii="Arial" w:hAnsi="Arial" w:cs="Arial"/>
          <w:sz w:val="24"/>
          <w:szCs w:val="24"/>
        </w:rPr>
      </w:pPr>
    </w:p>
    <w:p w14:paraId="510F066D" w14:textId="77777777" w:rsidR="00A5433B" w:rsidRDefault="00A5433B" w:rsidP="00F600C3">
      <w:pPr>
        <w:jc w:val="both"/>
        <w:rPr>
          <w:rFonts w:ascii="Arial" w:hAnsi="Arial" w:cs="Arial"/>
          <w:sz w:val="24"/>
          <w:szCs w:val="24"/>
        </w:rPr>
      </w:pPr>
    </w:p>
    <w:p w14:paraId="7FF6E2D7" w14:textId="77777777" w:rsidR="00A5433B" w:rsidRDefault="00A5433B" w:rsidP="00F600C3">
      <w:pPr>
        <w:jc w:val="both"/>
        <w:rPr>
          <w:rFonts w:ascii="Arial" w:hAnsi="Arial" w:cs="Arial"/>
          <w:sz w:val="24"/>
          <w:szCs w:val="24"/>
        </w:rPr>
      </w:pPr>
    </w:p>
    <w:p w14:paraId="09FDCFAD" w14:textId="77777777" w:rsidR="00A5433B" w:rsidRDefault="00A5433B" w:rsidP="00F600C3">
      <w:pPr>
        <w:jc w:val="both"/>
        <w:rPr>
          <w:rFonts w:ascii="Arial" w:hAnsi="Arial" w:cs="Arial"/>
          <w:sz w:val="24"/>
          <w:szCs w:val="24"/>
        </w:rPr>
      </w:pPr>
    </w:p>
    <w:p w14:paraId="618E2B35" w14:textId="77777777" w:rsidR="00A5433B" w:rsidRDefault="00A5433B" w:rsidP="00F600C3">
      <w:pPr>
        <w:jc w:val="both"/>
        <w:rPr>
          <w:rFonts w:ascii="Arial" w:hAnsi="Arial" w:cs="Arial"/>
          <w:sz w:val="24"/>
          <w:szCs w:val="24"/>
        </w:rPr>
      </w:pPr>
    </w:p>
    <w:p w14:paraId="2D5AF2A8" w14:textId="77777777" w:rsidR="00A5433B" w:rsidRDefault="00A5433B" w:rsidP="00F600C3">
      <w:pPr>
        <w:jc w:val="both"/>
        <w:rPr>
          <w:rFonts w:ascii="Arial" w:hAnsi="Arial" w:cs="Arial"/>
          <w:sz w:val="24"/>
          <w:szCs w:val="24"/>
        </w:rPr>
      </w:pPr>
    </w:p>
    <w:p w14:paraId="69B8666B" w14:textId="77777777" w:rsidR="00A5433B" w:rsidRDefault="00A5433B" w:rsidP="00F600C3">
      <w:pPr>
        <w:jc w:val="both"/>
        <w:rPr>
          <w:rFonts w:ascii="Arial" w:hAnsi="Arial" w:cs="Arial"/>
          <w:sz w:val="24"/>
          <w:szCs w:val="24"/>
        </w:rPr>
      </w:pPr>
    </w:p>
    <w:p w14:paraId="7F61CF9A" w14:textId="77777777" w:rsidR="00A5433B" w:rsidRDefault="00A5433B" w:rsidP="00F600C3">
      <w:pPr>
        <w:jc w:val="both"/>
        <w:rPr>
          <w:rFonts w:ascii="Arial" w:hAnsi="Arial" w:cs="Arial"/>
          <w:sz w:val="24"/>
          <w:szCs w:val="24"/>
        </w:rPr>
      </w:pPr>
    </w:p>
    <w:p w14:paraId="7C31B512" w14:textId="77777777" w:rsidR="00A5433B" w:rsidRDefault="00A5433B" w:rsidP="00F600C3">
      <w:pPr>
        <w:jc w:val="both"/>
        <w:rPr>
          <w:rFonts w:ascii="Arial" w:hAnsi="Arial" w:cs="Arial"/>
          <w:sz w:val="24"/>
          <w:szCs w:val="24"/>
        </w:rPr>
      </w:pPr>
    </w:p>
    <w:p w14:paraId="01E05528" w14:textId="77777777" w:rsidR="00A5433B" w:rsidRDefault="00A5433B" w:rsidP="00F600C3">
      <w:pPr>
        <w:jc w:val="both"/>
        <w:rPr>
          <w:rFonts w:ascii="Arial" w:hAnsi="Arial" w:cs="Arial"/>
          <w:sz w:val="24"/>
          <w:szCs w:val="24"/>
        </w:rPr>
      </w:pPr>
    </w:p>
    <w:p w14:paraId="384D3ABE" w14:textId="77777777" w:rsidR="00A5433B" w:rsidRDefault="00A5433B" w:rsidP="00F600C3">
      <w:pPr>
        <w:jc w:val="both"/>
        <w:rPr>
          <w:rFonts w:ascii="Arial" w:hAnsi="Arial" w:cs="Arial"/>
          <w:sz w:val="24"/>
          <w:szCs w:val="24"/>
        </w:rPr>
      </w:pPr>
    </w:p>
    <w:p w14:paraId="15DD717C" w14:textId="77777777" w:rsidR="00A5433B" w:rsidRDefault="00A5433B" w:rsidP="00F600C3">
      <w:pPr>
        <w:jc w:val="both"/>
        <w:rPr>
          <w:rFonts w:ascii="Arial" w:hAnsi="Arial" w:cs="Arial"/>
          <w:sz w:val="24"/>
          <w:szCs w:val="24"/>
        </w:rPr>
      </w:pPr>
    </w:p>
    <w:p w14:paraId="0F53948C" w14:textId="77777777" w:rsidR="00A5433B" w:rsidRDefault="00A5433B" w:rsidP="00F600C3">
      <w:pPr>
        <w:jc w:val="both"/>
        <w:rPr>
          <w:rFonts w:ascii="Arial" w:hAnsi="Arial" w:cs="Arial"/>
          <w:sz w:val="24"/>
          <w:szCs w:val="24"/>
        </w:rPr>
      </w:pPr>
    </w:p>
    <w:p w14:paraId="1EBCA28A" w14:textId="77777777" w:rsidR="00A5433B" w:rsidRDefault="00A5433B" w:rsidP="00F600C3">
      <w:pPr>
        <w:jc w:val="both"/>
        <w:rPr>
          <w:rFonts w:ascii="Arial" w:hAnsi="Arial" w:cs="Arial"/>
          <w:sz w:val="24"/>
          <w:szCs w:val="24"/>
        </w:rPr>
      </w:pPr>
    </w:p>
    <w:p w14:paraId="2E59E19B" w14:textId="77777777" w:rsidR="00A5433B" w:rsidRDefault="00A5433B" w:rsidP="00F600C3">
      <w:pPr>
        <w:jc w:val="both"/>
        <w:rPr>
          <w:rFonts w:ascii="Arial" w:hAnsi="Arial" w:cs="Arial"/>
          <w:sz w:val="24"/>
          <w:szCs w:val="24"/>
        </w:rPr>
      </w:pPr>
    </w:p>
    <w:p w14:paraId="6C3FA53D" w14:textId="77777777" w:rsidR="00A5433B" w:rsidRDefault="00A5433B" w:rsidP="00F600C3">
      <w:pPr>
        <w:jc w:val="both"/>
        <w:rPr>
          <w:rFonts w:ascii="Arial" w:hAnsi="Arial" w:cs="Arial"/>
          <w:sz w:val="24"/>
          <w:szCs w:val="24"/>
        </w:rPr>
      </w:pPr>
    </w:p>
    <w:p w14:paraId="50392EB0" w14:textId="77777777" w:rsidR="00A5433B" w:rsidRDefault="00A5433B" w:rsidP="00F600C3">
      <w:pPr>
        <w:jc w:val="both"/>
        <w:rPr>
          <w:rFonts w:ascii="Arial" w:hAnsi="Arial" w:cs="Arial"/>
          <w:sz w:val="24"/>
          <w:szCs w:val="24"/>
        </w:rPr>
      </w:pPr>
    </w:p>
    <w:p w14:paraId="5245453F" w14:textId="77777777" w:rsidR="00A5433B" w:rsidRDefault="00A5433B" w:rsidP="00F600C3">
      <w:pPr>
        <w:jc w:val="both"/>
        <w:rPr>
          <w:rFonts w:ascii="Arial" w:hAnsi="Arial" w:cs="Arial"/>
          <w:sz w:val="24"/>
          <w:szCs w:val="24"/>
        </w:rPr>
      </w:pPr>
    </w:p>
    <w:p w14:paraId="291A9601" w14:textId="422C248C" w:rsidR="00153355" w:rsidRPr="002B3159" w:rsidRDefault="00153355" w:rsidP="00F600C3">
      <w:pPr>
        <w:jc w:val="both"/>
        <w:rPr>
          <w:rFonts w:ascii="Arial" w:hAnsi="Arial" w:cs="Arial"/>
          <w:b/>
          <w:bCs/>
          <w:sz w:val="24"/>
          <w:szCs w:val="24"/>
        </w:rPr>
      </w:pPr>
      <w:r w:rsidRPr="002B3159">
        <w:rPr>
          <w:rFonts w:ascii="Arial" w:hAnsi="Arial" w:cs="Arial"/>
          <w:b/>
          <w:bCs/>
          <w:sz w:val="24"/>
          <w:szCs w:val="24"/>
        </w:rPr>
        <w:lastRenderedPageBreak/>
        <w:t xml:space="preserve">References </w:t>
      </w:r>
    </w:p>
    <w:p w14:paraId="62A77263" w14:textId="77777777" w:rsidR="00153355" w:rsidRDefault="00153355" w:rsidP="00F600C3">
      <w:pPr>
        <w:jc w:val="both"/>
        <w:rPr>
          <w:rFonts w:ascii="Arial" w:hAnsi="Arial" w:cs="Arial"/>
          <w:sz w:val="24"/>
          <w:szCs w:val="24"/>
        </w:rPr>
      </w:pPr>
    </w:p>
    <w:p w14:paraId="38877437" w14:textId="2708A0CC" w:rsidR="002B3159" w:rsidRPr="002B3159" w:rsidRDefault="00153355" w:rsidP="002B3159">
      <w:pPr>
        <w:widowControl w:val="0"/>
        <w:autoSpaceDE w:val="0"/>
        <w:autoSpaceDN w:val="0"/>
        <w:adjustRightInd w:val="0"/>
        <w:spacing w:line="240" w:lineRule="auto"/>
        <w:ind w:left="640" w:hanging="640"/>
        <w:rPr>
          <w:rFonts w:ascii="Arial" w:hAnsi="Arial" w:cs="Arial"/>
          <w:noProof/>
          <w:sz w:val="24"/>
        </w:rPr>
      </w:pPr>
      <w:r>
        <w:rPr>
          <w:rFonts w:ascii="Arial" w:hAnsi="Arial" w:cs="Arial"/>
          <w:sz w:val="24"/>
          <w:szCs w:val="24"/>
        </w:rPr>
        <w:fldChar w:fldCharType="begin" w:fldLock="1"/>
      </w:r>
      <w:r>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002B3159" w:rsidRPr="002B3159">
        <w:rPr>
          <w:rFonts w:ascii="Arial" w:hAnsi="Arial" w:cs="Arial"/>
          <w:noProof/>
          <w:sz w:val="24"/>
        </w:rPr>
        <w:t>1.</w:t>
      </w:r>
      <w:r w:rsidR="002B3159" w:rsidRPr="002B3159">
        <w:rPr>
          <w:rFonts w:ascii="Arial" w:hAnsi="Arial" w:cs="Arial"/>
          <w:noProof/>
          <w:sz w:val="24"/>
        </w:rPr>
        <w:tab/>
        <w:t xml:space="preserve">Xu, S. </w:t>
      </w:r>
      <w:r w:rsidR="002B3159" w:rsidRPr="002B3159">
        <w:rPr>
          <w:rFonts w:ascii="Arial" w:hAnsi="Arial" w:cs="Arial"/>
          <w:i/>
          <w:iCs/>
          <w:noProof/>
          <w:sz w:val="24"/>
        </w:rPr>
        <w:t>et al.</w:t>
      </w:r>
      <w:r w:rsidR="002B3159" w:rsidRPr="002B3159">
        <w:rPr>
          <w:rFonts w:ascii="Arial" w:hAnsi="Arial" w:cs="Arial"/>
          <w:noProof/>
          <w:sz w:val="24"/>
        </w:rPr>
        <w:t xml:space="preserve"> Using clusterProfiler to characterize multiomics data. </w:t>
      </w:r>
      <w:r w:rsidR="002B3159" w:rsidRPr="002B3159">
        <w:rPr>
          <w:rFonts w:ascii="Arial" w:hAnsi="Arial" w:cs="Arial"/>
          <w:i/>
          <w:iCs/>
          <w:noProof/>
          <w:sz w:val="24"/>
        </w:rPr>
        <w:t>Nat. Protoc.</w:t>
      </w:r>
      <w:r w:rsidR="002B3159" w:rsidRPr="002B3159">
        <w:rPr>
          <w:rFonts w:ascii="Arial" w:hAnsi="Arial" w:cs="Arial"/>
          <w:noProof/>
          <w:sz w:val="24"/>
        </w:rPr>
        <w:t xml:space="preserve"> 1–29 (2024).</w:t>
      </w:r>
    </w:p>
    <w:p w14:paraId="3F8244A9"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2.</w:t>
      </w:r>
      <w:r w:rsidRPr="002B3159">
        <w:rPr>
          <w:rFonts w:ascii="Arial" w:hAnsi="Arial" w:cs="Arial"/>
          <w:noProof/>
          <w:sz w:val="24"/>
        </w:rPr>
        <w:tab/>
        <w:t xml:space="preserve">Yu, G. Enrichplot: visualization of functional enrichment result. </w:t>
      </w:r>
      <w:r w:rsidRPr="002B3159">
        <w:rPr>
          <w:rFonts w:ascii="Arial" w:hAnsi="Arial" w:cs="Arial"/>
          <w:i/>
          <w:iCs/>
          <w:noProof/>
          <w:sz w:val="24"/>
        </w:rPr>
        <w:t>R Packag. version</w:t>
      </w:r>
      <w:r w:rsidRPr="002B3159">
        <w:rPr>
          <w:rFonts w:ascii="Arial" w:hAnsi="Arial" w:cs="Arial"/>
          <w:noProof/>
          <w:sz w:val="24"/>
        </w:rPr>
        <w:t xml:space="preserve"> </w:t>
      </w:r>
      <w:r w:rsidRPr="002B3159">
        <w:rPr>
          <w:rFonts w:ascii="Arial" w:hAnsi="Arial" w:cs="Arial"/>
          <w:b/>
          <w:bCs/>
          <w:noProof/>
          <w:sz w:val="24"/>
        </w:rPr>
        <w:t>1,</w:t>
      </w:r>
      <w:r w:rsidRPr="002B3159">
        <w:rPr>
          <w:rFonts w:ascii="Arial" w:hAnsi="Arial" w:cs="Arial"/>
          <w:noProof/>
          <w:sz w:val="24"/>
        </w:rPr>
        <w:t xml:space="preserve"> (2021).</w:t>
      </w:r>
    </w:p>
    <w:p w14:paraId="0390E9B4"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3.</w:t>
      </w:r>
      <w:r w:rsidRPr="002B3159">
        <w:rPr>
          <w:rFonts w:ascii="Arial" w:hAnsi="Arial" w:cs="Arial"/>
          <w:noProof/>
          <w:sz w:val="24"/>
        </w:rPr>
        <w:tab/>
        <w:t xml:space="preserve">Blanco-Carmona, E. Generating publication ready visualizations for Single Cell transcriptomics using SCpubr. </w:t>
      </w:r>
      <w:r w:rsidRPr="002B3159">
        <w:rPr>
          <w:rFonts w:ascii="Arial" w:hAnsi="Arial" w:cs="Arial"/>
          <w:i/>
          <w:iCs/>
          <w:noProof/>
          <w:sz w:val="24"/>
        </w:rPr>
        <w:t>bioRxiv</w:t>
      </w:r>
      <w:r w:rsidRPr="002B3159">
        <w:rPr>
          <w:rFonts w:ascii="Arial" w:hAnsi="Arial" w:cs="Arial"/>
          <w:noProof/>
          <w:sz w:val="24"/>
        </w:rPr>
        <w:t xml:space="preserve"> 2002–2022 (2022).</w:t>
      </w:r>
    </w:p>
    <w:p w14:paraId="69625DDA"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4.</w:t>
      </w:r>
      <w:r w:rsidRPr="002B3159">
        <w:rPr>
          <w:rFonts w:ascii="Arial" w:hAnsi="Arial" w:cs="Arial"/>
          <w:noProof/>
          <w:sz w:val="24"/>
        </w:rPr>
        <w:tab/>
        <w:t xml:space="preserve">D’Avola, D. </w:t>
      </w:r>
      <w:r w:rsidRPr="002B3159">
        <w:rPr>
          <w:rFonts w:ascii="Arial" w:hAnsi="Arial" w:cs="Arial"/>
          <w:i/>
          <w:iCs/>
          <w:noProof/>
          <w:sz w:val="24"/>
        </w:rPr>
        <w:t>et al.</w:t>
      </w:r>
      <w:r w:rsidRPr="002B3159">
        <w:rPr>
          <w:rFonts w:ascii="Arial" w:hAnsi="Arial" w:cs="Arial"/>
          <w:noProof/>
          <w:sz w:val="24"/>
        </w:rPr>
        <w:t xml:space="preserve"> High-density single cell mRNA sequencing to characterize circulating tumor cells in hepatocellular carcinoma. </w:t>
      </w:r>
      <w:r w:rsidRPr="002B3159">
        <w:rPr>
          <w:rFonts w:ascii="Arial" w:hAnsi="Arial" w:cs="Arial"/>
          <w:i/>
          <w:iCs/>
          <w:noProof/>
          <w:sz w:val="24"/>
        </w:rPr>
        <w:t>Sci. Rep.</w:t>
      </w:r>
      <w:r w:rsidRPr="002B3159">
        <w:rPr>
          <w:rFonts w:ascii="Arial" w:hAnsi="Arial" w:cs="Arial"/>
          <w:noProof/>
          <w:sz w:val="24"/>
        </w:rPr>
        <w:t xml:space="preserve"> </w:t>
      </w:r>
      <w:r w:rsidRPr="002B3159">
        <w:rPr>
          <w:rFonts w:ascii="Arial" w:hAnsi="Arial" w:cs="Arial"/>
          <w:b/>
          <w:bCs/>
          <w:noProof/>
          <w:sz w:val="24"/>
        </w:rPr>
        <w:t>8,</w:t>
      </w:r>
      <w:r w:rsidRPr="002B3159">
        <w:rPr>
          <w:rFonts w:ascii="Arial" w:hAnsi="Arial" w:cs="Arial"/>
          <w:noProof/>
          <w:sz w:val="24"/>
        </w:rPr>
        <w:t xml:space="preserve"> 11570 (2018).</w:t>
      </w:r>
    </w:p>
    <w:p w14:paraId="7DB76EA0"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5.</w:t>
      </w:r>
      <w:r w:rsidRPr="002B3159">
        <w:rPr>
          <w:rFonts w:ascii="Arial" w:hAnsi="Arial" w:cs="Arial"/>
          <w:noProof/>
          <w:sz w:val="24"/>
        </w:rPr>
        <w:tab/>
        <w:t xml:space="preserve">Lee, H. W. </w:t>
      </w:r>
      <w:r w:rsidRPr="002B3159">
        <w:rPr>
          <w:rFonts w:ascii="Arial" w:hAnsi="Arial" w:cs="Arial"/>
          <w:i/>
          <w:iCs/>
          <w:noProof/>
          <w:sz w:val="24"/>
        </w:rPr>
        <w:t>et al.</w:t>
      </w:r>
      <w:r w:rsidRPr="002B3159">
        <w:rPr>
          <w:rFonts w:ascii="Arial" w:hAnsi="Arial" w:cs="Arial"/>
          <w:noProof/>
          <w:sz w:val="24"/>
        </w:rPr>
        <w:t xml:space="preserve"> Single-cell RNA sequencing reveals the tumor microenvironment and facilitates strategic choices to circumvent treatment failure in a chemorefractory bladder cancer patient. </w:t>
      </w:r>
      <w:r w:rsidRPr="002B3159">
        <w:rPr>
          <w:rFonts w:ascii="Arial" w:hAnsi="Arial" w:cs="Arial"/>
          <w:i/>
          <w:iCs/>
          <w:noProof/>
          <w:sz w:val="24"/>
        </w:rPr>
        <w:t>Genome Med.</w:t>
      </w:r>
      <w:r w:rsidRPr="002B3159">
        <w:rPr>
          <w:rFonts w:ascii="Arial" w:hAnsi="Arial" w:cs="Arial"/>
          <w:noProof/>
          <w:sz w:val="24"/>
        </w:rPr>
        <w:t xml:space="preserve"> </w:t>
      </w:r>
      <w:r w:rsidRPr="002B3159">
        <w:rPr>
          <w:rFonts w:ascii="Arial" w:hAnsi="Arial" w:cs="Arial"/>
          <w:b/>
          <w:bCs/>
          <w:noProof/>
          <w:sz w:val="24"/>
        </w:rPr>
        <w:t>12,</w:t>
      </w:r>
      <w:r w:rsidRPr="002B3159">
        <w:rPr>
          <w:rFonts w:ascii="Arial" w:hAnsi="Arial" w:cs="Arial"/>
          <w:noProof/>
          <w:sz w:val="24"/>
        </w:rPr>
        <w:t xml:space="preserve"> 1–21 (2020).</w:t>
      </w:r>
    </w:p>
    <w:p w14:paraId="011BE8B0"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6.</w:t>
      </w:r>
      <w:r w:rsidRPr="002B3159">
        <w:rPr>
          <w:rFonts w:ascii="Arial" w:hAnsi="Arial" w:cs="Arial"/>
          <w:noProof/>
          <w:sz w:val="24"/>
        </w:rPr>
        <w:tab/>
        <w:t xml:space="preserve">Gao, R. </w:t>
      </w:r>
      <w:r w:rsidRPr="002B3159">
        <w:rPr>
          <w:rFonts w:ascii="Arial" w:hAnsi="Arial" w:cs="Arial"/>
          <w:i/>
          <w:iCs/>
          <w:noProof/>
          <w:sz w:val="24"/>
        </w:rPr>
        <w:t>et al.</w:t>
      </w:r>
      <w:r w:rsidRPr="002B3159">
        <w:rPr>
          <w:rFonts w:ascii="Arial" w:hAnsi="Arial" w:cs="Arial"/>
          <w:noProof/>
          <w:sz w:val="24"/>
        </w:rPr>
        <w:t xml:space="preserve"> Delineating copy number and clonal substructure in human tumors from single-cell transcriptomes. </w:t>
      </w:r>
      <w:r w:rsidRPr="002B3159">
        <w:rPr>
          <w:rFonts w:ascii="Arial" w:hAnsi="Arial" w:cs="Arial"/>
          <w:i/>
          <w:iCs/>
          <w:noProof/>
          <w:sz w:val="24"/>
        </w:rPr>
        <w:t>Nat. Biotechnol.</w:t>
      </w:r>
      <w:r w:rsidRPr="002B3159">
        <w:rPr>
          <w:rFonts w:ascii="Arial" w:hAnsi="Arial" w:cs="Arial"/>
          <w:noProof/>
          <w:sz w:val="24"/>
        </w:rPr>
        <w:t xml:space="preserve"> </w:t>
      </w:r>
      <w:r w:rsidRPr="002B3159">
        <w:rPr>
          <w:rFonts w:ascii="Arial" w:hAnsi="Arial" w:cs="Arial"/>
          <w:b/>
          <w:bCs/>
          <w:noProof/>
          <w:sz w:val="24"/>
        </w:rPr>
        <w:t>39,</w:t>
      </w:r>
      <w:r w:rsidRPr="002B3159">
        <w:rPr>
          <w:rFonts w:ascii="Arial" w:hAnsi="Arial" w:cs="Arial"/>
          <w:noProof/>
          <w:sz w:val="24"/>
        </w:rPr>
        <w:t xml:space="preserve"> 599–608 (2021).</w:t>
      </w:r>
    </w:p>
    <w:p w14:paraId="26BA6575"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7.</w:t>
      </w:r>
      <w:r w:rsidRPr="002B3159">
        <w:rPr>
          <w:rFonts w:ascii="Arial" w:hAnsi="Arial" w:cs="Arial"/>
          <w:noProof/>
          <w:sz w:val="24"/>
        </w:rPr>
        <w:tab/>
        <w:t xml:space="preserve">Lee, H.-O. </w:t>
      </w:r>
      <w:r w:rsidRPr="002B3159">
        <w:rPr>
          <w:rFonts w:ascii="Arial" w:hAnsi="Arial" w:cs="Arial"/>
          <w:i/>
          <w:iCs/>
          <w:noProof/>
          <w:sz w:val="24"/>
        </w:rPr>
        <w:t>et al.</w:t>
      </w:r>
      <w:r w:rsidRPr="002B3159">
        <w:rPr>
          <w:rFonts w:ascii="Arial" w:hAnsi="Arial" w:cs="Arial"/>
          <w:noProof/>
          <w:sz w:val="24"/>
        </w:rPr>
        <w:t xml:space="preserve"> Lineage-dependent gene expression programs influence the immune landscape of colorectal cancer. </w:t>
      </w:r>
      <w:r w:rsidRPr="002B3159">
        <w:rPr>
          <w:rFonts w:ascii="Arial" w:hAnsi="Arial" w:cs="Arial"/>
          <w:i/>
          <w:iCs/>
          <w:noProof/>
          <w:sz w:val="24"/>
        </w:rPr>
        <w:t>Nat. Genet.</w:t>
      </w:r>
      <w:r w:rsidRPr="002B3159">
        <w:rPr>
          <w:rFonts w:ascii="Arial" w:hAnsi="Arial" w:cs="Arial"/>
          <w:noProof/>
          <w:sz w:val="24"/>
        </w:rPr>
        <w:t xml:space="preserve"> </w:t>
      </w:r>
      <w:r w:rsidRPr="002B3159">
        <w:rPr>
          <w:rFonts w:ascii="Arial" w:hAnsi="Arial" w:cs="Arial"/>
          <w:b/>
          <w:bCs/>
          <w:noProof/>
          <w:sz w:val="24"/>
        </w:rPr>
        <w:t>52,</w:t>
      </w:r>
      <w:r w:rsidRPr="002B3159">
        <w:rPr>
          <w:rFonts w:ascii="Arial" w:hAnsi="Arial" w:cs="Arial"/>
          <w:noProof/>
          <w:sz w:val="24"/>
        </w:rPr>
        <w:t xml:space="preserve"> 594–603 (2020).</w:t>
      </w:r>
    </w:p>
    <w:p w14:paraId="57D2F1DA"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8.</w:t>
      </w:r>
      <w:r w:rsidRPr="002B3159">
        <w:rPr>
          <w:rFonts w:ascii="Arial" w:hAnsi="Arial" w:cs="Arial"/>
          <w:noProof/>
          <w:sz w:val="24"/>
        </w:rPr>
        <w:tab/>
        <w:t xml:space="preserve">Laughney, A. M. </w:t>
      </w:r>
      <w:r w:rsidRPr="002B3159">
        <w:rPr>
          <w:rFonts w:ascii="Arial" w:hAnsi="Arial" w:cs="Arial"/>
          <w:i/>
          <w:iCs/>
          <w:noProof/>
          <w:sz w:val="24"/>
        </w:rPr>
        <w:t>et al.</w:t>
      </w:r>
      <w:r w:rsidRPr="002B3159">
        <w:rPr>
          <w:rFonts w:ascii="Arial" w:hAnsi="Arial" w:cs="Arial"/>
          <w:noProof/>
          <w:sz w:val="24"/>
        </w:rPr>
        <w:t xml:space="preserve"> Regenerative lineages and immune-mediated pruning in lung cancer metastasis. </w:t>
      </w:r>
      <w:r w:rsidRPr="002B3159">
        <w:rPr>
          <w:rFonts w:ascii="Arial" w:hAnsi="Arial" w:cs="Arial"/>
          <w:i/>
          <w:iCs/>
          <w:noProof/>
          <w:sz w:val="24"/>
        </w:rPr>
        <w:t>Nat. Med.</w:t>
      </w:r>
      <w:r w:rsidRPr="002B3159">
        <w:rPr>
          <w:rFonts w:ascii="Arial" w:hAnsi="Arial" w:cs="Arial"/>
          <w:noProof/>
          <w:sz w:val="24"/>
        </w:rPr>
        <w:t xml:space="preserve"> </w:t>
      </w:r>
      <w:r w:rsidRPr="002B3159">
        <w:rPr>
          <w:rFonts w:ascii="Arial" w:hAnsi="Arial" w:cs="Arial"/>
          <w:b/>
          <w:bCs/>
          <w:noProof/>
          <w:sz w:val="24"/>
        </w:rPr>
        <w:t>26,</w:t>
      </w:r>
      <w:r w:rsidRPr="002B3159">
        <w:rPr>
          <w:rFonts w:ascii="Arial" w:hAnsi="Arial" w:cs="Arial"/>
          <w:noProof/>
          <w:sz w:val="24"/>
        </w:rPr>
        <w:t xml:space="preserve"> 259–269 (2020).</w:t>
      </w:r>
    </w:p>
    <w:p w14:paraId="52950DF3"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9.</w:t>
      </w:r>
      <w:r w:rsidRPr="002B3159">
        <w:rPr>
          <w:rFonts w:ascii="Arial" w:hAnsi="Arial" w:cs="Arial"/>
          <w:noProof/>
          <w:sz w:val="24"/>
        </w:rPr>
        <w:tab/>
        <w:t xml:space="preserve">Lambrechts, D. </w:t>
      </w:r>
      <w:r w:rsidRPr="002B3159">
        <w:rPr>
          <w:rFonts w:ascii="Arial" w:hAnsi="Arial" w:cs="Arial"/>
          <w:i/>
          <w:iCs/>
          <w:noProof/>
          <w:sz w:val="24"/>
        </w:rPr>
        <w:t>et al.</w:t>
      </w:r>
      <w:r w:rsidRPr="002B3159">
        <w:rPr>
          <w:rFonts w:ascii="Arial" w:hAnsi="Arial" w:cs="Arial"/>
          <w:noProof/>
          <w:sz w:val="24"/>
        </w:rPr>
        <w:t xml:space="preserve"> Phenotype molding of stromal cells in the lung tumor microenvironment. </w:t>
      </w:r>
      <w:r w:rsidRPr="002B3159">
        <w:rPr>
          <w:rFonts w:ascii="Arial" w:hAnsi="Arial" w:cs="Arial"/>
          <w:i/>
          <w:iCs/>
          <w:noProof/>
          <w:sz w:val="24"/>
        </w:rPr>
        <w:t>Nat. Med.</w:t>
      </w:r>
      <w:r w:rsidRPr="002B3159">
        <w:rPr>
          <w:rFonts w:ascii="Arial" w:hAnsi="Arial" w:cs="Arial"/>
          <w:noProof/>
          <w:sz w:val="24"/>
        </w:rPr>
        <w:t xml:space="preserve"> </w:t>
      </w:r>
      <w:r w:rsidRPr="002B3159">
        <w:rPr>
          <w:rFonts w:ascii="Arial" w:hAnsi="Arial" w:cs="Arial"/>
          <w:b/>
          <w:bCs/>
          <w:noProof/>
          <w:sz w:val="24"/>
        </w:rPr>
        <w:t>24,</w:t>
      </w:r>
      <w:r w:rsidRPr="002B3159">
        <w:rPr>
          <w:rFonts w:ascii="Arial" w:hAnsi="Arial" w:cs="Arial"/>
          <w:noProof/>
          <w:sz w:val="24"/>
        </w:rPr>
        <w:t xml:space="preserve"> 1277–1289 (2018).</w:t>
      </w:r>
    </w:p>
    <w:p w14:paraId="3B450C07"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10.</w:t>
      </w:r>
      <w:r w:rsidRPr="002B3159">
        <w:rPr>
          <w:rFonts w:ascii="Arial" w:hAnsi="Arial" w:cs="Arial"/>
          <w:noProof/>
          <w:sz w:val="24"/>
        </w:rPr>
        <w:tab/>
        <w:t xml:space="preserve">Nelson, L. </w:t>
      </w:r>
      <w:r w:rsidRPr="002B3159">
        <w:rPr>
          <w:rFonts w:ascii="Arial" w:hAnsi="Arial" w:cs="Arial"/>
          <w:i/>
          <w:iCs/>
          <w:noProof/>
          <w:sz w:val="24"/>
        </w:rPr>
        <w:t>et al.</w:t>
      </w:r>
      <w:r w:rsidRPr="002B3159">
        <w:rPr>
          <w:rFonts w:ascii="Arial" w:hAnsi="Arial" w:cs="Arial"/>
          <w:noProof/>
          <w:sz w:val="24"/>
        </w:rPr>
        <w:t xml:space="preserve"> A living biobank of ovarian cancer ex vivo models reveals profound mitotic heterogeneity. </w:t>
      </w:r>
      <w:r w:rsidRPr="002B3159">
        <w:rPr>
          <w:rFonts w:ascii="Arial" w:hAnsi="Arial" w:cs="Arial"/>
          <w:i/>
          <w:iCs/>
          <w:noProof/>
          <w:sz w:val="24"/>
        </w:rPr>
        <w:t>Nat. Commun.</w:t>
      </w:r>
      <w:r w:rsidRPr="002B3159">
        <w:rPr>
          <w:rFonts w:ascii="Arial" w:hAnsi="Arial" w:cs="Arial"/>
          <w:noProof/>
          <w:sz w:val="24"/>
        </w:rPr>
        <w:t xml:space="preserve"> </w:t>
      </w:r>
      <w:r w:rsidRPr="002B3159">
        <w:rPr>
          <w:rFonts w:ascii="Arial" w:hAnsi="Arial" w:cs="Arial"/>
          <w:b/>
          <w:bCs/>
          <w:noProof/>
          <w:sz w:val="24"/>
        </w:rPr>
        <w:t>11,</w:t>
      </w:r>
      <w:r w:rsidRPr="002B3159">
        <w:rPr>
          <w:rFonts w:ascii="Arial" w:hAnsi="Arial" w:cs="Arial"/>
          <w:noProof/>
          <w:sz w:val="24"/>
        </w:rPr>
        <w:t xml:space="preserve"> 822 (2020).</w:t>
      </w:r>
    </w:p>
    <w:p w14:paraId="62EB3FD5"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11.</w:t>
      </w:r>
      <w:r w:rsidRPr="002B3159">
        <w:rPr>
          <w:rFonts w:ascii="Arial" w:hAnsi="Arial" w:cs="Arial"/>
          <w:noProof/>
          <w:sz w:val="24"/>
        </w:rPr>
        <w:tab/>
        <w:t xml:space="preserve">Peng, J. </w:t>
      </w:r>
      <w:r w:rsidRPr="002B3159">
        <w:rPr>
          <w:rFonts w:ascii="Arial" w:hAnsi="Arial" w:cs="Arial"/>
          <w:i/>
          <w:iCs/>
          <w:noProof/>
          <w:sz w:val="24"/>
        </w:rPr>
        <w:t>et al.</w:t>
      </w:r>
      <w:r w:rsidRPr="002B3159">
        <w:rPr>
          <w:rFonts w:ascii="Arial" w:hAnsi="Arial" w:cs="Arial"/>
          <w:noProof/>
          <w:sz w:val="24"/>
        </w:rPr>
        <w:t xml:space="preserve"> Single-cell RNA-seq highlights intra-tumoral heterogeneity and malignant progression in pancreatic ductal adenocarcinoma (vol 29, pg 777, 2019). </w:t>
      </w:r>
      <w:r w:rsidRPr="002B3159">
        <w:rPr>
          <w:rFonts w:ascii="Arial" w:hAnsi="Arial" w:cs="Arial"/>
          <w:i/>
          <w:iCs/>
          <w:noProof/>
          <w:sz w:val="24"/>
        </w:rPr>
        <w:t>CELL Res.</w:t>
      </w:r>
      <w:r w:rsidRPr="002B3159">
        <w:rPr>
          <w:rFonts w:ascii="Arial" w:hAnsi="Arial" w:cs="Arial"/>
          <w:noProof/>
          <w:sz w:val="24"/>
        </w:rPr>
        <w:t xml:space="preserve"> </w:t>
      </w:r>
      <w:r w:rsidRPr="002B3159">
        <w:rPr>
          <w:rFonts w:ascii="Arial" w:hAnsi="Arial" w:cs="Arial"/>
          <w:b/>
          <w:bCs/>
          <w:noProof/>
          <w:sz w:val="24"/>
        </w:rPr>
        <w:t>29,</w:t>
      </w:r>
      <w:r w:rsidRPr="002B3159">
        <w:rPr>
          <w:rFonts w:ascii="Arial" w:hAnsi="Arial" w:cs="Arial"/>
          <w:noProof/>
          <w:sz w:val="24"/>
        </w:rPr>
        <w:t xml:space="preserve"> 777 (2019).</w:t>
      </w:r>
    </w:p>
    <w:p w14:paraId="75FCBFAB"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12.</w:t>
      </w:r>
      <w:r w:rsidRPr="002B3159">
        <w:rPr>
          <w:rFonts w:ascii="Arial" w:hAnsi="Arial" w:cs="Arial"/>
          <w:noProof/>
          <w:sz w:val="24"/>
        </w:rPr>
        <w:tab/>
        <w:t xml:space="preserve">Zhang, P. </w:t>
      </w:r>
      <w:r w:rsidRPr="002B3159">
        <w:rPr>
          <w:rFonts w:ascii="Arial" w:hAnsi="Arial" w:cs="Arial"/>
          <w:i/>
          <w:iCs/>
          <w:noProof/>
          <w:sz w:val="24"/>
        </w:rPr>
        <w:t>et al.</w:t>
      </w:r>
      <w:r w:rsidRPr="002B3159">
        <w:rPr>
          <w:rFonts w:ascii="Arial" w:hAnsi="Arial" w:cs="Arial"/>
          <w:noProof/>
          <w:sz w:val="24"/>
        </w:rPr>
        <w:t xml:space="preserve"> Dissecting the single-cell transcriptome network underlying gastric premalignant lesions and early gastric cancer. </w:t>
      </w:r>
      <w:r w:rsidRPr="002B3159">
        <w:rPr>
          <w:rFonts w:ascii="Arial" w:hAnsi="Arial" w:cs="Arial"/>
          <w:i/>
          <w:iCs/>
          <w:noProof/>
          <w:sz w:val="24"/>
        </w:rPr>
        <w:t>Cell Rep.</w:t>
      </w:r>
      <w:r w:rsidRPr="002B3159">
        <w:rPr>
          <w:rFonts w:ascii="Arial" w:hAnsi="Arial" w:cs="Arial"/>
          <w:noProof/>
          <w:sz w:val="24"/>
        </w:rPr>
        <w:t xml:space="preserve"> </w:t>
      </w:r>
      <w:r w:rsidRPr="002B3159">
        <w:rPr>
          <w:rFonts w:ascii="Arial" w:hAnsi="Arial" w:cs="Arial"/>
          <w:b/>
          <w:bCs/>
          <w:noProof/>
          <w:sz w:val="24"/>
        </w:rPr>
        <w:t>30,</w:t>
      </w:r>
      <w:r w:rsidRPr="002B3159">
        <w:rPr>
          <w:rFonts w:ascii="Arial" w:hAnsi="Arial" w:cs="Arial"/>
          <w:noProof/>
          <w:sz w:val="24"/>
        </w:rPr>
        <w:t xml:space="preserve"> 4317 (2020).</w:t>
      </w:r>
    </w:p>
    <w:p w14:paraId="7C51F589"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13.</w:t>
      </w:r>
      <w:r w:rsidRPr="002B3159">
        <w:rPr>
          <w:rFonts w:ascii="Arial" w:hAnsi="Arial" w:cs="Arial"/>
          <w:noProof/>
          <w:sz w:val="24"/>
        </w:rPr>
        <w:tab/>
        <w:t xml:space="preserve">Szklarczyk, D. </w:t>
      </w:r>
      <w:r w:rsidRPr="002B3159">
        <w:rPr>
          <w:rFonts w:ascii="Arial" w:hAnsi="Arial" w:cs="Arial"/>
          <w:i/>
          <w:iCs/>
          <w:noProof/>
          <w:sz w:val="24"/>
        </w:rPr>
        <w:t>et al.</w:t>
      </w:r>
      <w:r w:rsidRPr="002B3159">
        <w:rPr>
          <w:rFonts w:ascii="Arial" w:hAnsi="Arial" w:cs="Arial"/>
          <w:noProof/>
          <w:sz w:val="24"/>
        </w:rPr>
        <w:t xml:space="preserve"> STRING v10: protein–protein interaction networks, integrated over the tree of life. </w:t>
      </w:r>
      <w:r w:rsidRPr="002B3159">
        <w:rPr>
          <w:rFonts w:ascii="Arial" w:hAnsi="Arial" w:cs="Arial"/>
          <w:i/>
          <w:iCs/>
          <w:noProof/>
          <w:sz w:val="24"/>
        </w:rPr>
        <w:t>Nucleic Acids Res.</w:t>
      </w:r>
      <w:r w:rsidRPr="002B3159">
        <w:rPr>
          <w:rFonts w:ascii="Arial" w:hAnsi="Arial" w:cs="Arial"/>
          <w:noProof/>
          <w:sz w:val="24"/>
        </w:rPr>
        <w:t xml:space="preserve"> </w:t>
      </w:r>
      <w:r w:rsidRPr="002B3159">
        <w:rPr>
          <w:rFonts w:ascii="Arial" w:hAnsi="Arial" w:cs="Arial"/>
          <w:b/>
          <w:bCs/>
          <w:noProof/>
          <w:sz w:val="24"/>
        </w:rPr>
        <w:t>43,</w:t>
      </w:r>
      <w:r w:rsidRPr="002B3159">
        <w:rPr>
          <w:rFonts w:ascii="Arial" w:hAnsi="Arial" w:cs="Arial"/>
          <w:noProof/>
          <w:sz w:val="24"/>
        </w:rPr>
        <w:t xml:space="preserve"> D447–D452 (2015).</w:t>
      </w:r>
    </w:p>
    <w:p w14:paraId="6F4570B1"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14.</w:t>
      </w:r>
      <w:r w:rsidRPr="002B3159">
        <w:rPr>
          <w:rFonts w:ascii="Arial" w:hAnsi="Arial" w:cs="Arial"/>
          <w:noProof/>
          <w:sz w:val="24"/>
        </w:rPr>
        <w:tab/>
        <w:t xml:space="preserve">Shannon, P. </w:t>
      </w:r>
      <w:r w:rsidRPr="002B3159">
        <w:rPr>
          <w:rFonts w:ascii="Arial" w:hAnsi="Arial" w:cs="Arial"/>
          <w:i/>
          <w:iCs/>
          <w:noProof/>
          <w:sz w:val="24"/>
        </w:rPr>
        <w:t>et al.</w:t>
      </w:r>
      <w:r w:rsidRPr="002B3159">
        <w:rPr>
          <w:rFonts w:ascii="Arial" w:hAnsi="Arial" w:cs="Arial"/>
          <w:noProof/>
          <w:sz w:val="24"/>
        </w:rPr>
        <w:t xml:space="preserve"> Cytoscape: a software environment for integrated models of biomolecular interaction networks. </w:t>
      </w:r>
      <w:r w:rsidRPr="002B3159">
        <w:rPr>
          <w:rFonts w:ascii="Arial" w:hAnsi="Arial" w:cs="Arial"/>
          <w:i/>
          <w:iCs/>
          <w:noProof/>
          <w:sz w:val="24"/>
        </w:rPr>
        <w:t>Genome Res.</w:t>
      </w:r>
      <w:r w:rsidRPr="002B3159">
        <w:rPr>
          <w:rFonts w:ascii="Arial" w:hAnsi="Arial" w:cs="Arial"/>
          <w:noProof/>
          <w:sz w:val="24"/>
        </w:rPr>
        <w:t xml:space="preserve"> </w:t>
      </w:r>
      <w:r w:rsidRPr="002B3159">
        <w:rPr>
          <w:rFonts w:ascii="Arial" w:hAnsi="Arial" w:cs="Arial"/>
          <w:b/>
          <w:bCs/>
          <w:noProof/>
          <w:sz w:val="24"/>
        </w:rPr>
        <w:t>13,</w:t>
      </w:r>
      <w:r w:rsidRPr="002B3159">
        <w:rPr>
          <w:rFonts w:ascii="Arial" w:hAnsi="Arial" w:cs="Arial"/>
          <w:noProof/>
          <w:sz w:val="24"/>
        </w:rPr>
        <w:t xml:space="preserve"> 2498–2504 (2003).</w:t>
      </w:r>
    </w:p>
    <w:p w14:paraId="5601341B"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15.</w:t>
      </w:r>
      <w:r w:rsidRPr="002B3159">
        <w:rPr>
          <w:rFonts w:ascii="Arial" w:hAnsi="Arial" w:cs="Arial"/>
          <w:noProof/>
          <w:sz w:val="24"/>
        </w:rPr>
        <w:tab/>
        <w:t xml:space="preserve">Weininger, D. SMILES, a chemical language and information system. 1. Introduction to methodology and encoding rules. </w:t>
      </w:r>
      <w:r w:rsidRPr="002B3159">
        <w:rPr>
          <w:rFonts w:ascii="Arial" w:hAnsi="Arial" w:cs="Arial"/>
          <w:i/>
          <w:iCs/>
          <w:noProof/>
          <w:sz w:val="24"/>
        </w:rPr>
        <w:t>J. Chem. Inf. Comput. Sci.</w:t>
      </w:r>
      <w:r w:rsidRPr="002B3159">
        <w:rPr>
          <w:rFonts w:ascii="Arial" w:hAnsi="Arial" w:cs="Arial"/>
          <w:noProof/>
          <w:sz w:val="24"/>
        </w:rPr>
        <w:t xml:space="preserve"> </w:t>
      </w:r>
      <w:r w:rsidRPr="002B3159">
        <w:rPr>
          <w:rFonts w:ascii="Arial" w:hAnsi="Arial" w:cs="Arial"/>
          <w:b/>
          <w:bCs/>
          <w:noProof/>
          <w:sz w:val="24"/>
        </w:rPr>
        <w:t>28,</w:t>
      </w:r>
      <w:r w:rsidRPr="002B3159">
        <w:rPr>
          <w:rFonts w:ascii="Arial" w:hAnsi="Arial" w:cs="Arial"/>
          <w:noProof/>
          <w:sz w:val="24"/>
        </w:rPr>
        <w:t xml:space="preserve"> 31–36 (1988).</w:t>
      </w:r>
    </w:p>
    <w:p w14:paraId="0738C8C1"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16.</w:t>
      </w:r>
      <w:r w:rsidRPr="002B3159">
        <w:rPr>
          <w:rFonts w:ascii="Arial" w:hAnsi="Arial" w:cs="Arial"/>
          <w:noProof/>
          <w:sz w:val="24"/>
        </w:rPr>
        <w:tab/>
        <w:t xml:space="preserve">Barazorda-Ccahuana, H. L. </w:t>
      </w:r>
      <w:r w:rsidRPr="002B3159">
        <w:rPr>
          <w:rFonts w:ascii="Arial" w:hAnsi="Arial" w:cs="Arial"/>
          <w:i/>
          <w:iCs/>
          <w:noProof/>
          <w:sz w:val="24"/>
        </w:rPr>
        <w:t>et al.</w:t>
      </w:r>
      <w:r w:rsidRPr="002B3159">
        <w:rPr>
          <w:rFonts w:ascii="Arial" w:hAnsi="Arial" w:cs="Arial"/>
          <w:noProof/>
          <w:sz w:val="24"/>
        </w:rPr>
        <w:t xml:space="preserve"> PeruNPDB: the Peruvian Natural Products </w:t>
      </w:r>
      <w:r w:rsidRPr="002B3159">
        <w:rPr>
          <w:rFonts w:ascii="Arial" w:hAnsi="Arial" w:cs="Arial"/>
          <w:noProof/>
          <w:sz w:val="24"/>
        </w:rPr>
        <w:lastRenderedPageBreak/>
        <w:t xml:space="preserve">Database for in silico drug screening. </w:t>
      </w:r>
      <w:r w:rsidRPr="002B3159">
        <w:rPr>
          <w:rFonts w:ascii="Arial" w:hAnsi="Arial" w:cs="Arial"/>
          <w:i/>
          <w:iCs/>
          <w:noProof/>
          <w:sz w:val="24"/>
        </w:rPr>
        <w:t>Sci. Rep.</w:t>
      </w:r>
      <w:r w:rsidRPr="002B3159">
        <w:rPr>
          <w:rFonts w:ascii="Arial" w:hAnsi="Arial" w:cs="Arial"/>
          <w:noProof/>
          <w:sz w:val="24"/>
        </w:rPr>
        <w:t xml:space="preserve"> </w:t>
      </w:r>
      <w:r w:rsidRPr="002B3159">
        <w:rPr>
          <w:rFonts w:ascii="Arial" w:hAnsi="Arial" w:cs="Arial"/>
          <w:b/>
          <w:bCs/>
          <w:noProof/>
          <w:sz w:val="24"/>
        </w:rPr>
        <w:t>13,</w:t>
      </w:r>
      <w:r w:rsidRPr="002B3159">
        <w:rPr>
          <w:rFonts w:ascii="Arial" w:hAnsi="Arial" w:cs="Arial"/>
          <w:noProof/>
          <w:sz w:val="24"/>
        </w:rPr>
        <w:t xml:space="preserve"> 7577 (2023).</w:t>
      </w:r>
    </w:p>
    <w:p w14:paraId="287A3888"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17.</w:t>
      </w:r>
      <w:r w:rsidRPr="002B3159">
        <w:rPr>
          <w:rFonts w:ascii="Arial" w:hAnsi="Arial" w:cs="Arial"/>
          <w:noProof/>
          <w:sz w:val="24"/>
        </w:rPr>
        <w:tab/>
        <w:t xml:space="preserve">Dallakyan, S. &amp; Olson, A. J. Small-molecule library screening by docking with PyRx. </w:t>
      </w:r>
      <w:r w:rsidRPr="002B3159">
        <w:rPr>
          <w:rFonts w:ascii="Arial" w:hAnsi="Arial" w:cs="Arial"/>
          <w:i/>
          <w:iCs/>
          <w:noProof/>
          <w:sz w:val="24"/>
        </w:rPr>
        <w:t>Methods Mol. Biol.</w:t>
      </w:r>
      <w:r w:rsidRPr="002B3159">
        <w:rPr>
          <w:rFonts w:ascii="Arial" w:hAnsi="Arial" w:cs="Arial"/>
          <w:noProof/>
          <w:sz w:val="24"/>
        </w:rPr>
        <w:t xml:space="preserve"> </w:t>
      </w:r>
      <w:r w:rsidRPr="002B3159">
        <w:rPr>
          <w:rFonts w:ascii="Arial" w:hAnsi="Arial" w:cs="Arial"/>
          <w:b/>
          <w:bCs/>
          <w:noProof/>
          <w:sz w:val="24"/>
        </w:rPr>
        <w:t>1263,</w:t>
      </w:r>
      <w:r w:rsidRPr="002B3159">
        <w:rPr>
          <w:rFonts w:ascii="Arial" w:hAnsi="Arial" w:cs="Arial"/>
          <w:noProof/>
          <w:sz w:val="24"/>
        </w:rPr>
        <w:t xml:space="preserve"> 243–250 (2015).</w:t>
      </w:r>
    </w:p>
    <w:p w14:paraId="73D77785" w14:textId="77777777" w:rsidR="002B3159" w:rsidRPr="002B3159" w:rsidRDefault="002B3159" w:rsidP="002B3159">
      <w:pPr>
        <w:widowControl w:val="0"/>
        <w:autoSpaceDE w:val="0"/>
        <w:autoSpaceDN w:val="0"/>
        <w:adjustRightInd w:val="0"/>
        <w:spacing w:line="240" w:lineRule="auto"/>
        <w:ind w:left="640" w:hanging="640"/>
        <w:rPr>
          <w:rFonts w:ascii="Arial" w:hAnsi="Arial" w:cs="Arial"/>
          <w:noProof/>
          <w:sz w:val="24"/>
        </w:rPr>
      </w:pPr>
      <w:r w:rsidRPr="002B3159">
        <w:rPr>
          <w:rFonts w:ascii="Arial" w:hAnsi="Arial" w:cs="Arial"/>
          <w:noProof/>
          <w:sz w:val="24"/>
        </w:rPr>
        <w:t>18.</w:t>
      </w:r>
      <w:r w:rsidRPr="002B3159">
        <w:rPr>
          <w:rFonts w:ascii="Arial" w:hAnsi="Arial" w:cs="Arial"/>
          <w:noProof/>
          <w:sz w:val="24"/>
        </w:rPr>
        <w:tab/>
        <w:t xml:space="preserve">Trott, O. &amp; Olson, A. J. AutoDock Vina: improving the speed and accuracy of docking with a new scoring  function, efficient optimization, and multithreading. </w:t>
      </w:r>
      <w:r w:rsidRPr="002B3159">
        <w:rPr>
          <w:rFonts w:ascii="Arial" w:hAnsi="Arial" w:cs="Arial"/>
          <w:i/>
          <w:iCs/>
          <w:noProof/>
          <w:sz w:val="24"/>
        </w:rPr>
        <w:t>J. Comput. Chem.</w:t>
      </w:r>
      <w:r w:rsidRPr="002B3159">
        <w:rPr>
          <w:rFonts w:ascii="Arial" w:hAnsi="Arial" w:cs="Arial"/>
          <w:noProof/>
          <w:sz w:val="24"/>
        </w:rPr>
        <w:t xml:space="preserve"> </w:t>
      </w:r>
      <w:r w:rsidRPr="002B3159">
        <w:rPr>
          <w:rFonts w:ascii="Arial" w:hAnsi="Arial" w:cs="Arial"/>
          <w:b/>
          <w:bCs/>
          <w:noProof/>
          <w:sz w:val="24"/>
        </w:rPr>
        <w:t>31,</w:t>
      </w:r>
      <w:r w:rsidRPr="002B3159">
        <w:rPr>
          <w:rFonts w:ascii="Arial" w:hAnsi="Arial" w:cs="Arial"/>
          <w:noProof/>
          <w:sz w:val="24"/>
        </w:rPr>
        <w:t xml:space="preserve"> 455–461 (2010).</w:t>
      </w:r>
    </w:p>
    <w:p w14:paraId="36F2D62D" w14:textId="35571260" w:rsidR="00153355" w:rsidRDefault="00153355" w:rsidP="00F600C3">
      <w:pPr>
        <w:jc w:val="both"/>
        <w:rPr>
          <w:rFonts w:ascii="Arial" w:hAnsi="Arial" w:cs="Arial"/>
          <w:sz w:val="24"/>
          <w:szCs w:val="24"/>
        </w:rPr>
      </w:pPr>
      <w:r>
        <w:rPr>
          <w:rFonts w:ascii="Arial" w:hAnsi="Arial" w:cs="Arial"/>
          <w:sz w:val="24"/>
          <w:szCs w:val="24"/>
        </w:rPr>
        <w:fldChar w:fldCharType="end"/>
      </w:r>
    </w:p>
    <w:p w14:paraId="28359E92" w14:textId="77777777" w:rsidR="00153355" w:rsidRPr="00BD240E" w:rsidRDefault="00153355" w:rsidP="00F600C3">
      <w:pPr>
        <w:jc w:val="both"/>
        <w:rPr>
          <w:rFonts w:ascii="Arial" w:hAnsi="Arial" w:cs="Arial"/>
          <w:sz w:val="24"/>
          <w:szCs w:val="24"/>
        </w:rPr>
      </w:pPr>
    </w:p>
    <w:sectPr w:rsidR="00153355" w:rsidRPr="00BD24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080CD" w14:textId="77777777" w:rsidR="0066308E" w:rsidRDefault="0066308E" w:rsidP="00B132F3">
      <w:pPr>
        <w:spacing w:after="0" w:line="240" w:lineRule="auto"/>
      </w:pPr>
      <w:r>
        <w:separator/>
      </w:r>
    </w:p>
  </w:endnote>
  <w:endnote w:type="continuationSeparator" w:id="0">
    <w:p w14:paraId="1B2EAEF7" w14:textId="77777777" w:rsidR="0066308E" w:rsidRDefault="0066308E" w:rsidP="00B13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E8DC3" w14:textId="77777777" w:rsidR="0066308E" w:rsidRDefault="0066308E" w:rsidP="00B132F3">
      <w:pPr>
        <w:spacing w:after="0" w:line="240" w:lineRule="auto"/>
      </w:pPr>
      <w:r>
        <w:separator/>
      </w:r>
    </w:p>
  </w:footnote>
  <w:footnote w:type="continuationSeparator" w:id="0">
    <w:p w14:paraId="33F2BE61" w14:textId="77777777" w:rsidR="0066308E" w:rsidRDefault="0066308E" w:rsidP="00B132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01C3E"/>
    <w:multiLevelType w:val="hybridMultilevel"/>
    <w:tmpl w:val="5F907CAE"/>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 w15:restartNumberingAfterBreak="0">
    <w:nsid w:val="5A997AE6"/>
    <w:multiLevelType w:val="hybridMultilevel"/>
    <w:tmpl w:val="510A77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2114556">
    <w:abstractNumId w:val="0"/>
  </w:num>
  <w:num w:numId="2" w16cid:durableId="1834295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xNTU0NDM3MTEzMDNQ0lEKTi0uzszPAykwNKgFALaJ7QwtAAAA"/>
  </w:docVars>
  <w:rsids>
    <w:rsidRoot w:val="001A6136"/>
    <w:rsid w:val="000262A2"/>
    <w:rsid w:val="000E50A9"/>
    <w:rsid w:val="00103532"/>
    <w:rsid w:val="00153355"/>
    <w:rsid w:val="0018676F"/>
    <w:rsid w:val="001A6136"/>
    <w:rsid w:val="001D3BE1"/>
    <w:rsid w:val="00206AB9"/>
    <w:rsid w:val="00235596"/>
    <w:rsid w:val="00254196"/>
    <w:rsid w:val="0027646A"/>
    <w:rsid w:val="002B3159"/>
    <w:rsid w:val="002B5C20"/>
    <w:rsid w:val="002C53B5"/>
    <w:rsid w:val="00322E2A"/>
    <w:rsid w:val="003320D9"/>
    <w:rsid w:val="0034756B"/>
    <w:rsid w:val="003552F2"/>
    <w:rsid w:val="00391AF1"/>
    <w:rsid w:val="003C2E94"/>
    <w:rsid w:val="004825C2"/>
    <w:rsid w:val="004938C7"/>
    <w:rsid w:val="00541E61"/>
    <w:rsid w:val="00583121"/>
    <w:rsid w:val="005A2AE5"/>
    <w:rsid w:val="005E1FE9"/>
    <w:rsid w:val="0064486A"/>
    <w:rsid w:val="0066308E"/>
    <w:rsid w:val="006B4FA4"/>
    <w:rsid w:val="006D0417"/>
    <w:rsid w:val="00704F15"/>
    <w:rsid w:val="00732B7E"/>
    <w:rsid w:val="0078071B"/>
    <w:rsid w:val="007B59C4"/>
    <w:rsid w:val="00803786"/>
    <w:rsid w:val="00897955"/>
    <w:rsid w:val="008B09A2"/>
    <w:rsid w:val="009028FD"/>
    <w:rsid w:val="00907D3B"/>
    <w:rsid w:val="009A3E0D"/>
    <w:rsid w:val="009C5F64"/>
    <w:rsid w:val="00A259BB"/>
    <w:rsid w:val="00A426D9"/>
    <w:rsid w:val="00A5433B"/>
    <w:rsid w:val="00A749AD"/>
    <w:rsid w:val="00A9577E"/>
    <w:rsid w:val="00AB7318"/>
    <w:rsid w:val="00B132F3"/>
    <w:rsid w:val="00BC5A0D"/>
    <w:rsid w:val="00BD240E"/>
    <w:rsid w:val="00C31B6B"/>
    <w:rsid w:val="00C40A0E"/>
    <w:rsid w:val="00C43B12"/>
    <w:rsid w:val="00CA776E"/>
    <w:rsid w:val="00CF0DF3"/>
    <w:rsid w:val="00D8232B"/>
    <w:rsid w:val="00DA3336"/>
    <w:rsid w:val="00DC204D"/>
    <w:rsid w:val="00DD4A96"/>
    <w:rsid w:val="00DF33CE"/>
    <w:rsid w:val="00E4603B"/>
    <w:rsid w:val="00EB2192"/>
    <w:rsid w:val="00EC22D6"/>
    <w:rsid w:val="00ED3F0F"/>
    <w:rsid w:val="00EF3AB2"/>
    <w:rsid w:val="00F274F7"/>
    <w:rsid w:val="00F600C3"/>
    <w:rsid w:val="00F66385"/>
    <w:rsid w:val="00FD5EB0"/>
    <w:rsid w:val="00FD6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1191E6"/>
  <w15:chartTrackingRefBased/>
  <w15:docId w15:val="{0A471493-EAEE-4A6B-944C-FFFE1DCA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1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61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61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61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61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61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61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61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61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1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61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61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61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61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61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61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61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6136"/>
    <w:rPr>
      <w:rFonts w:eastAsiaTheme="majorEastAsia" w:cstheme="majorBidi"/>
      <w:color w:val="272727" w:themeColor="text1" w:themeTint="D8"/>
    </w:rPr>
  </w:style>
  <w:style w:type="paragraph" w:styleId="Title">
    <w:name w:val="Title"/>
    <w:basedOn w:val="Normal"/>
    <w:next w:val="Normal"/>
    <w:link w:val="TitleChar"/>
    <w:uiPriority w:val="10"/>
    <w:qFormat/>
    <w:rsid w:val="001A6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1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61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61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6136"/>
    <w:pPr>
      <w:spacing w:before="160"/>
      <w:jc w:val="center"/>
    </w:pPr>
    <w:rPr>
      <w:i/>
      <w:iCs/>
      <w:color w:val="404040" w:themeColor="text1" w:themeTint="BF"/>
    </w:rPr>
  </w:style>
  <w:style w:type="character" w:customStyle="1" w:styleId="QuoteChar">
    <w:name w:val="Quote Char"/>
    <w:basedOn w:val="DefaultParagraphFont"/>
    <w:link w:val="Quote"/>
    <w:uiPriority w:val="29"/>
    <w:rsid w:val="001A6136"/>
    <w:rPr>
      <w:i/>
      <w:iCs/>
      <w:color w:val="404040" w:themeColor="text1" w:themeTint="BF"/>
    </w:rPr>
  </w:style>
  <w:style w:type="paragraph" w:styleId="ListParagraph">
    <w:name w:val="List Paragraph"/>
    <w:basedOn w:val="Normal"/>
    <w:uiPriority w:val="34"/>
    <w:qFormat/>
    <w:rsid w:val="001A6136"/>
    <w:pPr>
      <w:ind w:left="720"/>
      <w:contextualSpacing/>
    </w:pPr>
  </w:style>
  <w:style w:type="character" w:styleId="IntenseEmphasis">
    <w:name w:val="Intense Emphasis"/>
    <w:basedOn w:val="DefaultParagraphFont"/>
    <w:uiPriority w:val="21"/>
    <w:qFormat/>
    <w:rsid w:val="001A6136"/>
    <w:rPr>
      <w:i/>
      <w:iCs/>
      <w:color w:val="0F4761" w:themeColor="accent1" w:themeShade="BF"/>
    </w:rPr>
  </w:style>
  <w:style w:type="paragraph" w:styleId="IntenseQuote">
    <w:name w:val="Intense Quote"/>
    <w:basedOn w:val="Normal"/>
    <w:next w:val="Normal"/>
    <w:link w:val="IntenseQuoteChar"/>
    <w:uiPriority w:val="30"/>
    <w:qFormat/>
    <w:rsid w:val="001A61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6136"/>
    <w:rPr>
      <w:i/>
      <w:iCs/>
      <w:color w:val="0F4761" w:themeColor="accent1" w:themeShade="BF"/>
    </w:rPr>
  </w:style>
  <w:style w:type="character" w:styleId="IntenseReference">
    <w:name w:val="Intense Reference"/>
    <w:basedOn w:val="DefaultParagraphFont"/>
    <w:uiPriority w:val="32"/>
    <w:qFormat/>
    <w:rsid w:val="001A6136"/>
    <w:rPr>
      <w:b/>
      <w:bCs/>
      <w:smallCaps/>
      <w:color w:val="0F4761" w:themeColor="accent1" w:themeShade="BF"/>
      <w:spacing w:val="5"/>
    </w:rPr>
  </w:style>
  <w:style w:type="paragraph" w:styleId="Header">
    <w:name w:val="header"/>
    <w:basedOn w:val="Normal"/>
    <w:link w:val="HeaderChar"/>
    <w:uiPriority w:val="99"/>
    <w:unhideWhenUsed/>
    <w:rsid w:val="00B13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2F3"/>
  </w:style>
  <w:style w:type="paragraph" w:styleId="Footer">
    <w:name w:val="footer"/>
    <w:basedOn w:val="Normal"/>
    <w:link w:val="FooterChar"/>
    <w:uiPriority w:val="99"/>
    <w:unhideWhenUsed/>
    <w:rsid w:val="00B13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2F3"/>
  </w:style>
  <w:style w:type="paragraph" w:customStyle="1" w:styleId="MDPI12title">
    <w:name w:val="MDPI_1.2_title"/>
    <w:next w:val="Normal"/>
    <w:qFormat/>
    <w:rsid w:val="00B132F3"/>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B132F3"/>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Strong">
    <w:name w:val="Strong"/>
    <w:basedOn w:val="DefaultParagraphFont"/>
    <w:uiPriority w:val="22"/>
    <w:qFormat/>
    <w:rsid w:val="00C43B12"/>
    <w:rPr>
      <w:b/>
      <w:bCs/>
    </w:rPr>
  </w:style>
  <w:style w:type="character" w:styleId="Emphasis">
    <w:name w:val="Emphasis"/>
    <w:basedOn w:val="DefaultParagraphFont"/>
    <w:uiPriority w:val="20"/>
    <w:qFormat/>
    <w:rsid w:val="00C43B12"/>
    <w:rPr>
      <w:i/>
      <w:iCs/>
    </w:rPr>
  </w:style>
  <w:style w:type="table" w:styleId="TableGrid">
    <w:name w:val="Table Grid"/>
    <w:basedOn w:val="TableNormal"/>
    <w:uiPriority w:val="39"/>
    <w:rsid w:val="0027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103532"/>
    <w:pPr>
      <w:spacing w:after="0" w:line="480" w:lineRule="auto"/>
      <w:ind w:firstLine="202"/>
      <w:jc w:val="both"/>
    </w:pPr>
    <w:rPr>
      <w:rFonts w:ascii="Times" w:eastAsia="Times New Roman" w:hAnsi="Times" w:cs="Times New Roman"/>
      <w:sz w:val="24"/>
      <w:szCs w:val="20"/>
    </w:rPr>
  </w:style>
  <w:style w:type="paragraph" w:styleId="NormalWeb">
    <w:name w:val="Normal (Web)"/>
    <w:basedOn w:val="Normal"/>
    <w:uiPriority w:val="99"/>
    <w:semiHidden/>
    <w:unhideWhenUsed/>
    <w:rsid w:val="005E1FE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D3F0F"/>
    <w:rPr>
      <w:sz w:val="16"/>
      <w:szCs w:val="16"/>
    </w:rPr>
  </w:style>
  <w:style w:type="paragraph" w:styleId="CommentText">
    <w:name w:val="annotation text"/>
    <w:basedOn w:val="Normal"/>
    <w:link w:val="CommentTextChar"/>
    <w:uiPriority w:val="99"/>
    <w:unhideWhenUsed/>
    <w:rsid w:val="00ED3F0F"/>
    <w:pPr>
      <w:spacing w:line="240" w:lineRule="auto"/>
    </w:pPr>
    <w:rPr>
      <w:sz w:val="20"/>
      <w:szCs w:val="20"/>
    </w:rPr>
  </w:style>
  <w:style w:type="character" w:customStyle="1" w:styleId="CommentTextChar">
    <w:name w:val="Comment Text Char"/>
    <w:basedOn w:val="DefaultParagraphFont"/>
    <w:link w:val="CommentText"/>
    <w:uiPriority w:val="99"/>
    <w:rsid w:val="00ED3F0F"/>
    <w:rPr>
      <w:sz w:val="20"/>
      <w:szCs w:val="20"/>
    </w:rPr>
  </w:style>
  <w:style w:type="paragraph" w:styleId="CommentSubject">
    <w:name w:val="annotation subject"/>
    <w:basedOn w:val="CommentText"/>
    <w:next w:val="CommentText"/>
    <w:link w:val="CommentSubjectChar"/>
    <w:uiPriority w:val="99"/>
    <w:semiHidden/>
    <w:unhideWhenUsed/>
    <w:rsid w:val="00ED3F0F"/>
    <w:rPr>
      <w:b/>
      <w:bCs/>
    </w:rPr>
  </w:style>
  <w:style w:type="character" w:customStyle="1" w:styleId="CommentSubjectChar">
    <w:name w:val="Comment Subject Char"/>
    <w:basedOn w:val="CommentTextChar"/>
    <w:link w:val="CommentSubject"/>
    <w:uiPriority w:val="99"/>
    <w:semiHidden/>
    <w:rsid w:val="00ED3F0F"/>
    <w:rPr>
      <w:b/>
      <w:bCs/>
      <w:sz w:val="20"/>
      <w:szCs w:val="20"/>
    </w:rPr>
  </w:style>
  <w:style w:type="paragraph" w:customStyle="1" w:styleId="FACorrespondingAuthorFootnote">
    <w:name w:val="FA_Corresponding_Author_Footnote"/>
    <w:basedOn w:val="Normal"/>
    <w:next w:val="Normal"/>
    <w:rsid w:val="00206AB9"/>
    <w:pPr>
      <w:spacing w:after="200" w:line="480" w:lineRule="auto"/>
      <w:jc w:val="both"/>
    </w:pPr>
    <w:rPr>
      <w:rFonts w:ascii="Times" w:eastAsia="Times New Roman" w:hAnsi="Times" w:cs="Times New Roman"/>
      <w:sz w:val="24"/>
      <w:szCs w:val="20"/>
    </w:rPr>
  </w:style>
  <w:style w:type="character" w:styleId="Hyperlink">
    <w:name w:val="Hyperlink"/>
    <w:rsid w:val="00206AB9"/>
    <w:rPr>
      <w:color w:val="0000FF"/>
      <w:u w:val="single"/>
    </w:rPr>
  </w:style>
  <w:style w:type="paragraph" w:customStyle="1" w:styleId="BCAuthorAddress">
    <w:name w:val="BC_Author_Address"/>
    <w:basedOn w:val="Normal"/>
    <w:next w:val="Normal"/>
    <w:rsid w:val="00206AB9"/>
    <w:pPr>
      <w:spacing w:after="240" w:line="480" w:lineRule="auto"/>
      <w:jc w:val="center"/>
    </w:pPr>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48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havezf@ucsm.edu.p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24181-5002-44AC-9981-9C1055BF2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11</Pages>
  <Words>6948</Words>
  <Characters>43497</Characters>
  <Application>Microsoft Office Word</Application>
  <DocSecurity>0</DocSecurity>
  <Lines>945</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DANIEL GOYZUETA MAMANI</dc:creator>
  <cp:keywords/>
  <dc:description/>
  <cp:lastModifiedBy>LUIS DANIEL GOYZUETA MAMANI</cp:lastModifiedBy>
  <cp:revision>13</cp:revision>
  <dcterms:created xsi:type="dcterms:W3CDTF">2025-04-09T17:03:00Z</dcterms:created>
  <dcterms:modified xsi:type="dcterms:W3CDTF">2025-09-11T15:37:00Z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9b756ec2-747d-4f71-90c7-25e3ada4f127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http://www.zotero.org/styles/food-science-and-biotechnology</vt:lpwstr>
  </property>
  <property fmtid="{D5CDD505-2E9C-101B-9397-08002B2CF9AE}" pid="10" name="Mendeley Recent Style Name 3_1">
    <vt:lpwstr>Food Science and Biotechnology</vt:lpwstr>
  </property>
  <property fmtid="{D5CDD505-2E9C-101B-9397-08002B2CF9AE}" pid="11" name="Mendeley Recent Style Id 4_1">
    <vt:lpwstr>http://www.zotero.org/styles/journal-of-chemical-information-and-modeling</vt:lpwstr>
  </property>
  <property fmtid="{D5CDD505-2E9C-101B-9397-08002B2CF9AE}" pid="12" name="Mendeley Recent Style Name 4_1">
    <vt:lpwstr>Journal of Chemical Information and Modeling</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http://www.zotero.org/styles/molecules</vt:lpwstr>
  </property>
  <property fmtid="{D5CDD505-2E9C-101B-9397-08002B2CF9AE}" pid="18" name="Mendeley Recent Style Name 7_1">
    <vt:lpwstr>Molecules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http://www.zotero.org/styles/scientific-reports</vt:lpwstr>
  </property>
  <property fmtid="{D5CDD505-2E9C-101B-9397-08002B2CF9AE}" pid="22" name="Mendeley Recent Style Name 9_1">
    <vt:lpwstr>Scientific Reports</vt:lpwstr>
  </property>
  <property fmtid="{D5CDD505-2E9C-101B-9397-08002B2CF9AE}" pid="23" name="Mendeley Document_1">
    <vt:lpwstr>True</vt:lpwstr>
  </property>
  <property fmtid="{D5CDD505-2E9C-101B-9397-08002B2CF9AE}" pid="24" name="Mendeley Unique User Id_1">
    <vt:lpwstr>c00e8cb3-a50f-3357-9ee2-100734dcd3ba</vt:lpwstr>
  </property>
  <property fmtid="{D5CDD505-2E9C-101B-9397-08002B2CF9AE}" pid="25" name="Mendeley Citation Style_1">
    <vt:lpwstr>http://www.zotero.org/styles/scientific-reports</vt:lpwstr>
  </property>
</Properties>
</file>