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D89344" w14:textId="77777777" w:rsidR="009150BA" w:rsidRPr="009150BA" w:rsidRDefault="009150BA" w:rsidP="009150BA">
      <w:pPr>
        <w:rPr>
          <w:b/>
          <w:bCs/>
          <w:lang w:val="en-US"/>
        </w:rPr>
      </w:pPr>
      <w:r w:rsidRPr="009150BA">
        <w:rPr>
          <w:b/>
          <w:bCs/>
          <w:lang w:val="en-US"/>
        </w:rPr>
        <w:t>Figure S1 | Circadian rhythm disruption exacerbates DSS-induced colitis and impairs colonic clock gene expression.</w:t>
      </w:r>
    </w:p>
    <w:p w14:paraId="5B9661CE" w14:textId="77777777" w:rsidR="009150BA" w:rsidRPr="009150BA" w:rsidRDefault="009150BA" w:rsidP="009150BA">
      <w:pPr>
        <w:rPr>
          <w:lang w:val="en-US"/>
        </w:rPr>
      </w:pPr>
      <w:r w:rsidRPr="009150BA">
        <w:rPr>
          <w:lang w:val="en-US"/>
        </w:rPr>
        <w:t>(A) Body weight change (%) over 8 days of DSS treatment in wild-type (WT + DSS) and jet lag (Jet Lag + DSS) mice. Mice exposed to circadian disruption exhibited significantly greater weight loss. (B) Representative images of colons from WT + DSS and Jet Lag + DSS groups. (C) Quantification of colon length showing significant shortening in jet-lagged mice. (D) Disease Activity Index (DAI) scores were elevated in the Jet Lag + DSS group. (E) Histological scores based on hematoxylin and eosin-stained colonic sections revealed increased mucosal damage in jet-lagged mice. (F) Representative H&amp;E-stained distal colon sections showing mucosal architecture and inflammatory infiltration. Scale bar, 200 μm. (G) Temporal expression profiles of core circadian clock genes (Per2, Per1, Bmal1, Clock, Cry1, and Nr1d1) in colonic tissue across four Zeitgeber time points (ZT0, ZT6, ZT12, ZT18) in WT and DSS-treated mice. Expression of Per2 and several other clock genes was markedly dampened in DSS mice, with further suppression under circadian disruption. Data are presented as mean ± SEM, n = 6 per group. *</w:t>
      </w:r>
      <w:r w:rsidRPr="009150BA">
        <w:rPr>
          <w:i/>
          <w:iCs/>
          <w:lang w:val="en-US"/>
        </w:rPr>
        <w:t>P</w:t>
      </w:r>
      <w:r w:rsidRPr="009150BA">
        <w:rPr>
          <w:lang w:val="en-US"/>
        </w:rPr>
        <w:t xml:space="preserve"> &lt; 0.05, by unpaired two-tailed t-test.</w:t>
      </w:r>
    </w:p>
    <w:p w14:paraId="33330E54" w14:textId="77777777" w:rsidR="009150BA" w:rsidRPr="009150BA" w:rsidRDefault="009150BA" w:rsidP="009150BA">
      <w:pPr>
        <w:rPr>
          <w:lang w:val="en-US"/>
        </w:rPr>
      </w:pPr>
    </w:p>
    <w:p w14:paraId="48B974F9" w14:textId="77777777" w:rsidR="009150BA" w:rsidRPr="009150BA" w:rsidRDefault="009150BA" w:rsidP="009150BA">
      <w:pPr>
        <w:rPr>
          <w:b/>
          <w:bCs/>
          <w:lang w:val="en-US"/>
        </w:rPr>
      </w:pPr>
      <w:r w:rsidRPr="009150BA">
        <w:rPr>
          <w:b/>
          <w:bCs/>
          <w:lang w:val="en-US"/>
        </w:rPr>
        <w:t>Figure S2 | Efficient deletion of Per2 in intestinal epithelial cells of conditional knockout mice.</w:t>
      </w:r>
    </w:p>
    <w:p w14:paraId="0DC940BD" w14:textId="77777777" w:rsidR="009150BA" w:rsidRPr="009150BA" w:rsidRDefault="009150BA" w:rsidP="009150BA">
      <w:pPr>
        <w:rPr>
          <w:lang w:val="en-US"/>
        </w:rPr>
      </w:pPr>
      <w:r w:rsidRPr="009150BA">
        <w:rPr>
          <w:lang w:val="en-US"/>
        </w:rPr>
        <w:t xml:space="preserve">(A) Western blot analysis of PER2 protein expression in isolated intestinal epithelial cells from </w:t>
      </w:r>
      <w:r w:rsidRPr="009150BA">
        <w:rPr>
          <w:i/>
          <w:iCs/>
          <w:lang w:val="en-US"/>
        </w:rPr>
        <w:t>Per2</w:t>
      </w:r>
      <w:r w:rsidRPr="009150BA">
        <w:rPr>
          <w:i/>
          <w:iCs/>
          <w:vertAlign w:val="superscript"/>
          <w:lang w:val="en-US"/>
        </w:rPr>
        <w:t>f/f</w:t>
      </w:r>
      <w:r w:rsidRPr="009150BA">
        <w:rPr>
          <w:i/>
          <w:iCs/>
          <w:lang w:val="en-US"/>
        </w:rPr>
        <w:t xml:space="preserve"> </w:t>
      </w:r>
      <w:r w:rsidRPr="009150BA">
        <w:rPr>
          <w:lang w:val="en-US"/>
        </w:rPr>
        <w:t xml:space="preserve">and </w:t>
      </w:r>
      <w:r w:rsidRPr="009150BA">
        <w:rPr>
          <w:i/>
          <w:iCs/>
          <w:lang w:val="en-US"/>
        </w:rPr>
        <w:t>Per2</w:t>
      </w:r>
      <w:r w:rsidRPr="009150BA">
        <w:rPr>
          <w:i/>
          <w:iCs/>
          <w:vertAlign w:val="superscript"/>
          <w:lang w:val="en-US"/>
        </w:rPr>
        <w:t>-/-</w:t>
      </w:r>
      <w:r w:rsidRPr="009150BA">
        <w:rPr>
          <w:lang w:val="en-US"/>
        </w:rPr>
        <w:t xml:space="preserve"> mice. GAPDH serves as the loading control. (B) Quantification of PER2 protein levels normalized to GAPDH, demonstrating significantly reduced expression in </w:t>
      </w:r>
      <w:r w:rsidRPr="009150BA">
        <w:rPr>
          <w:i/>
          <w:iCs/>
          <w:lang w:val="en-US"/>
        </w:rPr>
        <w:t>Per2</w:t>
      </w:r>
      <w:r w:rsidRPr="009150BA">
        <w:rPr>
          <w:i/>
          <w:iCs/>
          <w:vertAlign w:val="superscript"/>
          <w:lang w:val="en-US"/>
        </w:rPr>
        <w:t>-/-</w:t>
      </w:r>
      <w:r w:rsidRPr="009150BA">
        <w:rPr>
          <w:lang w:val="en-US"/>
        </w:rPr>
        <w:t xml:space="preserve"> mice. (C) Relative </w:t>
      </w:r>
      <w:r w:rsidRPr="009150BA">
        <w:rPr>
          <w:i/>
          <w:iCs/>
          <w:lang w:val="en-US"/>
        </w:rPr>
        <w:t>Per2</w:t>
      </w:r>
      <w:r w:rsidRPr="009150BA">
        <w:rPr>
          <w:lang w:val="en-US"/>
        </w:rPr>
        <w:t xml:space="preserve"> mRNA expression in epithelial cells measured by quantitative PCR. Per2 transcript levels were markedly decreased in the knockout group. (D) Immunofluorescence staining of PER2 (green) and DAPI (blue) in colonic tissue sections from Per2</w:t>
      </w:r>
      <w:r w:rsidRPr="009150BA">
        <w:rPr>
          <w:vertAlign w:val="superscript"/>
          <w:lang w:val="en-US"/>
        </w:rPr>
        <w:t>f/f</w:t>
      </w:r>
      <w:r w:rsidRPr="009150BA">
        <w:rPr>
          <w:lang w:val="en-US"/>
        </w:rPr>
        <w:t xml:space="preserve"> and </w:t>
      </w:r>
      <w:r w:rsidRPr="009150BA">
        <w:rPr>
          <w:i/>
          <w:iCs/>
          <w:lang w:val="en-US"/>
        </w:rPr>
        <w:t>Per2</w:t>
      </w:r>
      <w:r w:rsidRPr="009150BA">
        <w:rPr>
          <w:i/>
          <w:iCs/>
          <w:vertAlign w:val="superscript"/>
          <w:lang w:val="en-US"/>
        </w:rPr>
        <w:t>-/-</w:t>
      </w:r>
      <w:r w:rsidRPr="009150BA">
        <w:rPr>
          <w:lang w:val="en-US"/>
        </w:rPr>
        <w:t xml:space="preserve"> mice. PER2 signal was strongly reduced in the intestinal epithelium of knockout mice, confirming successful gene deletion. Scale bars, 100 μm. Data are presented as mean ± SEM, n = 6 per group. *</w:t>
      </w:r>
      <w:r w:rsidRPr="009150BA">
        <w:rPr>
          <w:i/>
          <w:iCs/>
          <w:lang w:val="en-US"/>
        </w:rPr>
        <w:t>P</w:t>
      </w:r>
      <w:r w:rsidRPr="009150BA">
        <w:rPr>
          <w:lang w:val="en-US"/>
        </w:rPr>
        <w:t xml:space="preserve"> &lt; 0.05, by unpaired two-tailed t-test.</w:t>
      </w:r>
    </w:p>
    <w:p w14:paraId="7CC542B0" w14:textId="77777777" w:rsidR="009150BA" w:rsidRPr="009150BA" w:rsidRDefault="009150BA" w:rsidP="009150BA">
      <w:pPr>
        <w:rPr>
          <w:lang w:val="en-US"/>
        </w:rPr>
      </w:pPr>
    </w:p>
    <w:p w14:paraId="369C4456" w14:textId="77777777" w:rsidR="009150BA" w:rsidRPr="009150BA" w:rsidRDefault="009150BA" w:rsidP="009150BA">
      <w:pPr>
        <w:rPr>
          <w:b/>
          <w:bCs/>
          <w:lang w:val="en-US"/>
        </w:rPr>
      </w:pPr>
      <w:r w:rsidRPr="009150BA">
        <w:rPr>
          <w:b/>
          <w:bCs/>
          <w:lang w:val="en-US"/>
        </w:rPr>
        <w:t>Figure S3 | Increased necroptosis signaling in PER2-deficient mice and UC patients.</w:t>
      </w:r>
    </w:p>
    <w:p w14:paraId="23F66E63" w14:textId="77777777" w:rsidR="009150BA" w:rsidRPr="009150BA" w:rsidRDefault="009150BA" w:rsidP="009150BA">
      <w:pPr>
        <w:rPr>
          <w:lang w:val="en-US"/>
        </w:rPr>
      </w:pPr>
      <w:r w:rsidRPr="009150BA">
        <w:rPr>
          <w:lang w:val="en-US"/>
        </w:rPr>
        <w:t xml:space="preserve">(A) Western blot analysis of necroptosis markers (ZBP1, MLKL, RIPK3) in colonic tissues from healthy controls (HC) and UC patients with or without sleep disruption (jet lag). GAPDH serves as a loading control. Necroptosis proteins were elevated in UC patients, particularly those with sleep disruption. (B) Confocal immunofluorescence images of colonic sections from </w:t>
      </w:r>
      <w:r w:rsidRPr="009150BA">
        <w:rPr>
          <w:i/>
          <w:iCs/>
          <w:lang w:val="en-US"/>
        </w:rPr>
        <w:t>Per2</w:t>
      </w:r>
      <w:r w:rsidRPr="009150BA">
        <w:rPr>
          <w:i/>
          <w:iCs/>
          <w:vertAlign w:val="superscript"/>
          <w:lang w:val="en-US"/>
        </w:rPr>
        <w:t>f/f</w:t>
      </w:r>
      <w:r w:rsidRPr="009150BA">
        <w:rPr>
          <w:lang w:val="en-US"/>
        </w:rPr>
        <w:t xml:space="preserve">, </w:t>
      </w:r>
      <w:r w:rsidRPr="009150BA">
        <w:rPr>
          <w:i/>
          <w:iCs/>
          <w:lang w:val="en-US"/>
        </w:rPr>
        <w:t>Per2</w:t>
      </w:r>
      <w:r w:rsidRPr="009150BA">
        <w:rPr>
          <w:i/>
          <w:iCs/>
          <w:vertAlign w:val="superscript"/>
          <w:lang w:val="en-US"/>
        </w:rPr>
        <w:t>-/-</w:t>
      </w:r>
      <w:r w:rsidRPr="009150BA">
        <w:rPr>
          <w:lang w:val="en-US"/>
        </w:rPr>
        <w:t xml:space="preserve">, </w:t>
      </w:r>
      <w:r w:rsidRPr="009150BA">
        <w:rPr>
          <w:i/>
          <w:iCs/>
          <w:lang w:val="en-US"/>
        </w:rPr>
        <w:t>Per2</w:t>
      </w:r>
      <w:r w:rsidRPr="009150BA">
        <w:rPr>
          <w:i/>
          <w:iCs/>
          <w:vertAlign w:val="superscript"/>
          <w:lang w:val="en-US"/>
        </w:rPr>
        <w:t>f/f</w:t>
      </w:r>
      <w:r w:rsidRPr="009150BA">
        <w:rPr>
          <w:lang w:val="en-US"/>
        </w:rPr>
        <w:t xml:space="preserve"> + DSS, and </w:t>
      </w:r>
      <w:r w:rsidRPr="009150BA">
        <w:rPr>
          <w:i/>
          <w:iCs/>
          <w:lang w:val="en-US"/>
        </w:rPr>
        <w:t>Per2</w:t>
      </w:r>
      <w:r w:rsidRPr="009150BA">
        <w:rPr>
          <w:i/>
          <w:iCs/>
          <w:vertAlign w:val="superscript"/>
          <w:lang w:val="en-US"/>
        </w:rPr>
        <w:t>-/-</w:t>
      </w:r>
      <w:r w:rsidRPr="009150BA">
        <w:rPr>
          <w:lang w:val="en-US"/>
        </w:rPr>
        <w:t xml:space="preserve"> + DSS mice. Sections were co-stained for MLKL (red), TUNEL (green), and DAPI (blue). Strong co-localization of </w:t>
      </w:r>
      <w:r w:rsidRPr="009150BA">
        <w:rPr>
          <w:lang w:val="en-US"/>
        </w:rPr>
        <w:lastRenderedPageBreak/>
        <w:t xml:space="preserve">TUNEL and MLKL signals was observed in </w:t>
      </w:r>
      <w:r w:rsidRPr="009150BA">
        <w:rPr>
          <w:i/>
          <w:iCs/>
          <w:lang w:val="en-US"/>
        </w:rPr>
        <w:t>Per2</w:t>
      </w:r>
      <w:r w:rsidRPr="009150BA">
        <w:rPr>
          <w:i/>
          <w:iCs/>
          <w:vertAlign w:val="superscript"/>
          <w:lang w:val="en-US"/>
        </w:rPr>
        <w:t>-/-</w:t>
      </w:r>
      <w:r w:rsidRPr="009150BA">
        <w:rPr>
          <w:lang w:val="en-US"/>
        </w:rPr>
        <w:t xml:space="preserve"> + DSS mice, indicating enhanced necroptotic cell death. Scale bar, 100 μm.</w:t>
      </w:r>
    </w:p>
    <w:p w14:paraId="3FF588F5" w14:textId="77777777" w:rsidR="009150BA" w:rsidRPr="009150BA" w:rsidRDefault="009150BA" w:rsidP="009150BA">
      <w:pPr>
        <w:rPr>
          <w:b/>
          <w:bCs/>
          <w:lang w:val="en-US"/>
        </w:rPr>
      </w:pPr>
    </w:p>
    <w:p w14:paraId="4993F34C" w14:textId="77777777" w:rsidR="009150BA" w:rsidRPr="009150BA" w:rsidRDefault="009150BA" w:rsidP="009150BA">
      <w:pPr>
        <w:rPr>
          <w:b/>
          <w:bCs/>
          <w:lang w:val="en-US"/>
        </w:rPr>
      </w:pPr>
      <w:r w:rsidRPr="009150BA">
        <w:rPr>
          <w:b/>
          <w:bCs/>
          <w:lang w:val="en-US"/>
        </w:rPr>
        <w:t>Figure S4 | Identification of STAT1 as a PER2-interacting necroptosis regulator.</w:t>
      </w:r>
    </w:p>
    <w:p w14:paraId="4BE991B6" w14:textId="77777777" w:rsidR="009150BA" w:rsidRPr="009150BA" w:rsidRDefault="009150BA" w:rsidP="009150BA">
      <w:pPr>
        <w:rPr>
          <w:lang w:val="en-US"/>
        </w:rPr>
      </w:pPr>
      <w:r w:rsidRPr="009150BA">
        <w:rPr>
          <w:lang w:val="en-US"/>
        </w:rPr>
        <w:t xml:space="preserve">(A) Venn diagram showing overlap between proteins identified by PER2 immunoprecipitation (IP) and mass spectrometry (FLAG IP-1 and IP-2) with a curated list of necroptosis-related genes. STAT1 and STAT3 were identified as shared candidates. (B) Quantitative analysis of STAT1 and STAT3 protein expression from Fig. 6A, comparing </w:t>
      </w:r>
      <w:r w:rsidRPr="009150BA">
        <w:rPr>
          <w:i/>
          <w:iCs/>
          <w:lang w:val="en-US"/>
        </w:rPr>
        <w:t>Per2</w:t>
      </w:r>
      <w:r w:rsidRPr="009150BA">
        <w:rPr>
          <w:i/>
          <w:iCs/>
          <w:vertAlign w:val="superscript"/>
          <w:lang w:val="en-US"/>
        </w:rPr>
        <w:t>-/-</w:t>
      </w:r>
      <w:r w:rsidRPr="009150BA">
        <w:rPr>
          <w:lang w:val="en-US"/>
        </w:rPr>
        <w:t xml:space="preserve"> + DSS and </w:t>
      </w:r>
      <w:r w:rsidRPr="009150BA">
        <w:rPr>
          <w:i/>
          <w:iCs/>
          <w:lang w:val="en-US"/>
        </w:rPr>
        <w:t>Per2</w:t>
      </w:r>
      <w:r w:rsidRPr="009150BA">
        <w:rPr>
          <w:i/>
          <w:iCs/>
          <w:vertAlign w:val="superscript"/>
          <w:lang w:val="en-US"/>
        </w:rPr>
        <w:t>f/f</w:t>
      </w:r>
      <w:r w:rsidRPr="009150BA">
        <w:rPr>
          <w:vertAlign w:val="superscript"/>
          <w:lang w:val="en-US"/>
        </w:rPr>
        <w:t xml:space="preserve"> </w:t>
      </w:r>
      <w:r w:rsidRPr="009150BA">
        <w:rPr>
          <w:lang w:val="en-US"/>
        </w:rPr>
        <w:t xml:space="preserve">+ DSS groups. STAT1, but not STAT3, was significantly upregulated in </w:t>
      </w:r>
      <w:r w:rsidRPr="009150BA">
        <w:rPr>
          <w:i/>
          <w:iCs/>
          <w:lang w:val="en-US"/>
        </w:rPr>
        <w:t>Per2</w:t>
      </w:r>
      <w:r w:rsidRPr="009150BA">
        <w:rPr>
          <w:i/>
          <w:iCs/>
          <w:vertAlign w:val="superscript"/>
          <w:lang w:val="en-US"/>
        </w:rPr>
        <w:t>-/-</w:t>
      </w:r>
      <w:r w:rsidRPr="009150BA">
        <w:rPr>
          <w:lang w:val="en-US"/>
        </w:rPr>
        <w:t xml:space="preserve"> mice. (C) Schematic map of the pGL4.11 luciferase reporter plasmid containing the ZBP1 promoter sequence, indicating the location of the STAT1 binding site used for wild-type and mutant reporter constructs.</w:t>
      </w:r>
    </w:p>
    <w:p w14:paraId="5A87CA8F" w14:textId="77777777" w:rsidR="009150BA" w:rsidRPr="009150BA" w:rsidRDefault="009150BA" w:rsidP="009150BA">
      <w:pPr>
        <w:rPr>
          <w:lang w:val="en-US"/>
        </w:rPr>
      </w:pPr>
    </w:p>
    <w:p w14:paraId="2672A8D1" w14:textId="77777777" w:rsidR="009150BA" w:rsidRPr="009150BA" w:rsidRDefault="009150BA" w:rsidP="009150BA">
      <w:pPr>
        <w:rPr>
          <w:b/>
          <w:bCs/>
          <w:lang w:val="en-US"/>
        </w:rPr>
      </w:pPr>
      <w:r w:rsidRPr="009150BA">
        <w:rPr>
          <w:b/>
          <w:bCs/>
          <w:lang w:val="en-US"/>
        </w:rPr>
        <w:t>Figure S5 | Structural mapping of PER2 interaction domains and functional validation of PAS1 in necroptosis regulation.</w:t>
      </w:r>
    </w:p>
    <w:p w14:paraId="17C31DBD" w14:textId="77777777" w:rsidR="009150BA" w:rsidRPr="009150BA" w:rsidRDefault="009150BA" w:rsidP="009150BA">
      <w:pPr>
        <w:rPr>
          <w:lang w:val="en-US"/>
        </w:rPr>
      </w:pPr>
      <w:r w:rsidRPr="009150BA">
        <w:rPr>
          <w:lang w:val="en-US"/>
        </w:rPr>
        <w:t>(A) Schematic diagram of full-length and truncated PER2 constructs used for domain mapping. Mutants include deletions of PAS1, PAS2, PAC, and N-terminal fragments (N-N1, N-N2, N-N3) with defined amino acid boundaries. (B) Western blot analysis of necroptosis markers in LPS-treated NCM460 cells expressing ΔPAS1 mutant. Loss of the PAS1 domain reduced the expression of ZBP1, MLKL, RIPK3, and their phosphorylated forms (p-MLKL, p-RIPK3), indicating impaired necroptotic signaling.</w:t>
      </w:r>
    </w:p>
    <w:p w14:paraId="33589DE6" w14:textId="77777777" w:rsidR="009150BA" w:rsidRPr="009150BA" w:rsidRDefault="009150BA" w:rsidP="009150BA">
      <w:pPr>
        <w:rPr>
          <w:lang w:val="en-US"/>
        </w:rPr>
      </w:pPr>
    </w:p>
    <w:p w14:paraId="69AE49E8" w14:textId="77777777" w:rsidR="009150BA" w:rsidRPr="009150BA" w:rsidRDefault="009150BA" w:rsidP="009150BA">
      <w:pPr>
        <w:rPr>
          <w:b/>
          <w:bCs/>
          <w:lang w:val="en-US"/>
        </w:rPr>
      </w:pPr>
      <w:r w:rsidRPr="009150BA">
        <w:rPr>
          <w:b/>
          <w:bCs/>
          <w:lang w:val="en-US"/>
        </w:rPr>
        <w:t>Figure S6 | Morphological characterization of sodium alginate-Nifuroxazide hydrogel microspheres.</w:t>
      </w:r>
    </w:p>
    <w:p w14:paraId="5E5642D0" w14:textId="77777777" w:rsidR="009150BA" w:rsidRPr="009150BA" w:rsidRDefault="009150BA" w:rsidP="009150BA">
      <w:pPr>
        <w:rPr>
          <w:lang w:val="en-US"/>
        </w:rPr>
      </w:pPr>
      <w:r w:rsidRPr="009150BA">
        <w:rPr>
          <w:lang w:val="en-US"/>
        </w:rPr>
        <w:t>(A) Scanning electron microscopy (SEM) image of the external surface of sodium alginate–Nifuroxazide hydrogel microspheres, showing a relatively smooth and compact morphology. (B) SEM image of the internal structure of fractured microspheres, revealing a porous architecture that facilitates sustained drug release. Scale bars: 10 µm.</w:t>
      </w:r>
    </w:p>
    <w:p w14:paraId="2E4E173B" w14:textId="77777777" w:rsidR="009150BA" w:rsidRPr="009150BA" w:rsidRDefault="009150BA" w:rsidP="009150BA">
      <w:pPr>
        <w:rPr>
          <w:lang w:val="en-US"/>
        </w:rPr>
      </w:pPr>
    </w:p>
    <w:p w14:paraId="372DE908" w14:textId="77777777" w:rsidR="009150BA" w:rsidRDefault="009150BA" w:rsidP="00857ABD">
      <w:pPr>
        <w:rPr>
          <w:lang w:val="en-US"/>
        </w:rPr>
      </w:pPr>
    </w:p>
    <w:p w14:paraId="32BCEB56" w14:textId="77777777" w:rsidR="009150BA" w:rsidRDefault="009150BA" w:rsidP="00857ABD">
      <w:pPr>
        <w:rPr>
          <w:lang w:val="en-US"/>
        </w:rPr>
      </w:pPr>
    </w:p>
    <w:p w14:paraId="6631F281" w14:textId="77777777" w:rsidR="009150BA" w:rsidRDefault="009150BA" w:rsidP="00857ABD">
      <w:pPr>
        <w:rPr>
          <w:lang w:val="en-US"/>
        </w:rPr>
      </w:pPr>
    </w:p>
    <w:p w14:paraId="68AFD600" w14:textId="77777777" w:rsidR="009150BA" w:rsidRDefault="009150BA" w:rsidP="00857ABD">
      <w:pPr>
        <w:rPr>
          <w:lang w:val="en-US"/>
        </w:rPr>
      </w:pPr>
    </w:p>
    <w:p w14:paraId="7D2D34CF" w14:textId="16CC5036" w:rsidR="00857ABD" w:rsidRPr="00857ABD" w:rsidRDefault="00857ABD" w:rsidP="00857ABD">
      <w:pPr>
        <w:rPr>
          <w:lang w:val="en-US"/>
        </w:rPr>
      </w:pPr>
      <w:r w:rsidRPr="00857ABD">
        <w:rPr>
          <w:lang w:val="en-US"/>
        </w:rPr>
        <w:lastRenderedPageBreak/>
        <w:t>Figure. S1</w:t>
      </w:r>
    </w:p>
    <w:p w14:paraId="4A4FDC5D" w14:textId="3FA0F087" w:rsidR="00857ABD" w:rsidRPr="00857ABD" w:rsidRDefault="00857ABD" w:rsidP="00857ABD">
      <w:pPr>
        <w:rPr>
          <w:lang w:val="en-US"/>
        </w:rPr>
      </w:pPr>
      <w:r w:rsidRPr="00857ABD">
        <w:rPr>
          <w:noProof/>
          <w:lang w:val="en-US"/>
        </w:rPr>
        <w:drawing>
          <wp:inline distT="0" distB="0" distL="0" distR="0" wp14:anchorId="3FA02790" wp14:editId="57039611">
            <wp:extent cx="5276850" cy="7458075"/>
            <wp:effectExtent l="0" t="0" r="0" b="9525"/>
            <wp:docPr id="36058404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6850" cy="7458075"/>
                    </a:xfrm>
                    <a:prstGeom prst="rect">
                      <a:avLst/>
                    </a:prstGeom>
                    <a:noFill/>
                    <a:ln>
                      <a:noFill/>
                    </a:ln>
                  </pic:spPr>
                </pic:pic>
              </a:graphicData>
            </a:graphic>
          </wp:inline>
        </w:drawing>
      </w:r>
    </w:p>
    <w:p w14:paraId="74C5BCAA" w14:textId="77777777" w:rsidR="00857ABD" w:rsidRPr="00857ABD" w:rsidRDefault="00857ABD" w:rsidP="00857ABD">
      <w:pPr>
        <w:rPr>
          <w:lang w:val="en-US"/>
        </w:rPr>
      </w:pPr>
    </w:p>
    <w:p w14:paraId="60E3C0A3" w14:textId="77777777" w:rsidR="00857ABD" w:rsidRPr="00857ABD" w:rsidRDefault="00857ABD" w:rsidP="00857ABD">
      <w:pPr>
        <w:rPr>
          <w:lang w:val="en-US"/>
        </w:rPr>
      </w:pPr>
    </w:p>
    <w:p w14:paraId="1C622939" w14:textId="77777777" w:rsidR="00857ABD" w:rsidRPr="00857ABD" w:rsidRDefault="00857ABD" w:rsidP="00857ABD">
      <w:pPr>
        <w:rPr>
          <w:lang w:val="en-US"/>
        </w:rPr>
      </w:pPr>
    </w:p>
    <w:p w14:paraId="7CD43AC8" w14:textId="77777777" w:rsidR="00857ABD" w:rsidRPr="00857ABD" w:rsidRDefault="00857ABD" w:rsidP="00857ABD">
      <w:pPr>
        <w:rPr>
          <w:lang w:val="en-US"/>
        </w:rPr>
      </w:pPr>
    </w:p>
    <w:p w14:paraId="74E00B01" w14:textId="77777777" w:rsidR="00857ABD" w:rsidRPr="00857ABD" w:rsidRDefault="00857ABD" w:rsidP="00857ABD">
      <w:pPr>
        <w:rPr>
          <w:lang w:val="en-US"/>
        </w:rPr>
      </w:pPr>
    </w:p>
    <w:p w14:paraId="52132B69" w14:textId="77777777" w:rsidR="00857ABD" w:rsidRPr="00857ABD" w:rsidRDefault="00857ABD" w:rsidP="00857ABD">
      <w:pPr>
        <w:rPr>
          <w:lang w:val="en-US"/>
        </w:rPr>
      </w:pPr>
      <w:r w:rsidRPr="00857ABD">
        <w:rPr>
          <w:lang w:val="en-US"/>
        </w:rPr>
        <w:t>Figure. S2</w:t>
      </w:r>
    </w:p>
    <w:p w14:paraId="44753356" w14:textId="51EDAECF" w:rsidR="00857ABD" w:rsidRPr="00857ABD" w:rsidRDefault="00857ABD" w:rsidP="00857ABD">
      <w:pPr>
        <w:rPr>
          <w:lang w:val="en-US"/>
        </w:rPr>
      </w:pPr>
      <w:r w:rsidRPr="00857ABD">
        <w:rPr>
          <w:noProof/>
          <w:lang w:val="en-US"/>
        </w:rPr>
        <w:drawing>
          <wp:inline distT="0" distB="0" distL="0" distR="0" wp14:anchorId="7E1AA4C3" wp14:editId="0CA931F1">
            <wp:extent cx="5276850" cy="3895725"/>
            <wp:effectExtent l="0" t="0" r="0" b="9525"/>
            <wp:docPr id="49153179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6850" cy="3895725"/>
                    </a:xfrm>
                    <a:prstGeom prst="rect">
                      <a:avLst/>
                    </a:prstGeom>
                    <a:noFill/>
                    <a:ln>
                      <a:noFill/>
                    </a:ln>
                  </pic:spPr>
                </pic:pic>
              </a:graphicData>
            </a:graphic>
          </wp:inline>
        </w:drawing>
      </w:r>
    </w:p>
    <w:p w14:paraId="5F3F3C10" w14:textId="77777777" w:rsidR="00857ABD" w:rsidRPr="00857ABD" w:rsidRDefault="00857ABD" w:rsidP="00857ABD">
      <w:pPr>
        <w:rPr>
          <w:lang w:val="en-US"/>
        </w:rPr>
      </w:pPr>
    </w:p>
    <w:p w14:paraId="17F01924" w14:textId="77777777" w:rsidR="00857ABD" w:rsidRPr="00857ABD" w:rsidRDefault="00857ABD" w:rsidP="00857ABD">
      <w:pPr>
        <w:rPr>
          <w:lang w:val="en-US"/>
        </w:rPr>
      </w:pPr>
    </w:p>
    <w:p w14:paraId="7101400F" w14:textId="77777777" w:rsidR="00857ABD" w:rsidRPr="00857ABD" w:rsidRDefault="00857ABD" w:rsidP="00857ABD">
      <w:pPr>
        <w:rPr>
          <w:lang w:val="en-US"/>
        </w:rPr>
      </w:pPr>
    </w:p>
    <w:p w14:paraId="58037250" w14:textId="77777777" w:rsidR="00857ABD" w:rsidRPr="00857ABD" w:rsidRDefault="00857ABD" w:rsidP="00857ABD">
      <w:pPr>
        <w:rPr>
          <w:lang w:val="en-US"/>
        </w:rPr>
      </w:pPr>
    </w:p>
    <w:p w14:paraId="17455270" w14:textId="77777777" w:rsidR="00857ABD" w:rsidRPr="00857ABD" w:rsidRDefault="00857ABD" w:rsidP="00857ABD">
      <w:pPr>
        <w:rPr>
          <w:lang w:val="en-US"/>
        </w:rPr>
      </w:pPr>
    </w:p>
    <w:p w14:paraId="59785154" w14:textId="77777777" w:rsidR="00857ABD" w:rsidRPr="00857ABD" w:rsidRDefault="00857ABD" w:rsidP="00857ABD">
      <w:pPr>
        <w:rPr>
          <w:lang w:val="en-US"/>
        </w:rPr>
      </w:pPr>
    </w:p>
    <w:p w14:paraId="77D4D7A8" w14:textId="77777777" w:rsidR="00857ABD" w:rsidRPr="00857ABD" w:rsidRDefault="00857ABD" w:rsidP="00857ABD">
      <w:pPr>
        <w:rPr>
          <w:lang w:val="en-US"/>
        </w:rPr>
      </w:pPr>
    </w:p>
    <w:p w14:paraId="3B62478F" w14:textId="77777777" w:rsidR="00857ABD" w:rsidRPr="00857ABD" w:rsidRDefault="00857ABD" w:rsidP="00857ABD">
      <w:pPr>
        <w:rPr>
          <w:lang w:val="en-US"/>
        </w:rPr>
      </w:pPr>
    </w:p>
    <w:p w14:paraId="446018C8" w14:textId="77777777" w:rsidR="00857ABD" w:rsidRPr="00857ABD" w:rsidRDefault="00857ABD" w:rsidP="00857ABD">
      <w:pPr>
        <w:rPr>
          <w:lang w:val="en-US"/>
        </w:rPr>
      </w:pPr>
    </w:p>
    <w:p w14:paraId="35A396B6" w14:textId="77777777" w:rsidR="00857ABD" w:rsidRPr="00857ABD" w:rsidRDefault="00857ABD" w:rsidP="00857ABD">
      <w:pPr>
        <w:rPr>
          <w:lang w:val="en-US"/>
        </w:rPr>
      </w:pPr>
    </w:p>
    <w:p w14:paraId="5FD986BA" w14:textId="77777777" w:rsidR="00857ABD" w:rsidRPr="00857ABD" w:rsidRDefault="00857ABD" w:rsidP="00857ABD">
      <w:pPr>
        <w:rPr>
          <w:lang w:val="en-US"/>
        </w:rPr>
      </w:pPr>
    </w:p>
    <w:p w14:paraId="371279C5" w14:textId="77777777" w:rsidR="00857ABD" w:rsidRPr="00857ABD" w:rsidRDefault="00857ABD" w:rsidP="00857ABD">
      <w:pPr>
        <w:rPr>
          <w:lang w:val="en-US"/>
        </w:rPr>
      </w:pPr>
    </w:p>
    <w:p w14:paraId="64D48E68" w14:textId="77777777" w:rsidR="00857ABD" w:rsidRPr="00857ABD" w:rsidRDefault="00857ABD" w:rsidP="00857ABD">
      <w:pPr>
        <w:rPr>
          <w:lang w:val="en-US"/>
        </w:rPr>
      </w:pPr>
      <w:r w:rsidRPr="00857ABD">
        <w:rPr>
          <w:lang w:val="en-US"/>
        </w:rPr>
        <w:lastRenderedPageBreak/>
        <w:t>Figure. S3</w:t>
      </w:r>
    </w:p>
    <w:p w14:paraId="49681342" w14:textId="3A1074DA" w:rsidR="00857ABD" w:rsidRPr="00857ABD" w:rsidRDefault="00857ABD" w:rsidP="00857ABD">
      <w:pPr>
        <w:rPr>
          <w:lang w:val="en-US"/>
        </w:rPr>
      </w:pPr>
      <w:r w:rsidRPr="00857ABD">
        <w:rPr>
          <w:noProof/>
          <w:lang w:val="en-US"/>
        </w:rPr>
        <w:drawing>
          <wp:inline distT="0" distB="0" distL="0" distR="0" wp14:anchorId="5F2FCACB" wp14:editId="3FEB1EFC">
            <wp:extent cx="5276850" cy="6076950"/>
            <wp:effectExtent l="0" t="0" r="0" b="0"/>
            <wp:docPr id="27482000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6850" cy="6076950"/>
                    </a:xfrm>
                    <a:prstGeom prst="rect">
                      <a:avLst/>
                    </a:prstGeom>
                    <a:noFill/>
                    <a:ln>
                      <a:noFill/>
                    </a:ln>
                  </pic:spPr>
                </pic:pic>
              </a:graphicData>
            </a:graphic>
          </wp:inline>
        </w:drawing>
      </w:r>
    </w:p>
    <w:p w14:paraId="38B79EE6" w14:textId="77777777" w:rsidR="00857ABD" w:rsidRPr="00857ABD" w:rsidRDefault="00857ABD" w:rsidP="00857ABD">
      <w:pPr>
        <w:rPr>
          <w:lang w:val="en-US"/>
        </w:rPr>
      </w:pPr>
    </w:p>
    <w:p w14:paraId="7757A1D0" w14:textId="77777777" w:rsidR="00857ABD" w:rsidRPr="00857ABD" w:rsidRDefault="00857ABD" w:rsidP="00857ABD">
      <w:pPr>
        <w:rPr>
          <w:lang w:val="en-US"/>
        </w:rPr>
      </w:pPr>
    </w:p>
    <w:p w14:paraId="77E7949B" w14:textId="77777777" w:rsidR="00857ABD" w:rsidRPr="00857ABD" w:rsidRDefault="00857ABD" w:rsidP="00857ABD">
      <w:pPr>
        <w:rPr>
          <w:lang w:val="en-US"/>
        </w:rPr>
      </w:pPr>
    </w:p>
    <w:p w14:paraId="0A3CFBD1" w14:textId="77777777" w:rsidR="00857ABD" w:rsidRPr="00857ABD" w:rsidRDefault="00857ABD" w:rsidP="00857ABD">
      <w:pPr>
        <w:rPr>
          <w:lang w:val="en-US"/>
        </w:rPr>
      </w:pPr>
    </w:p>
    <w:p w14:paraId="60953DFE" w14:textId="77777777" w:rsidR="00857ABD" w:rsidRPr="00857ABD" w:rsidRDefault="00857ABD" w:rsidP="00857ABD">
      <w:pPr>
        <w:rPr>
          <w:lang w:val="en-US"/>
        </w:rPr>
      </w:pPr>
    </w:p>
    <w:p w14:paraId="58781489" w14:textId="77777777" w:rsidR="00857ABD" w:rsidRPr="00857ABD" w:rsidRDefault="00857ABD" w:rsidP="00857ABD">
      <w:pPr>
        <w:rPr>
          <w:lang w:val="en-US"/>
        </w:rPr>
      </w:pPr>
    </w:p>
    <w:p w14:paraId="11B8AEC1" w14:textId="77777777" w:rsidR="00857ABD" w:rsidRPr="00857ABD" w:rsidRDefault="00857ABD" w:rsidP="00857ABD">
      <w:pPr>
        <w:rPr>
          <w:lang w:val="en-US"/>
        </w:rPr>
      </w:pPr>
    </w:p>
    <w:p w14:paraId="79F622E6" w14:textId="77777777" w:rsidR="00857ABD" w:rsidRPr="00857ABD" w:rsidRDefault="00857ABD" w:rsidP="00857ABD">
      <w:pPr>
        <w:rPr>
          <w:lang w:val="en-US"/>
        </w:rPr>
      </w:pPr>
      <w:r w:rsidRPr="00857ABD">
        <w:rPr>
          <w:lang w:val="en-US"/>
        </w:rPr>
        <w:lastRenderedPageBreak/>
        <w:t>Figure. S4</w:t>
      </w:r>
    </w:p>
    <w:p w14:paraId="72A5D786" w14:textId="718DE9A6" w:rsidR="00857ABD" w:rsidRPr="00857ABD" w:rsidRDefault="00857ABD" w:rsidP="00857ABD">
      <w:pPr>
        <w:rPr>
          <w:lang w:val="en-US"/>
        </w:rPr>
      </w:pPr>
      <w:r w:rsidRPr="00857ABD">
        <w:rPr>
          <w:noProof/>
          <w:lang w:val="en-US"/>
        </w:rPr>
        <w:drawing>
          <wp:inline distT="0" distB="0" distL="0" distR="0" wp14:anchorId="4783B49F" wp14:editId="04A60EAE">
            <wp:extent cx="5276850" cy="3638550"/>
            <wp:effectExtent l="0" t="0" r="0" b="0"/>
            <wp:docPr id="96537866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6850" cy="3638550"/>
                    </a:xfrm>
                    <a:prstGeom prst="rect">
                      <a:avLst/>
                    </a:prstGeom>
                    <a:noFill/>
                    <a:ln>
                      <a:noFill/>
                    </a:ln>
                  </pic:spPr>
                </pic:pic>
              </a:graphicData>
            </a:graphic>
          </wp:inline>
        </w:drawing>
      </w:r>
    </w:p>
    <w:p w14:paraId="5F4A2730" w14:textId="77777777" w:rsidR="00857ABD" w:rsidRPr="00857ABD" w:rsidRDefault="00857ABD" w:rsidP="00857ABD">
      <w:pPr>
        <w:rPr>
          <w:lang w:val="en-US"/>
        </w:rPr>
      </w:pPr>
    </w:p>
    <w:p w14:paraId="3ACE51DA" w14:textId="77777777" w:rsidR="00857ABD" w:rsidRPr="00857ABD" w:rsidRDefault="00857ABD" w:rsidP="00857ABD">
      <w:pPr>
        <w:rPr>
          <w:lang w:val="en-US"/>
        </w:rPr>
      </w:pPr>
    </w:p>
    <w:p w14:paraId="1826E3E0" w14:textId="77777777" w:rsidR="00857ABD" w:rsidRPr="00857ABD" w:rsidRDefault="00857ABD" w:rsidP="00857ABD">
      <w:pPr>
        <w:rPr>
          <w:lang w:val="en-US"/>
        </w:rPr>
      </w:pPr>
    </w:p>
    <w:p w14:paraId="2700CD63" w14:textId="77777777" w:rsidR="00857ABD" w:rsidRPr="00857ABD" w:rsidRDefault="00857ABD" w:rsidP="00857ABD">
      <w:pPr>
        <w:rPr>
          <w:lang w:val="en-US"/>
        </w:rPr>
      </w:pPr>
    </w:p>
    <w:p w14:paraId="64D40D9A" w14:textId="77777777" w:rsidR="00857ABD" w:rsidRPr="00857ABD" w:rsidRDefault="00857ABD" w:rsidP="00857ABD">
      <w:pPr>
        <w:rPr>
          <w:lang w:val="en-US"/>
        </w:rPr>
      </w:pPr>
      <w:r w:rsidRPr="00857ABD">
        <w:rPr>
          <w:lang w:val="en-US"/>
        </w:rPr>
        <w:t>Figure. S5</w:t>
      </w:r>
    </w:p>
    <w:p w14:paraId="361AC774" w14:textId="091909BE" w:rsidR="00857ABD" w:rsidRPr="00857ABD" w:rsidRDefault="00857ABD" w:rsidP="00857ABD">
      <w:pPr>
        <w:rPr>
          <w:lang w:val="en-US"/>
        </w:rPr>
      </w:pPr>
      <w:r w:rsidRPr="00857ABD">
        <w:rPr>
          <w:noProof/>
          <w:lang w:val="en-US"/>
        </w:rPr>
        <w:drawing>
          <wp:inline distT="0" distB="0" distL="0" distR="0" wp14:anchorId="22B520AA" wp14:editId="6411F72B">
            <wp:extent cx="5276850" cy="2152650"/>
            <wp:effectExtent l="0" t="0" r="0" b="0"/>
            <wp:docPr id="1586993607" name="Picture 8"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993607" name="Picture 8" descr="A diagram of a diagram&#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6850" cy="2152650"/>
                    </a:xfrm>
                    <a:prstGeom prst="rect">
                      <a:avLst/>
                    </a:prstGeom>
                    <a:noFill/>
                    <a:ln>
                      <a:noFill/>
                    </a:ln>
                  </pic:spPr>
                </pic:pic>
              </a:graphicData>
            </a:graphic>
          </wp:inline>
        </w:drawing>
      </w:r>
    </w:p>
    <w:p w14:paraId="3C62864E" w14:textId="77777777" w:rsidR="00857ABD" w:rsidRPr="00857ABD" w:rsidRDefault="00857ABD" w:rsidP="00857ABD">
      <w:pPr>
        <w:rPr>
          <w:lang w:val="en-US"/>
        </w:rPr>
      </w:pPr>
    </w:p>
    <w:p w14:paraId="2AC73E05" w14:textId="77777777" w:rsidR="00857ABD" w:rsidRPr="00857ABD" w:rsidRDefault="00857ABD" w:rsidP="00857ABD">
      <w:pPr>
        <w:rPr>
          <w:lang w:val="en-US"/>
        </w:rPr>
      </w:pPr>
    </w:p>
    <w:p w14:paraId="38A31DEF" w14:textId="77777777" w:rsidR="00857ABD" w:rsidRPr="00857ABD" w:rsidRDefault="00857ABD" w:rsidP="00857ABD">
      <w:pPr>
        <w:rPr>
          <w:lang w:val="en-US"/>
        </w:rPr>
      </w:pPr>
    </w:p>
    <w:p w14:paraId="00E45C2E" w14:textId="77777777" w:rsidR="00857ABD" w:rsidRPr="00857ABD" w:rsidRDefault="00857ABD" w:rsidP="00857ABD">
      <w:pPr>
        <w:rPr>
          <w:lang w:val="en-US"/>
        </w:rPr>
      </w:pPr>
      <w:r w:rsidRPr="00857ABD">
        <w:rPr>
          <w:lang w:val="en-US"/>
        </w:rPr>
        <w:lastRenderedPageBreak/>
        <w:t>Figure. S6</w:t>
      </w:r>
    </w:p>
    <w:p w14:paraId="53B0F4D3" w14:textId="3D99B9B0" w:rsidR="00857ABD" w:rsidRPr="00857ABD" w:rsidRDefault="00857ABD" w:rsidP="00857ABD">
      <w:pPr>
        <w:rPr>
          <w:lang w:val="en-US"/>
        </w:rPr>
      </w:pPr>
      <w:r w:rsidRPr="00857ABD">
        <w:rPr>
          <w:noProof/>
          <w:lang w:val="en-US"/>
        </w:rPr>
        <w:drawing>
          <wp:inline distT="0" distB="0" distL="0" distR="0" wp14:anchorId="19B2D8A0" wp14:editId="2044233C">
            <wp:extent cx="5638800" cy="2181225"/>
            <wp:effectExtent l="0" t="0" r="0" b="9525"/>
            <wp:docPr id="903722817" name="Picture 7" descr="A close-up of a microsco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722817" name="Picture 7" descr="A close-up of a microscope&#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38800" cy="2181225"/>
                    </a:xfrm>
                    <a:prstGeom prst="rect">
                      <a:avLst/>
                    </a:prstGeom>
                    <a:noFill/>
                    <a:ln>
                      <a:noFill/>
                    </a:ln>
                  </pic:spPr>
                </pic:pic>
              </a:graphicData>
            </a:graphic>
          </wp:inline>
        </w:drawing>
      </w:r>
    </w:p>
    <w:p w14:paraId="46AD319F" w14:textId="77777777" w:rsidR="00857ABD" w:rsidRPr="00857ABD" w:rsidRDefault="00857ABD" w:rsidP="00857ABD">
      <w:pPr>
        <w:rPr>
          <w:lang w:val="en-US"/>
        </w:rPr>
      </w:pPr>
    </w:p>
    <w:p w14:paraId="7B88192C"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ABD"/>
    <w:rsid w:val="00767E38"/>
    <w:rsid w:val="00857ABD"/>
    <w:rsid w:val="00866F7D"/>
    <w:rsid w:val="009150BA"/>
    <w:rsid w:val="00C82A0E"/>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68795"/>
  <w15:chartTrackingRefBased/>
  <w15:docId w15:val="{C261A420-4CFA-4BFF-8D2D-62E9D0B2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7A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7A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7A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7A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7A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7A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7A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7A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7A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7A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7A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7A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7A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7A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7A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7A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7A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7ABD"/>
    <w:rPr>
      <w:rFonts w:eastAsiaTheme="majorEastAsia" w:cstheme="majorBidi"/>
      <w:color w:val="272727" w:themeColor="text1" w:themeTint="D8"/>
    </w:rPr>
  </w:style>
  <w:style w:type="paragraph" w:styleId="Title">
    <w:name w:val="Title"/>
    <w:basedOn w:val="Normal"/>
    <w:next w:val="Normal"/>
    <w:link w:val="TitleChar"/>
    <w:uiPriority w:val="10"/>
    <w:qFormat/>
    <w:rsid w:val="00857A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7A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7A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7A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7ABD"/>
    <w:pPr>
      <w:spacing w:before="160"/>
      <w:jc w:val="center"/>
    </w:pPr>
    <w:rPr>
      <w:i/>
      <w:iCs/>
      <w:color w:val="404040" w:themeColor="text1" w:themeTint="BF"/>
    </w:rPr>
  </w:style>
  <w:style w:type="character" w:customStyle="1" w:styleId="QuoteChar">
    <w:name w:val="Quote Char"/>
    <w:basedOn w:val="DefaultParagraphFont"/>
    <w:link w:val="Quote"/>
    <w:uiPriority w:val="29"/>
    <w:rsid w:val="00857ABD"/>
    <w:rPr>
      <w:i/>
      <w:iCs/>
      <w:color w:val="404040" w:themeColor="text1" w:themeTint="BF"/>
    </w:rPr>
  </w:style>
  <w:style w:type="paragraph" w:styleId="ListParagraph">
    <w:name w:val="List Paragraph"/>
    <w:basedOn w:val="Normal"/>
    <w:uiPriority w:val="34"/>
    <w:qFormat/>
    <w:rsid w:val="00857ABD"/>
    <w:pPr>
      <w:ind w:left="720"/>
      <w:contextualSpacing/>
    </w:pPr>
  </w:style>
  <w:style w:type="character" w:styleId="IntenseEmphasis">
    <w:name w:val="Intense Emphasis"/>
    <w:basedOn w:val="DefaultParagraphFont"/>
    <w:uiPriority w:val="21"/>
    <w:qFormat/>
    <w:rsid w:val="00857ABD"/>
    <w:rPr>
      <w:i/>
      <w:iCs/>
      <w:color w:val="0F4761" w:themeColor="accent1" w:themeShade="BF"/>
    </w:rPr>
  </w:style>
  <w:style w:type="paragraph" w:styleId="IntenseQuote">
    <w:name w:val="Intense Quote"/>
    <w:basedOn w:val="Normal"/>
    <w:next w:val="Normal"/>
    <w:link w:val="IntenseQuoteChar"/>
    <w:uiPriority w:val="30"/>
    <w:qFormat/>
    <w:rsid w:val="00857A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7ABD"/>
    <w:rPr>
      <w:i/>
      <w:iCs/>
      <w:color w:val="0F4761" w:themeColor="accent1" w:themeShade="BF"/>
    </w:rPr>
  </w:style>
  <w:style w:type="character" w:styleId="IntenseReference">
    <w:name w:val="Intense Reference"/>
    <w:basedOn w:val="DefaultParagraphFont"/>
    <w:uiPriority w:val="32"/>
    <w:qFormat/>
    <w:rsid w:val="00857AB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4562392">
      <w:bodyDiv w:val="1"/>
      <w:marLeft w:val="0"/>
      <w:marRight w:val="0"/>
      <w:marTop w:val="0"/>
      <w:marBottom w:val="0"/>
      <w:divBdr>
        <w:top w:val="none" w:sz="0" w:space="0" w:color="auto"/>
        <w:left w:val="none" w:sz="0" w:space="0" w:color="auto"/>
        <w:bottom w:val="none" w:sz="0" w:space="0" w:color="auto"/>
        <w:right w:val="none" w:sz="0" w:space="0" w:color="auto"/>
      </w:divBdr>
    </w:div>
    <w:div w:id="714618153">
      <w:bodyDiv w:val="1"/>
      <w:marLeft w:val="0"/>
      <w:marRight w:val="0"/>
      <w:marTop w:val="0"/>
      <w:marBottom w:val="0"/>
      <w:divBdr>
        <w:top w:val="none" w:sz="0" w:space="0" w:color="auto"/>
        <w:left w:val="none" w:sz="0" w:space="0" w:color="auto"/>
        <w:bottom w:val="none" w:sz="0" w:space="0" w:color="auto"/>
        <w:right w:val="none" w:sz="0" w:space="0" w:color="auto"/>
      </w:divBdr>
    </w:div>
    <w:div w:id="1261914514">
      <w:bodyDiv w:val="1"/>
      <w:marLeft w:val="0"/>
      <w:marRight w:val="0"/>
      <w:marTop w:val="0"/>
      <w:marBottom w:val="0"/>
      <w:divBdr>
        <w:top w:val="none" w:sz="0" w:space="0" w:color="auto"/>
        <w:left w:val="none" w:sz="0" w:space="0" w:color="auto"/>
        <w:bottom w:val="none" w:sz="0" w:space="0" w:color="auto"/>
        <w:right w:val="none" w:sz="0" w:space="0" w:color="auto"/>
      </w:divBdr>
    </w:div>
    <w:div w:id="1586375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710</Words>
  <Characters>4050</Characters>
  <Application>Microsoft Office Word</Application>
  <DocSecurity>0</DocSecurity>
  <Lines>33</Lines>
  <Paragraphs>9</Paragraphs>
  <ScaleCrop>false</ScaleCrop>
  <Company/>
  <LinksUpToDate>false</LinksUpToDate>
  <CharactersWithSpaces>4751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dcterms:created xsi:type="dcterms:W3CDTF">2025-10-10T09:25:00Z</dcterms:created>
  <dcterms:modified xsi:type="dcterms:W3CDTF">2025-10-10T09:29:00Z</dcterms:modified>
</cp:coreProperties>
</file>