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84EC91">
      <w:pPr>
        <w:jc w:val="both"/>
        <w:rPr>
          <w:rFonts w:cs="Times New Roman"/>
          <w:b/>
          <w:bCs/>
          <w:sz w:val="22"/>
          <w:szCs w:val="24"/>
        </w:rPr>
      </w:pPr>
      <w:bookmarkStart w:id="0" w:name="_Hlk195695244"/>
      <w:bookmarkEnd w:id="0"/>
    </w:p>
    <w:p w14:paraId="0E094CDB">
      <w:pPr>
        <w:pStyle w:val="2"/>
        <w:bidi w:val="0"/>
        <w:jc w:val="center"/>
      </w:pPr>
      <w:bookmarkStart w:id="18" w:name="_GoBack"/>
      <w:r>
        <w:rPr>
          <w:rFonts w:hint="eastAsia"/>
          <w:lang w:val="en-US" w:eastAsia="zh-CN"/>
        </w:rPr>
        <w:t>Supplementary</w:t>
      </w:r>
      <w:r>
        <w:t xml:space="preserve"> Information</w:t>
      </w:r>
    </w:p>
    <w:bookmarkEnd w:id="18"/>
    <w:p w14:paraId="788EAD51">
      <w:pPr>
        <w:jc w:val="both"/>
        <w:rPr>
          <w:rFonts w:cs="Times New Roman"/>
          <w:b/>
          <w:bCs/>
          <w:sz w:val="22"/>
          <w:szCs w:val="24"/>
        </w:rPr>
      </w:pPr>
    </w:p>
    <w:p w14:paraId="503855E8">
      <w:pPr>
        <w:jc w:val="both"/>
        <w:rPr>
          <w:b/>
          <w:bCs/>
          <w:sz w:val="44"/>
          <w:szCs w:val="48"/>
        </w:rPr>
      </w:pPr>
      <w:r>
        <w:rPr>
          <w:rFonts w:hint="eastAsia"/>
          <w:b/>
          <w:bCs/>
          <w:sz w:val="44"/>
          <w:szCs w:val="48"/>
        </w:rPr>
        <w:t xml:space="preserve">Halogen (Cl, Br, I) tuning of </w:t>
      </w:r>
      <w:r>
        <w:rPr>
          <w:rFonts w:cs="Times New Roman"/>
          <w:b/>
          <w:bCs/>
          <w:color w:val="000000" w:themeColor="text1"/>
          <w:sz w:val="44"/>
          <w:szCs w:val="48"/>
          <w:shd w:val="clear" w:color="auto" w:fill="FFFFFF"/>
          <w14:textFill>
            <w14:solidFill>
              <w14:schemeClr w14:val="tx1"/>
            </w14:solidFill>
          </w14:textFill>
        </w:rPr>
        <w:t>3-Methylpiperidine</w:t>
      </w:r>
      <w:r>
        <w:rPr>
          <w:rFonts w:hint="eastAsia"/>
          <w:b/>
          <w:bCs/>
          <w:sz w:val="44"/>
          <w:szCs w:val="48"/>
        </w:rPr>
        <w:t xml:space="preserve"> Bismuth Halides for Highly Sensitive, Low-Dose, and Stable X-ray Detection</w:t>
      </w:r>
    </w:p>
    <w:p w14:paraId="406270C9">
      <w:pPr>
        <w:jc w:val="both"/>
        <w:rPr>
          <w:rFonts w:cs="Times New Roman"/>
          <w:b/>
          <w:bCs/>
          <w:sz w:val="22"/>
          <w:szCs w:val="24"/>
        </w:rPr>
      </w:pPr>
    </w:p>
    <w:p w14:paraId="4E5F01E0">
      <w:pPr>
        <w:spacing w:after="240"/>
        <w:jc w:val="both"/>
        <w:rPr>
          <w:rFonts w:cs="Times New Roman"/>
          <w:iCs/>
          <w:sz w:val="24"/>
          <w:vertAlign w:val="superscript"/>
        </w:rPr>
      </w:pPr>
      <w:r>
        <w:rPr>
          <w:rFonts w:cs="Times New Roman"/>
          <w:iCs/>
          <w:sz w:val="24"/>
          <w:lang w:eastAsia="en-US"/>
        </w:rPr>
        <w:t>H</w:t>
      </w:r>
      <w:r>
        <w:rPr>
          <w:rFonts w:cs="Times New Roman" w:eastAsiaTheme="minorEastAsia"/>
          <w:iCs/>
          <w:sz w:val="24"/>
        </w:rPr>
        <w:t>uayushuo</w:t>
      </w:r>
      <w:r>
        <w:rPr>
          <w:rFonts w:cs="Times New Roman"/>
          <w:iCs/>
          <w:sz w:val="24"/>
          <w:lang w:eastAsia="en-US"/>
        </w:rPr>
        <w:t xml:space="preserve"> Z</w:t>
      </w:r>
      <w:r>
        <w:rPr>
          <w:rFonts w:cs="Times New Roman" w:eastAsiaTheme="minorEastAsia"/>
          <w:iCs/>
          <w:sz w:val="24"/>
        </w:rPr>
        <w:t>hang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Qian Ma</w:t>
      </w:r>
      <w:r>
        <w:rPr>
          <w:rFonts w:cs="Times New Roman"/>
          <w:iCs/>
          <w:sz w:val="24"/>
          <w:vertAlign w:val="superscript"/>
          <w:lang w:eastAsia="en-US"/>
        </w:rPr>
        <w:t>*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</w:rPr>
        <w:t xml:space="preserve">, </w:t>
      </w:r>
      <w:r>
        <w:rPr>
          <w:rFonts w:cs="Times New Roman"/>
          <w:iCs/>
          <w:sz w:val="24"/>
          <w:lang w:eastAsia="en-US"/>
        </w:rPr>
        <w:t>Pan Gao</w:t>
      </w:r>
      <w:r>
        <w:rPr>
          <w:rFonts w:cs="Times New Roman" w:eastAsiaTheme="minorEastAsia"/>
          <w:iCs/>
          <w:sz w:val="24"/>
          <w:vertAlign w:val="superscript"/>
        </w:rPr>
        <w:t>b</w:t>
      </w:r>
      <w:r>
        <w:rPr>
          <w:rFonts w:cs="Times New Roman"/>
          <w:iCs/>
          <w:sz w:val="24"/>
          <w:lang w:eastAsia="en-US"/>
        </w:rPr>
        <w:t>,</w:t>
      </w:r>
      <w:r>
        <w:rPr>
          <w:rFonts w:cs="Times New Roman"/>
          <w:iCs/>
          <w:sz w:val="24"/>
        </w:rPr>
        <w:t xml:space="preserve"> </w:t>
      </w:r>
      <w:r>
        <w:rPr>
          <w:rFonts w:cs="Times New Roman"/>
          <w:iCs/>
          <w:sz w:val="24"/>
          <w:lang w:eastAsia="en-US"/>
        </w:rPr>
        <w:t>Bolong Li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X</w:t>
      </w:r>
      <w:r>
        <w:rPr>
          <w:rFonts w:cs="Times New Roman" w:eastAsiaTheme="minorEastAsia"/>
          <w:iCs/>
          <w:sz w:val="24"/>
        </w:rPr>
        <w:t>iao</w:t>
      </w:r>
      <w:r>
        <w:rPr>
          <w:rFonts w:cs="Times New Roman"/>
          <w:iCs/>
          <w:sz w:val="24"/>
          <w:lang w:eastAsia="en-US"/>
        </w:rPr>
        <w:t>xia</w:t>
      </w:r>
      <w:r>
        <w:rPr>
          <w:rFonts w:cs="Times New Roman" w:eastAsiaTheme="minorEastAsia"/>
          <w:iCs/>
          <w:sz w:val="24"/>
        </w:rPr>
        <w:t xml:space="preserve"> </w:t>
      </w:r>
      <w:r>
        <w:rPr>
          <w:rFonts w:cs="Times New Roman"/>
          <w:iCs/>
          <w:sz w:val="24"/>
          <w:lang w:eastAsia="en-US"/>
        </w:rPr>
        <w:t>Yang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Chao Li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Mingming Song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Zhiwei Hou</w:t>
      </w:r>
      <w:r>
        <w:rPr>
          <w:rFonts w:cs="Times New Roman" w:eastAsiaTheme="minorEastAsia"/>
          <w:iCs/>
          <w:sz w:val="24"/>
          <w:vertAlign w:val="superscript"/>
        </w:rPr>
        <w:t>a</w:t>
      </w:r>
      <w:r>
        <w:rPr>
          <w:rFonts w:cs="Times New Roman"/>
          <w:iCs/>
          <w:sz w:val="24"/>
          <w:lang w:eastAsia="en-US"/>
        </w:rPr>
        <w:t>, Xiaomei Jiang</w:t>
      </w:r>
      <w:r>
        <w:rPr>
          <w:rFonts w:cs="Times New Roman"/>
          <w:iCs/>
          <w:sz w:val="24"/>
          <w:vertAlign w:val="superscript"/>
          <w:lang w:eastAsia="en-US"/>
        </w:rPr>
        <w:t>*</w:t>
      </w:r>
      <w:r>
        <w:rPr>
          <w:rFonts w:cs="Times New Roman"/>
          <w:iCs/>
          <w:sz w:val="24"/>
          <w:vertAlign w:val="superscript"/>
        </w:rPr>
        <w:t>b</w:t>
      </w:r>
    </w:p>
    <w:p w14:paraId="0A06D7E0">
      <w:pPr>
        <w:widowControl/>
        <w:autoSpaceDE w:val="0"/>
        <w:spacing w:after="200" w:line="360" w:lineRule="auto"/>
        <w:jc w:val="both"/>
        <w:rPr>
          <w:rFonts w:eastAsia="Times New Roman" w:cs="Times New Roman"/>
          <w:kern w:val="0"/>
          <w:szCs w:val="21"/>
          <w:lang w:eastAsia="en-US"/>
        </w:rPr>
      </w:pPr>
      <w:bookmarkStart w:id="1" w:name="_Hlk180429302"/>
      <w:r>
        <w:rPr>
          <w:rFonts w:cs="Times New Roman"/>
          <w:kern w:val="0"/>
          <w:szCs w:val="21"/>
          <w:vertAlign w:val="superscript"/>
        </w:rPr>
        <w:t>a</w:t>
      </w:r>
      <w:r>
        <w:rPr>
          <w:rFonts w:eastAsia="Times New Roman" w:cs="Times New Roman"/>
          <w:kern w:val="0"/>
          <w:szCs w:val="21"/>
          <w:lang w:eastAsia="en-US"/>
        </w:rPr>
        <w:t xml:space="preserve">School of Material Science and Engineering, University of Jinan, Jinan 250022, PR China </w:t>
      </w:r>
    </w:p>
    <w:p w14:paraId="43945B5B">
      <w:pPr>
        <w:widowControl/>
        <w:autoSpaceDE w:val="0"/>
        <w:spacing w:after="200" w:line="360" w:lineRule="auto"/>
        <w:jc w:val="both"/>
        <w:rPr>
          <w:rFonts w:eastAsia="Times New Roman" w:cs="Times New Roman"/>
          <w:kern w:val="0"/>
          <w:szCs w:val="21"/>
          <w:lang w:eastAsia="en-US"/>
        </w:rPr>
      </w:pPr>
      <w:r>
        <w:rPr>
          <w:rFonts w:eastAsia="Times New Roman" w:cs="Times New Roman"/>
          <w:kern w:val="0"/>
          <w:szCs w:val="21"/>
          <w:vertAlign w:val="superscript"/>
        </w:rPr>
        <w:t>b</w:t>
      </w:r>
      <w:r>
        <w:rPr>
          <w:rFonts w:eastAsia="Times New Roman" w:cs="Times New Roman"/>
          <w:kern w:val="0"/>
          <w:szCs w:val="21"/>
          <w:lang w:eastAsia="en-US"/>
        </w:rPr>
        <w:t xml:space="preserve">School of Preventive Medicine Sciences (Institute of Radiation Medicine), Shandong First Medical University &amp; Shandong Academy of Medical Sciences, Jinan 250117, PR China </w:t>
      </w:r>
    </w:p>
    <w:bookmarkEnd w:id="1"/>
    <w:p w14:paraId="2D8187A1">
      <w:pPr>
        <w:widowControl/>
        <w:autoSpaceDE w:val="0"/>
        <w:spacing w:after="200" w:line="360" w:lineRule="auto"/>
        <w:jc w:val="both"/>
        <w:rPr>
          <w:rFonts w:eastAsia="Times New Roman" w:cs="Times New Roman"/>
          <w:kern w:val="0"/>
          <w:szCs w:val="21"/>
          <w:lang w:eastAsia="en-US"/>
        </w:rPr>
      </w:pPr>
      <w:r>
        <w:rPr>
          <w:rFonts w:eastAsia="Times New Roman" w:cs="Times New Roman"/>
          <w:kern w:val="0"/>
          <w:szCs w:val="21"/>
          <w:lang w:eastAsia="en-US"/>
        </w:rPr>
        <w:t>* To whom correspondence should be addressed.</w:t>
      </w:r>
    </w:p>
    <w:p w14:paraId="05C09EB2">
      <w:pPr>
        <w:widowControl/>
        <w:numPr>
          <w:ilvl w:val="0"/>
          <w:numId w:val="1"/>
        </w:numPr>
        <w:autoSpaceDE w:val="0"/>
        <w:spacing w:after="200" w:line="360" w:lineRule="auto"/>
        <w:jc w:val="both"/>
        <w:rPr>
          <w:rFonts w:eastAsia="Times New Roman" w:cs="Times New Roman"/>
          <w:kern w:val="0"/>
          <w:szCs w:val="21"/>
          <w:lang w:eastAsia="en-US"/>
        </w:rPr>
      </w:pPr>
      <w:r>
        <w:rPr>
          <w:rFonts w:eastAsia="Times New Roman" w:cs="Times New Roman"/>
          <w:kern w:val="0"/>
          <w:szCs w:val="21"/>
          <w:lang w:eastAsia="en-US"/>
        </w:rPr>
        <w:t xml:space="preserve">mail: </w:t>
      </w:r>
      <w:r>
        <w:fldChar w:fldCharType="begin"/>
      </w:r>
      <w:r>
        <w:instrText xml:space="preserve"> HYPERLINK "mailto:mse_maq@ujn.edu.cn;" </w:instrText>
      </w:r>
      <w:r>
        <w:fldChar w:fldCharType="separate"/>
      </w:r>
      <w:r>
        <w:rPr>
          <w:rFonts w:eastAsia="Times New Roman" w:cs="Times New Roman"/>
          <w:color w:val="0000FF"/>
          <w:kern w:val="0"/>
          <w:szCs w:val="21"/>
          <w:u w:val="single"/>
          <w:lang w:eastAsia="en-US"/>
        </w:rPr>
        <w:t>mse_maq@ujn.edu.cn;</w:t>
      </w:r>
      <w:r>
        <w:rPr>
          <w:rFonts w:eastAsia="Times New Roman" w:cs="Times New Roman"/>
          <w:color w:val="0000FF"/>
          <w:kern w:val="0"/>
          <w:szCs w:val="21"/>
          <w:u w:val="single"/>
          <w:lang w:eastAsia="en-US"/>
        </w:rPr>
        <w:fldChar w:fldCharType="end"/>
      </w:r>
      <w:r>
        <w:rPr>
          <w:rFonts w:eastAsia="Times New Roman" w:cs="Times New Roman"/>
          <w:kern w:val="0"/>
          <w:szCs w:val="21"/>
          <w:lang w:eastAsia="en-US"/>
        </w:rPr>
        <w:t xml:space="preserve"> </w:t>
      </w:r>
      <w:r>
        <w:fldChar w:fldCharType="begin"/>
      </w:r>
      <w:r>
        <w:instrText xml:space="preserve"> HYPERLINK "mailto:jiangxiaomei@sdfmu.edu.cn" </w:instrText>
      </w:r>
      <w:r>
        <w:fldChar w:fldCharType="separate"/>
      </w:r>
      <w:r>
        <w:rPr>
          <w:rFonts w:eastAsia="Times New Roman" w:cs="Times New Roman"/>
          <w:color w:val="0000FF"/>
          <w:kern w:val="0"/>
          <w:szCs w:val="21"/>
          <w:u w:val="single"/>
          <w:lang w:eastAsia="en-US"/>
        </w:rPr>
        <w:t>jiangxiaomei@sdfmu.edu.cn</w:t>
      </w:r>
      <w:r>
        <w:rPr>
          <w:rFonts w:eastAsia="Times New Roman" w:cs="Times New Roman"/>
          <w:color w:val="0000FF"/>
          <w:kern w:val="0"/>
          <w:szCs w:val="21"/>
          <w:u w:val="single"/>
          <w:lang w:eastAsia="en-US"/>
        </w:rPr>
        <w:fldChar w:fldCharType="end"/>
      </w:r>
    </w:p>
    <w:p w14:paraId="1312E672">
      <w:pPr>
        <w:jc w:val="both"/>
        <w:rPr>
          <w:rFonts w:cs="Times New Roman"/>
          <w:b/>
          <w:bCs/>
          <w:sz w:val="22"/>
          <w:szCs w:val="24"/>
        </w:rPr>
      </w:pPr>
    </w:p>
    <w:p w14:paraId="40A495C5">
      <w:pPr>
        <w:jc w:val="both"/>
        <w:rPr>
          <w:rFonts w:cs="Times New Roman"/>
          <w:b/>
          <w:bCs/>
          <w:sz w:val="22"/>
          <w:szCs w:val="24"/>
        </w:rPr>
      </w:pPr>
    </w:p>
    <w:p w14:paraId="329B3E88">
      <w:pPr>
        <w:jc w:val="both"/>
        <w:rPr>
          <w:rFonts w:cs="Times New Roman"/>
          <w:b/>
          <w:bCs/>
          <w:sz w:val="22"/>
          <w:szCs w:val="24"/>
        </w:rPr>
      </w:pPr>
    </w:p>
    <w:p w14:paraId="11394E9C">
      <w:pPr>
        <w:jc w:val="both"/>
        <w:rPr>
          <w:rFonts w:cs="Times New Roman"/>
          <w:b/>
          <w:bCs/>
          <w:sz w:val="22"/>
          <w:szCs w:val="24"/>
        </w:rPr>
      </w:pPr>
    </w:p>
    <w:p w14:paraId="5B3828C4">
      <w:pPr>
        <w:jc w:val="both"/>
        <w:rPr>
          <w:rFonts w:cs="Times New Roman"/>
          <w:b/>
          <w:bCs/>
          <w:sz w:val="22"/>
          <w:szCs w:val="24"/>
        </w:rPr>
      </w:pPr>
    </w:p>
    <w:p w14:paraId="2B498B5C">
      <w:pPr>
        <w:jc w:val="both"/>
        <w:rPr>
          <w:rFonts w:cs="Times New Roman"/>
          <w:b/>
          <w:bCs/>
          <w:sz w:val="22"/>
          <w:szCs w:val="24"/>
        </w:rPr>
      </w:pPr>
    </w:p>
    <w:p w14:paraId="6109276A">
      <w:pPr>
        <w:jc w:val="both"/>
        <w:rPr>
          <w:rFonts w:cs="Times New Roman"/>
          <w:b/>
          <w:bCs/>
          <w:sz w:val="22"/>
          <w:szCs w:val="24"/>
        </w:rPr>
      </w:pPr>
    </w:p>
    <w:p w14:paraId="438F9174">
      <w:pPr>
        <w:jc w:val="both"/>
        <w:rPr>
          <w:rFonts w:cs="Times New Roman"/>
          <w:b/>
          <w:bCs/>
          <w:sz w:val="22"/>
          <w:szCs w:val="24"/>
        </w:rPr>
      </w:pPr>
    </w:p>
    <w:p w14:paraId="28FB0AC6">
      <w:pPr>
        <w:jc w:val="both"/>
        <w:rPr>
          <w:rFonts w:cs="Times New Roman"/>
          <w:b/>
          <w:bCs/>
          <w:sz w:val="22"/>
          <w:szCs w:val="24"/>
        </w:rPr>
      </w:pPr>
    </w:p>
    <w:p w14:paraId="4025A147">
      <w:pPr>
        <w:jc w:val="both"/>
        <w:rPr>
          <w:rFonts w:cs="Times New Roman"/>
          <w:b/>
          <w:bCs/>
          <w:sz w:val="22"/>
          <w:szCs w:val="24"/>
        </w:rPr>
      </w:pPr>
    </w:p>
    <w:p w14:paraId="3D9943A3">
      <w:pPr>
        <w:jc w:val="both"/>
        <w:rPr>
          <w:rFonts w:cs="Times New Roman"/>
        </w:rPr>
      </w:pPr>
    </w:p>
    <w:p w14:paraId="4053D58B">
      <w:pPr>
        <w:jc w:val="both"/>
        <w:rPr>
          <w:rFonts w:cs="Times New Roman"/>
          <w:vertAlign w:val="subscript"/>
        </w:rPr>
      </w:pPr>
      <w:r>
        <w:rPr>
          <w:rFonts w:cs="Times New Roman"/>
          <w:vertAlign w:val="subscript"/>
        </w:rPr>
        <w:drawing>
          <wp:inline distT="0" distB="0" distL="0" distR="0">
            <wp:extent cx="5131435" cy="219964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33840" cy="220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B278A">
      <w:pPr>
        <w:jc w:val="both"/>
        <w:rPr>
          <w:rFonts w:hint="default" w:eastAsia="宋体" w:cs="Times New Roman"/>
          <w:lang w:val="en-US" w:eastAsia="zh-CN"/>
        </w:rPr>
      </w:pPr>
      <w:r>
        <w:rPr>
          <w:b/>
          <w:bCs/>
        </w:rPr>
        <w:t>Fig S1</w:t>
      </w:r>
      <w:r>
        <w:rPr>
          <w:rFonts w:hint="eastAsia"/>
          <w:b/>
          <w:bCs/>
        </w:rPr>
        <w:t>.</w:t>
      </w:r>
      <w:r>
        <w:rPr>
          <w:b/>
          <w:bCs/>
        </w:rPr>
        <w:t xml:space="preserve"> </w:t>
      </w:r>
      <w:r>
        <w:rPr>
          <w:rFonts w:cs="Times New Roman"/>
          <w:color w:val="000000"/>
          <w:kern w:val="0"/>
          <w:szCs w:val="21"/>
          <w:lang w:bidi="ar"/>
        </w:rPr>
        <w:t>Schematic illustration of single crystal structure of</w:t>
      </w:r>
      <w:r>
        <w:rPr>
          <w:rFonts w:hint="eastAsia" w:cs="Times New Roman"/>
          <w:color w:val="000000"/>
          <w:kern w:val="0"/>
          <w:szCs w:val="21"/>
          <w:lang w:bidi="ar"/>
        </w:rPr>
        <w:t xml:space="preserve"> </w:t>
      </w:r>
      <w:r>
        <w:t>(a)</w:t>
      </w:r>
      <w:r>
        <w:rPr>
          <w:rFonts w:cs="Times New Roman"/>
          <w:b/>
          <w:bCs/>
          <w:sz w:val="22"/>
          <w:szCs w:val="24"/>
        </w:rPr>
        <w:t xml:space="preserve"> </w:t>
      </w:r>
      <w:r>
        <w:rPr>
          <w:rFonts w:hint="eastAsia" w:cs="Times New Roman"/>
          <w:sz w:val="22"/>
          <w:szCs w:val="24"/>
        </w:rPr>
        <w:t xml:space="preserve">0D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cs="Times New Roman"/>
        </w:rPr>
        <w:t>(1), (b</w:t>
      </w:r>
      <w:r>
        <w:rPr>
          <w:rFonts w:hint="eastAsia" w:cs="Times New Roman"/>
        </w:rPr>
        <w:t>)</w:t>
      </w:r>
      <w:r>
        <w:rPr>
          <w:rFonts w:cs="Times New Roman"/>
          <w:sz w:val="22"/>
          <w:szCs w:val="24"/>
        </w:rPr>
        <w:t xml:space="preserve"> </w:t>
      </w:r>
      <w:r>
        <w:rPr>
          <w:rFonts w:hint="eastAsia" w:cs="Times New Roman"/>
          <w:sz w:val="22"/>
          <w:szCs w:val="24"/>
        </w:rPr>
        <w:t xml:space="preserve">1D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 xml:space="preserve"> and (c)</w:t>
      </w:r>
      <w:r>
        <w:rPr>
          <w:rFonts w:cs="Times New Roman"/>
          <w:b/>
          <w:bCs/>
          <w:sz w:val="22"/>
          <w:szCs w:val="24"/>
        </w:rPr>
        <w:t xml:space="preserve"> </w:t>
      </w:r>
      <w:r>
        <w:rPr>
          <w:rFonts w:hint="eastAsia" w:cs="Times New Roman"/>
          <w:sz w:val="22"/>
          <w:szCs w:val="24"/>
        </w:rPr>
        <w:t xml:space="preserve">1D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>.</w:t>
      </w:r>
      <w:r>
        <w:rPr>
          <w:rFonts w:hint="eastAsia" w:cs="Times New Roman"/>
          <w:lang w:val="en-US" w:eastAsia="zh-CN"/>
        </w:rPr>
        <w:t xml:space="preserve"> Organic molecules were omitted to enable a clearer view of the inorganic framework.</w:t>
      </w:r>
    </w:p>
    <w:p w14:paraId="01D3668C">
      <w:pPr>
        <w:jc w:val="both"/>
        <w:rPr>
          <w:rFonts w:cs="Times New Roman"/>
          <w:vertAlign w:val="subscript"/>
        </w:rPr>
      </w:pPr>
    </w:p>
    <w:p w14:paraId="322FC7C2">
      <w:pPr>
        <w:jc w:val="center"/>
        <w:rPr>
          <w:b/>
          <w:bCs/>
        </w:rPr>
      </w:pPr>
      <w:r>
        <w:rPr>
          <w:rFonts w:hint="eastAsia"/>
          <w:b/>
          <w:bCs/>
        </w:rPr>
        <w:drawing>
          <wp:inline distT="0" distB="0" distL="0" distR="0">
            <wp:extent cx="4010660" cy="3385185"/>
            <wp:effectExtent l="0" t="0" r="889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10660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F1BD0">
      <w:pPr>
        <w:jc w:val="both"/>
        <w:rPr>
          <w:b/>
          <w:bCs/>
        </w:rPr>
      </w:pPr>
      <w:r>
        <w:rPr>
          <w:b/>
          <w:bCs/>
        </w:rPr>
        <w:t>Fig S2</w:t>
      </w:r>
      <w:r>
        <w:rPr>
          <w:rFonts w:hint="eastAsia"/>
          <w:b/>
          <w:bCs/>
        </w:rPr>
        <w:t>.</w:t>
      </w:r>
      <w:r>
        <w:t xml:space="preserve"> XPS spectra of C 1s </w:t>
      </w:r>
      <w:r>
        <w:rPr>
          <w:rFonts w:hint="eastAsia"/>
        </w:rPr>
        <w:t xml:space="preserve">for </w:t>
      </w:r>
      <w:r>
        <w:t>(C</w:t>
      </w:r>
      <w:r>
        <w:rPr>
          <w:vertAlign w:val="subscript"/>
        </w:rPr>
        <w:t>6</w:t>
      </w:r>
      <w:r>
        <w:t>H</w:t>
      </w:r>
      <w:r>
        <w:rPr>
          <w:vertAlign w:val="subscript"/>
        </w:rPr>
        <w:t>14</w:t>
      </w:r>
      <w:r>
        <w:t>N)</w:t>
      </w:r>
      <w:r>
        <w:rPr>
          <w:vertAlign w:val="subscript"/>
        </w:rPr>
        <w:t>3</w:t>
      </w:r>
      <w:r>
        <w:t>Bi</w:t>
      </w:r>
      <w:r>
        <w:rPr>
          <w:vertAlign w:val="subscript"/>
        </w:rPr>
        <w:t>2</w:t>
      </w:r>
      <w:r>
        <w:t>I</w:t>
      </w:r>
      <w:r>
        <w:rPr>
          <w:vertAlign w:val="subscript"/>
        </w:rPr>
        <w:t>9</w:t>
      </w:r>
      <w:r>
        <w:t>.</w:t>
      </w:r>
    </w:p>
    <w:p w14:paraId="2817C00F">
      <w:pPr>
        <w:jc w:val="both"/>
        <w:rPr>
          <w:rFonts w:cs="Times New Roman"/>
        </w:rPr>
      </w:pPr>
    </w:p>
    <w:p w14:paraId="3C43F59D">
      <w:pPr>
        <w:jc w:val="center"/>
        <w:rPr>
          <w:b/>
          <w:bCs/>
        </w:rPr>
      </w:pPr>
      <w:r>
        <w:rPr>
          <w:rFonts w:hint="eastAsia"/>
          <w:b/>
          <w:bCs/>
        </w:rPr>
        <w:drawing>
          <wp:inline distT="0" distB="0" distL="0" distR="0">
            <wp:extent cx="4929505" cy="2362200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507" cy="239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AD05">
      <w:pPr>
        <w:jc w:val="both"/>
      </w:pPr>
      <w:r>
        <w:rPr>
          <w:b/>
          <w:bCs/>
        </w:rPr>
        <w:t>Fig S3</w:t>
      </w:r>
      <w:r>
        <w:rPr>
          <w:rFonts w:hint="eastAsia"/>
          <w:b/>
          <w:bCs/>
        </w:rPr>
        <w:t>.</w:t>
      </w:r>
      <w:r>
        <w:t xml:space="preserve"> SEM images of (a)</w:t>
      </w:r>
      <w:r>
        <w:rPr>
          <w:rFonts w:hint="eastAsia"/>
        </w:rPr>
        <w:t>&amp;</w:t>
      </w:r>
      <w:r>
        <w:t xml:space="preserve">(d)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t>, (b)</w:t>
      </w:r>
      <w:r>
        <w:rPr>
          <w:rFonts w:hint="eastAsia"/>
        </w:rPr>
        <w:t xml:space="preserve"> &amp;</w:t>
      </w:r>
      <w:r>
        <w:t xml:space="preserve"> (e)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t xml:space="preserve">, </w:t>
      </w:r>
      <w:r>
        <w:rPr>
          <w:rFonts w:hint="eastAsia"/>
        </w:rPr>
        <w:t xml:space="preserve">and </w:t>
      </w:r>
      <w:r>
        <w:t>(c)</w:t>
      </w:r>
      <w:r>
        <w:rPr>
          <w:rFonts w:hint="eastAsia"/>
        </w:rPr>
        <w:t xml:space="preserve"> &amp;</w:t>
      </w:r>
      <w:r>
        <w:t xml:space="preserve"> (f)</w:t>
      </w:r>
      <w:r>
        <w:rPr>
          <w:rFonts w:cs="Times New Roman"/>
        </w:rPr>
        <w:t xml:space="preserve"> 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t>.</w:t>
      </w:r>
    </w:p>
    <w:p w14:paraId="43557A42">
      <w:pPr>
        <w:jc w:val="center"/>
        <w:rPr>
          <w:b/>
          <w:bCs/>
        </w:rPr>
      </w:pPr>
      <w:r>
        <w:rPr>
          <w:szCs w:val="21"/>
        </w:rPr>
        <w:drawing>
          <wp:inline distT="0" distB="0" distL="0" distR="0">
            <wp:extent cx="3902075" cy="3880485"/>
            <wp:effectExtent l="0" t="0" r="317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02075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80E4">
      <w:pPr>
        <w:jc w:val="both"/>
        <w:rPr>
          <w:b/>
          <w:bCs/>
        </w:rPr>
      </w:pPr>
      <w:r>
        <w:rPr>
          <w:b/>
          <w:bCs/>
        </w:rPr>
        <w:t>Fig S4</w:t>
      </w:r>
      <w:r>
        <w:rPr>
          <w:rFonts w:hint="eastAsia"/>
          <w:b/>
          <w:bCs/>
        </w:rPr>
        <w:t>.</w:t>
      </w:r>
      <w:r>
        <w:t xml:space="preserve"> </w:t>
      </w:r>
      <w:r>
        <w:rPr>
          <w:rFonts w:cs="Times New Roman"/>
          <w:color w:val="1F1F1F"/>
        </w:rPr>
        <w:t xml:space="preserve">(a-f) The elemental mappings and (g) EDS spectrum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cs="Times New Roman"/>
        </w:rPr>
        <w:t>.</w:t>
      </w:r>
    </w:p>
    <w:p w14:paraId="4172673D">
      <w:pPr>
        <w:jc w:val="both"/>
        <w:rPr>
          <w:b/>
          <w:bCs/>
        </w:rPr>
      </w:pPr>
    </w:p>
    <w:p w14:paraId="49584610">
      <w:pPr>
        <w:jc w:val="center"/>
        <w:rPr>
          <w:b/>
          <w:bCs/>
        </w:rPr>
      </w:pPr>
      <w:r>
        <w:rPr>
          <w:b/>
          <w:bCs/>
        </w:rPr>
        <w:drawing>
          <wp:inline distT="0" distB="0" distL="0" distR="0">
            <wp:extent cx="3902710" cy="402653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0271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848A">
      <w:pPr>
        <w:jc w:val="both"/>
        <w:rPr>
          <w:rFonts w:cs="Times New Roman"/>
        </w:rPr>
      </w:pPr>
      <w:r>
        <w:rPr>
          <w:b/>
          <w:bCs/>
        </w:rPr>
        <w:t>Fig S5</w:t>
      </w:r>
      <w:r>
        <w:rPr>
          <w:rFonts w:hint="eastAsia"/>
          <w:b/>
          <w:bCs/>
        </w:rPr>
        <w:t>.</w:t>
      </w:r>
      <w:r>
        <w:t xml:space="preserve"> </w:t>
      </w:r>
      <w:r>
        <w:rPr>
          <w:rFonts w:cs="Times New Roman"/>
          <w:color w:val="1F1F1F"/>
        </w:rPr>
        <w:t>(a-f) The elemental mappings</w:t>
      </w:r>
      <w:r>
        <w:rPr>
          <w:rFonts w:hint="eastAsia" w:cs="Times New Roman"/>
          <w:color w:val="1F1F1F"/>
        </w:rPr>
        <w:t xml:space="preserve"> </w:t>
      </w:r>
      <w:r>
        <w:rPr>
          <w:rFonts w:cs="Times New Roman"/>
          <w:color w:val="1F1F1F"/>
        </w:rPr>
        <w:t xml:space="preserve">and (g) EDS spectrum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>.</w:t>
      </w:r>
    </w:p>
    <w:p w14:paraId="0F94801F">
      <w:pPr>
        <w:jc w:val="center"/>
        <w:rPr>
          <w:b/>
          <w:bCs/>
        </w:rPr>
      </w:pPr>
      <w:r>
        <w:rPr>
          <w:b/>
          <w:bCs/>
        </w:rPr>
        <w:drawing>
          <wp:inline distT="0" distB="0" distL="0" distR="0">
            <wp:extent cx="3851910" cy="3760470"/>
            <wp:effectExtent l="0" t="0" r="152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B7D7C">
      <w:pPr>
        <w:jc w:val="both"/>
        <w:rPr>
          <w:rFonts w:cs="Times New Roman"/>
        </w:rPr>
      </w:pPr>
      <w:r>
        <w:rPr>
          <w:b/>
          <w:bCs/>
        </w:rPr>
        <w:t>Fig S6</w:t>
      </w:r>
      <w:r>
        <w:rPr>
          <w:rFonts w:hint="eastAsia"/>
          <w:b/>
          <w:bCs/>
        </w:rPr>
        <w:t>.</w:t>
      </w:r>
      <w:r>
        <w:t xml:space="preserve"> </w:t>
      </w:r>
      <w:r>
        <w:rPr>
          <w:rFonts w:cs="Times New Roman"/>
          <w:color w:val="1F1F1F"/>
        </w:rPr>
        <w:t>(a-f) The elemental mappings</w:t>
      </w:r>
      <w:r>
        <w:rPr>
          <w:rFonts w:hint="eastAsia" w:cs="Times New Roman"/>
          <w:color w:val="1F1F1F"/>
        </w:rPr>
        <w:t xml:space="preserve"> </w:t>
      </w:r>
      <w:r>
        <w:rPr>
          <w:rFonts w:cs="Times New Roman"/>
          <w:color w:val="1F1F1F"/>
        </w:rPr>
        <w:t xml:space="preserve">and (g) EDS spectrum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>.</w:t>
      </w:r>
    </w:p>
    <w:p w14:paraId="31C131EA">
      <w:pPr>
        <w:jc w:val="center"/>
        <w:rPr>
          <w:b/>
          <w:bCs/>
        </w:rPr>
      </w:pPr>
      <w:r>
        <w:drawing>
          <wp:inline distT="0" distB="0" distL="0" distR="0">
            <wp:extent cx="2999105" cy="2271395"/>
            <wp:effectExtent l="0" t="0" r="10795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9910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C7CAC">
      <w:pPr>
        <w:jc w:val="both"/>
      </w:pPr>
      <w:r>
        <w:rPr>
          <w:b/>
          <w:bCs/>
        </w:rPr>
        <w:t>Fig S7</w:t>
      </w:r>
      <w:r>
        <w:rPr>
          <w:rFonts w:hint="eastAsia"/>
          <w:b/>
          <w:bCs/>
        </w:rPr>
        <w:t>.</w:t>
      </w:r>
      <w:r>
        <w:rPr>
          <w:b/>
          <w:bCs/>
        </w:rPr>
        <w:t xml:space="preserve"> 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Contact angle image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 xml:space="preserve">single 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rystal</w:t>
      </w:r>
      <w:r>
        <w:rPr>
          <w:rFonts w:cs="Times New Roman"/>
        </w:rPr>
        <w:t>.</w:t>
      </w:r>
    </w:p>
    <w:p w14:paraId="348DC372">
      <w:pPr>
        <w:jc w:val="both"/>
        <w:rPr>
          <w:b/>
          <w:bCs/>
        </w:rPr>
      </w:pPr>
    </w:p>
    <w:p w14:paraId="1F4A0A07">
      <w:pPr>
        <w:jc w:val="center"/>
        <w:rPr>
          <w:b/>
          <w:bCs/>
        </w:rPr>
      </w:pPr>
      <w:r>
        <w:rPr>
          <w:szCs w:val="21"/>
        </w:rPr>
        <w:drawing>
          <wp:inline distT="0" distB="0" distL="0" distR="0">
            <wp:extent cx="3165475" cy="2479040"/>
            <wp:effectExtent l="0" t="0" r="15875" b="165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7C324">
      <w:pPr>
        <w:jc w:val="both"/>
      </w:pPr>
      <w:r>
        <w:rPr>
          <w:b/>
          <w:bCs/>
        </w:rPr>
        <w:t>Fig S8</w:t>
      </w:r>
      <w:r>
        <w:rPr>
          <w:rFonts w:hint="eastAsia"/>
          <w:b/>
          <w:bCs/>
        </w:rPr>
        <w:t>.</w:t>
      </w:r>
      <w:r>
        <w:t xml:space="preserve"> Attenuation efficiency of 40 keV X-ray photons for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cs="Times New Roman"/>
        </w:rPr>
        <w:t>, 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hint="eastAsia" w:cs="Times New Roman"/>
        </w:rPr>
        <w:t>,</w:t>
      </w:r>
      <w:r>
        <w:rPr>
          <w:rFonts w:cs="Times New Roman"/>
        </w:rPr>
        <w:t xml:space="preserve"> 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hint="eastAsia"/>
        </w:rPr>
        <w:t>,</w:t>
      </w:r>
      <w:r>
        <w:t xml:space="preserve"> Si, α-Se </w:t>
      </w:r>
      <w:r>
        <w:rPr>
          <w:rFonts w:hint="eastAsia"/>
        </w:rPr>
        <w:t>and</w:t>
      </w:r>
      <w:r>
        <w:t xml:space="preserve"> CdTe</w:t>
      </w:r>
      <w:r>
        <w:rPr>
          <w:rFonts w:hint="eastAsia"/>
        </w:rPr>
        <w:t>.</w:t>
      </w:r>
    </w:p>
    <w:p w14:paraId="2D4515C1">
      <w:pPr>
        <w:jc w:val="both"/>
        <w:rPr>
          <w:b/>
          <w:bCs/>
        </w:rPr>
      </w:pPr>
    </w:p>
    <w:p w14:paraId="7F3AC15B">
      <w:pPr>
        <w:jc w:val="both"/>
        <w:rPr>
          <w:b/>
          <w:bCs/>
        </w:rPr>
      </w:pPr>
      <w:r>
        <w:rPr>
          <w:b/>
          <w:bCs/>
        </w:rPr>
        <w:drawing>
          <wp:inline distT="0" distB="0" distL="0" distR="0">
            <wp:extent cx="5359400" cy="236982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5310" cy="23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A6CFA">
      <w:pPr>
        <w:jc w:val="both"/>
      </w:pPr>
      <w:bookmarkStart w:id="2" w:name="OLE_LINK1"/>
      <w:r>
        <w:rPr>
          <w:b/>
          <w:bCs/>
        </w:rPr>
        <w:t>Fig S9</w:t>
      </w:r>
      <w:r>
        <w:rPr>
          <w:rFonts w:hint="eastAsia"/>
          <w:b/>
          <w:bCs/>
        </w:rPr>
        <w:t>.</w:t>
      </w:r>
      <w:bookmarkEnd w:id="2"/>
      <w:r>
        <w:t xml:space="preserve"> The photocurrent densities as a function of X-ray dose rates under different bias voltages</w:t>
      </w:r>
      <w:r>
        <w:rPr>
          <w:rFonts w:hint="eastAsia"/>
        </w:rPr>
        <w:t xml:space="preserve"> for</w:t>
      </w:r>
      <w:r>
        <w:t xml:space="preserve"> </w:t>
      </w:r>
      <w:bookmarkStart w:id="3" w:name="OLE_LINK20"/>
      <w:r>
        <w:t xml:space="preserve">(a)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hint="eastAsia"/>
        </w:rPr>
        <w:t xml:space="preserve"> and</w:t>
      </w:r>
      <w:r>
        <w:t xml:space="preserve"> (b)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bookmarkEnd w:id="3"/>
      <w:r>
        <w:t>.</w:t>
      </w:r>
    </w:p>
    <w:p w14:paraId="0F9401BB">
      <w:pPr>
        <w:jc w:val="both"/>
        <w:rPr>
          <w:b/>
          <w:bCs/>
        </w:rPr>
      </w:pPr>
      <w:r>
        <w:rPr>
          <w:b/>
          <w:bCs/>
        </w:rPr>
        <w:drawing>
          <wp:inline distT="0" distB="0" distL="0" distR="0">
            <wp:extent cx="5394325" cy="242125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2197" cy="242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32BEA">
      <w:pPr>
        <w:jc w:val="both"/>
      </w:pPr>
      <w:r>
        <w:rPr>
          <w:b/>
          <w:bCs/>
        </w:rPr>
        <w:t>Fig S10</w:t>
      </w:r>
      <w:r>
        <w:rPr>
          <w:rFonts w:hint="eastAsia"/>
          <w:b/>
          <w:bCs/>
        </w:rPr>
        <w:t>.</w:t>
      </w:r>
      <w:r>
        <w:t xml:space="preserve"> Photocurrent stability of</w:t>
      </w:r>
      <w:r>
        <w:rPr>
          <w:rFonts w:hint="eastAsia"/>
        </w:rPr>
        <w:t xml:space="preserve"> </w:t>
      </w:r>
      <w:r>
        <w:t xml:space="preserve">(a)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hint="eastAsia"/>
        </w:rPr>
        <w:t xml:space="preserve"> and</w:t>
      </w:r>
      <w:r>
        <w:t xml:space="preserve"> (b)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t>.</w:t>
      </w:r>
    </w:p>
    <w:p w14:paraId="3F2BD4EB">
      <w:pPr>
        <w:jc w:val="both"/>
      </w:pPr>
      <w:r>
        <w:drawing>
          <wp:inline distT="0" distB="0" distL="0" distR="0">
            <wp:extent cx="5287010" cy="155067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29861" cy="156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A7F5">
      <w:pPr>
        <w:jc w:val="both"/>
      </w:pPr>
      <w:r>
        <w:rPr>
          <w:b/>
          <w:bCs/>
        </w:rPr>
        <w:t>Fig S11</w:t>
      </w:r>
      <w:r>
        <w:rPr>
          <w:rFonts w:hint="eastAsia"/>
          <w:b/>
          <w:bCs/>
        </w:rPr>
        <w:t>.</w:t>
      </w:r>
      <w:r>
        <w:t xml:space="preserve"> The X-ray sensitivity of (a)</w:t>
      </w:r>
      <w:r>
        <w:rPr>
          <w:rFonts w:cs="Times New Roman"/>
          <w:b/>
          <w:bCs/>
          <w:sz w:val="22"/>
          <w:szCs w:val="24"/>
        </w:rPr>
        <w:t xml:space="preserve">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cs="Times New Roman"/>
        </w:rPr>
        <w:t>, (b</w:t>
      </w:r>
      <w:r>
        <w:rPr>
          <w:rFonts w:hint="eastAsia" w:cs="Times New Roman"/>
        </w:rPr>
        <w:t>)</w:t>
      </w:r>
      <w:r>
        <w:rPr>
          <w:rFonts w:cs="Times New Roman"/>
          <w:b/>
          <w:bCs/>
          <w:sz w:val="22"/>
          <w:szCs w:val="24"/>
        </w:rPr>
        <w:t xml:space="preserve">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hint="eastAsia" w:cs="Times New Roman"/>
        </w:rPr>
        <w:t>, and</w:t>
      </w:r>
      <w:r>
        <w:rPr>
          <w:rFonts w:cs="Times New Roman"/>
        </w:rPr>
        <w:t xml:space="preserve"> (c)</w:t>
      </w:r>
      <w:r>
        <w:rPr>
          <w:rFonts w:cs="Times New Roman"/>
          <w:b/>
          <w:bCs/>
          <w:sz w:val="22"/>
          <w:szCs w:val="24"/>
        </w:rPr>
        <w:t xml:space="preserve">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>.</w:t>
      </w:r>
    </w:p>
    <w:p w14:paraId="2BC1B939">
      <w:pPr>
        <w:jc w:val="both"/>
      </w:pPr>
    </w:p>
    <w:p w14:paraId="21DF4C66">
      <w:pPr>
        <w:jc w:val="both"/>
      </w:pPr>
    </w:p>
    <w:p w14:paraId="7B057025">
      <w:pPr>
        <w:jc w:val="center"/>
        <w:rPr>
          <w:b/>
          <w:bCs/>
        </w:rPr>
      </w:pPr>
      <w:r>
        <w:rPr>
          <w:b/>
          <w:bCs/>
        </w:rPr>
        <w:drawing>
          <wp:inline distT="0" distB="0" distL="0" distR="0">
            <wp:extent cx="3954145" cy="3188970"/>
            <wp:effectExtent l="0" t="0" r="825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59904" cy="319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97CC5">
      <w:pPr>
        <w:jc w:val="both"/>
      </w:pPr>
      <w:r>
        <w:rPr>
          <w:b/>
          <w:bCs/>
        </w:rPr>
        <w:t>Fig S12</w:t>
      </w:r>
      <w:r>
        <w:rPr>
          <w:rFonts w:hint="eastAsia"/>
          <w:b/>
          <w:bCs/>
        </w:rPr>
        <w:t>.</w:t>
      </w:r>
      <w:r>
        <w:t xml:space="preserve"> </w:t>
      </w:r>
      <w:bookmarkStart w:id="4" w:name="_Hlk202553296"/>
      <w:r>
        <w:t xml:space="preserve">I-t </w:t>
      </w:r>
      <w:r>
        <w:rPr>
          <w:rFonts w:hint="eastAsia"/>
        </w:rPr>
        <w:t>curve</w:t>
      </w:r>
      <w:r>
        <w:t xml:space="preserve"> at low dose rates </w:t>
      </w:r>
      <w:bookmarkEnd w:id="4"/>
      <w:r>
        <w:rPr>
          <w:rFonts w:hint="eastAsia"/>
        </w:rPr>
        <w:t>for</w:t>
      </w:r>
      <w:r>
        <w:t xml:space="preserve"> (a)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hint="eastAsia"/>
        </w:rPr>
        <w:t xml:space="preserve"> and</w:t>
      </w:r>
      <w:r>
        <w:t xml:space="preserve"> (c)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hint="eastAsia" w:cs="Times New Roman"/>
        </w:rPr>
        <w:t>-based detectors</w:t>
      </w:r>
      <w:r>
        <w:rPr>
          <w:rFonts w:hint="eastAsia"/>
        </w:rPr>
        <w:t>. Detection limit for</w:t>
      </w:r>
      <w:r>
        <w:t xml:space="preserve"> (b)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BiBr</w:t>
      </w:r>
      <w:r>
        <w:rPr>
          <w:rFonts w:cs="Times New Roman"/>
          <w:vertAlign w:val="subscript"/>
        </w:rPr>
        <w:t>5</w:t>
      </w:r>
      <w:r>
        <w:rPr>
          <w:rFonts w:cs="Times New Roman"/>
        </w:rPr>
        <w:t xml:space="preserve"> </w:t>
      </w:r>
      <w:r>
        <w:rPr>
          <w:rFonts w:hint="eastAsia"/>
        </w:rPr>
        <w:t xml:space="preserve">and </w:t>
      </w:r>
      <w:r>
        <w:t>(d)</w:t>
      </w:r>
      <w:r>
        <w:rPr>
          <w:rFonts w:cs="Times New Roman"/>
        </w:rPr>
        <w:t xml:space="preserve"> 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BiCl</w:t>
      </w:r>
      <w:r>
        <w:rPr>
          <w:rFonts w:cs="Times New Roman"/>
          <w:vertAlign w:val="subscript"/>
        </w:rPr>
        <w:t>5</w:t>
      </w:r>
      <w:r>
        <w:rPr>
          <w:rFonts w:hint="eastAsia" w:cs="Times New Roman"/>
        </w:rPr>
        <w:t>-based detectors</w:t>
      </w:r>
      <w:r>
        <w:rPr>
          <w:rFonts w:hint="eastAsia"/>
        </w:rPr>
        <w:t xml:space="preserve"> </w:t>
      </w:r>
      <w:r>
        <w:t>at 20 V bias.</w:t>
      </w:r>
    </w:p>
    <w:p w14:paraId="7D943227">
      <w:pPr>
        <w:jc w:val="center"/>
      </w:pPr>
      <w:r>
        <w:drawing>
          <wp:inline distT="0" distB="0" distL="0" distR="0">
            <wp:extent cx="3732530" cy="1796415"/>
            <wp:effectExtent l="0" t="0" r="127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38612" cy="179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12C3">
      <w:pPr>
        <w:jc w:val="both"/>
      </w:pPr>
      <w:r>
        <w:rPr>
          <w:b/>
          <w:bCs/>
        </w:rPr>
        <w:t>Fig S13</w:t>
      </w:r>
      <w:r>
        <w:rPr>
          <w:rFonts w:hint="eastAsia"/>
          <w:b/>
          <w:bCs/>
        </w:rPr>
        <w:t>.</w:t>
      </w:r>
      <w:r>
        <w:rPr>
          <w:b/>
          <w:bCs/>
        </w:rPr>
        <w:t xml:space="preserve"> </w:t>
      </w:r>
      <w:r>
        <w:t>(a)</w:t>
      </w:r>
      <w:r>
        <w:rPr>
          <w:b/>
          <w:bCs/>
        </w:rPr>
        <w:t xml:space="preserve"> </w:t>
      </w:r>
      <w:r>
        <w:t>T</w:t>
      </w:r>
      <w:r>
        <w:rPr>
          <w:rFonts w:hint="eastAsia"/>
        </w:rPr>
        <w:t>he</w:t>
      </w:r>
      <w:r>
        <w:t xml:space="preserve"> </w:t>
      </w:r>
      <w:r>
        <w:rPr>
          <w:rFonts w:hint="eastAsia"/>
        </w:rPr>
        <w:t>photo</w:t>
      </w:r>
      <w:r>
        <w:t xml:space="preserve"> and (b) SEM images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hint="eastAsia" w:cs="Times New Roman"/>
        </w:rPr>
        <w:t xml:space="preserve"> </w:t>
      </w:r>
      <w:r>
        <w:t>flexible film.</w:t>
      </w:r>
    </w:p>
    <w:p w14:paraId="25000DF6">
      <w:pPr>
        <w:widowControl/>
        <w:spacing w:line="360" w:lineRule="auto"/>
        <w:jc w:val="center"/>
        <w:rPr>
          <w:rFonts w:cs="Times New Roman"/>
          <w:b/>
          <w:bCs/>
          <w:color w:val="000000"/>
          <w:kern w:val="0"/>
          <w:szCs w:val="21"/>
          <w:lang w:bidi="ar"/>
        </w:rPr>
      </w:pPr>
      <w:r>
        <w:rPr>
          <w:rFonts w:cs="Times New Roman"/>
          <w:b/>
          <w:bCs/>
          <w:color w:val="000000"/>
          <w:kern w:val="0"/>
          <w:szCs w:val="21"/>
          <w:lang w:bidi="ar"/>
        </w:rPr>
        <w:drawing>
          <wp:inline distT="0" distB="0" distL="0" distR="0">
            <wp:extent cx="2818130" cy="2299970"/>
            <wp:effectExtent l="0" t="0" r="127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rcRect l="4722" t="8076" r="12188" b="3288"/>
                    <a:stretch>
                      <a:fillRect/>
                    </a:stretch>
                  </pic:blipFill>
                  <pic:spPr>
                    <a:xfrm>
                      <a:off x="0" y="0"/>
                      <a:ext cx="2836807" cy="23156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1EA05">
      <w:pPr>
        <w:jc w:val="both"/>
      </w:pPr>
      <w:r>
        <w:rPr>
          <w:b/>
          <w:bCs/>
        </w:rPr>
        <w:t>Fig S14</w:t>
      </w:r>
      <w:r>
        <w:rPr>
          <w:rFonts w:hint="eastAsia"/>
          <w:b/>
          <w:bCs/>
        </w:rPr>
        <w:t>.</w:t>
      </w:r>
      <w:r>
        <w:t xml:space="preserve">The X-ray sensitivity of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hint="eastAsia" w:cs="Times New Roman"/>
        </w:rPr>
        <w:t xml:space="preserve"> </w:t>
      </w:r>
      <w:r>
        <w:t>flexible film.</w:t>
      </w:r>
    </w:p>
    <w:p w14:paraId="23457D38">
      <w:pPr>
        <w:widowControl/>
        <w:spacing w:line="360" w:lineRule="auto"/>
        <w:jc w:val="center"/>
        <w:rPr>
          <w:rFonts w:cs="Times New Roman"/>
          <w:b/>
          <w:bCs/>
          <w:color w:val="000000"/>
          <w:kern w:val="0"/>
          <w:szCs w:val="21"/>
          <w:lang w:bidi="ar"/>
        </w:rPr>
      </w:pPr>
      <w:r>
        <w:rPr>
          <w:rFonts w:cs="Times New Roman"/>
          <w:b/>
          <w:bCs/>
          <w:color w:val="000000"/>
          <w:kern w:val="0"/>
          <w:szCs w:val="21"/>
          <w:lang w:bidi="ar"/>
        </w:rPr>
        <w:drawing>
          <wp:inline distT="0" distB="0" distL="0" distR="0">
            <wp:extent cx="3049270" cy="25971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3372" cy="261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16254">
      <w:pPr>
        <w:widowControl/>
        <w:spacing w:line="360" w:lineRule="auto"/>
        <w:jc w:val="both"/>
        <w:rPr>
          <w:rFonts w:cs="Times New Roman"/>
          <w:b/>
          <w:bCs/>
          <w:color w:val="000000"/>
          <w:kern w:val="0"/>
          <w:szCs w:val="21"/>
          <w:lang w:bidi="ar"/>
        </w:rPr>
      </w:pPr>
      <w:r>
        <w:rPr>
          <w:b/>
          <w:bCs/>
        </w:rPr>
        <w:t>Fig S15</w:t>
      </w:r>
      <w:r>
        <w:rPr>
          <w:rFonts w:hint="eastAsia"/>
          <w:b/>
          <w:bCs/>
        </w:rPr>
        <w:t>.</w:t>
      </w:r>
      <w:r>
        <w:t xml:space="preserve"> I-t </w:t>
      </w:r>
      <w:r>
        <w:rPr>
          <w:rFonts w:hint="eastAsia"/>
        </w:rPr>
        <w:t xml:space="preserve">curve </w:t>
      </w:r>
      <w:r>
        <w:t xml:space="preserve">at low dose rates </w:t>
      </w:r>
      <w:r>
        <w:rPr>
          <w:rFonts w:hint="eastAsia"/>
        </w:rPr>
        <w:t>for</w:t>
      </w:r>
      <w:r>
        <w:t xml:space="preserve"> </w:t>
      </w:r>
      <w:r>
        <w:rPr>
          <w:rFonts w:cs="Times New Roman"/>
        </w:rPr>
        <w:t>(C</w:t>
      </w:r>
      <w:r>
        <w:rPr>
          <w:rFonts w:cs="Times New Roman"/>
          <w:vertAlign w:val="subscript"/>
        </w:rPr>
        <w:t>6</w:t>
      </w:r>
      <w:r>
        <w:rPr>
          <w:rFonts w:cs="Times New Roman"/>
        </w:rPr>
        <w:t>H</w:t>
      </w:r>
      <w:r>
        <w:rPr>
          <w:rFonts w:cs="Times New Roman"/>
          <w:vertAlign w:val="subscript"/>
        </w:rPr>
        <w:t>14</w:t>
      </w:r>
      <w:r>
        <w:rPr>
          <w:rFonts w:cs="Times New Roman"/>
        </w:rPr>
        <w:t>N)</w:t>
      </w:r>
      <w:r>
        <w:rPr>
          <w:rFonts w:cs="Times New Roman"/>
          <w:vertAlign w:val="subscript"/>
        </w:rPr>
        <w:t>3</w:t>
      </w:r>
      <w:r>
        <w:rPr>
          <w:rFonts w:cs="Times New Roman"/>
        </w:rPr>
        <w:t>Bi</w:t>
      </w:r>
      <w:r>
        <w:rPr>
          <w:rFonts w:cs="Times New Roman"/>
          <w:vertAlign w:val="subscript"/>
        </w:rPr>
        <w:t>2</w:t>
      </w:r>
      <w:r>
        <w:rPr>
          <w:rFonts w:cs="Times New Roman"/>
        </w:rPr>
        <w:t>I</w:t>
      </w:r>
      <w:r>
        <w:rPr>
          <w:rFonts w:cs="Times New Roman"/>
          <w:vertAlign w:val="subscript"/>
        </w:rPr>
        <w:t>9</w:t>
      </w:r>
      <w:r>
        <w:rPr>
          <w:rFonts w:cs="Times New Roman"/>
        </w:rPr>
        <w:t xml:space="preserve"> </w:t>
      </w:r>
      <w:r>
        <w:t>flexible film</w:t>
      </w:r>
      <w:r>
        <w:rPr>
          <w:rFonts w:hint="eastAsia"/>
        </w:rPr>
        <w:t>.</w:t>
      </w:r>
    </w:p>
    <w:p w14:paraId="75E54BA9">
      <w:pPr>
        <w:widowControl/>
        <w:spacing w:line="360" w:lineRule="auto"/>
        <w:jc w:val="both"/>
        <w:rPr>
          <w:rFonts w:cs="Times New Roman"/>
          <w:b/>
          <w:bCs/>
          <w:color w:val="000000"/>
          <w:kern w:val="0"/>
          <w:szCs w:val="21"/>
          <w:lang w:bidi="ar"/>
        </w:rPr>
      </w:pPr>
    </w:p>
    <w:p w14:paraId="780ABAD7">
      <w:pPr>
        <w:widowControl/>
        <w:spacing w:line="360" w:lineRule="auto"/>
        <w:jc w:val="both"/>
        <w:rPr>
          <w:rFonts w:cs="Times New Roman"/>
          <w:b/>
          <w:bCs/>
          <w:color w:val="000000"/>
          <w:kern w:val="0"/>
          <w:szCs w:val="21"/>
          <w:lang w:bidi="ar"/>
        </w:rPr>
      </w:pPr>
    </w:p>
    <w:p w14:paraId="23630123">
      <w:pPr>
        <w:widowControl/>
        <w:spacing w:line="360" w:lineRule="auto"/>
        <w:jc w:val="both"/>
        <w:rPr>
          <w:rFonts w:cs="Times New Roman"/>
          <w:b/>
          <w:bCs/>
          <w:color w:val="000000"/>
          <w:kern w:val="0"/>
          <w:szCs w:val="21"/>
          <w:lang w:bidi="ar"/>
        </w:rPr>
      </w:pPr>
    </w:p>
    <w:p w14:paraId="0CC0626E">
      <w:pPr>
        <w:widowControl/>
        <w:spacing w:line="360" w:lineRule="auto"/>
        <w:jc w:val="both"/>
        <w:rPr>
          <w:rFonts w:cs="Times New Roman"/>
          <w:color w:val="000000"/>
          <w:kern w:val="0"/>
          <w:szCs w:val="21"/>
          <w:lang w:bidi="ar"/>
        </w:rPr>
      </w:pPr>
      <w:r>
        <w:rPr>
          <w:rFonts w:cs="Times New Roman"/>
          <w:b/>
          <w:bCs/>
          <w:color w:val="000000"/>
          <w:kern w:val="0"/>
          <w:szCs w:val="21"/>
          <w:lang w:bidi="ar"/>
        </w:rPr>
        <w:t>Table S</w:t>
      </w:r>
      <w:r>
        <w:rPr>
          <w:rFonts w:hint="eastAsia" w:cs="Times New Roman"/>
          <w:b/>
          <w:bCs/>
          <w:color w:val="000000"/>
          <w:kern w:val="0"/>
          <w:szCs w:val="21"/>
          <w:lang w:bidi="ar"/>
        </w:rPr>
        <w:t>1</w:t>
      </w:r>
      <w:r>
        <w:rPr>
          <w:rFonts w:cs="Times New Roman"/>
          <w:b/>
          <w:bCs/>
          <w:color w:val="000000"/>
          <w:kern w:val="0"/>
          <w:szCs w:val="21"/>
          <w:lang w:bidi="ar"/>
        </w:rPr>
        <w:t xml:space="preserve">. </w:t>
      </w:r>
      <w:r>
        <w:rPr>
          <w:rFonts w:cs="Times New Roman"/>
          <w:color w:val="000000"/>
          <w:kern w:val="0"/>
          <w:szCs w:val="21"/>
          <w:lang w:bidi="ar"/>
        </w:rPr>
        <w:t>Crystal data of 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14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3</w:t>
      </w:r>
      <w:r>
        <w:rPr>
          <w:rFonts w:cs="Times New Roman"/>
          <w:color w:val="000000"/>
          <w:kern w:val="0"/>
          <w:szCs w:val="21"/>
          <w:lang w:bidi="ar"/>
        </w:rPr>
        <w:t>Bi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I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9</w:t>
      </w:r>
      <w:r>
        <w:rPr>
          <w:rFonts w:cs="Times New Roman"/>
          <w:color w:val="000000"/>
          <w:kern w:val="0"/>
          <w:szCs w:val="21"/>
          <w:lang w:bidi="ar"/>
        </w:rPr>
        <w:t>, 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14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BiBr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 xml:space="preserve">5 </w:t>
      </w:r>
      <w:r>
        <w:rPr>
          <w:rFonts w:cs="Times New Roman"/>
          <w:color w:val="000000"/>
          <w:kern w:val="0"/>
          <w:szCs w:val="21"/>
          <w:lang w:bidi="ar"/>
        </w:rPr>
        <w:t>and(C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14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BiCl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5</w:t>
      </w:r>
      <w:r>
        <w:rPr>
          <w:rFonts w:cs="Times New Roman"/>
          <w:color w:val="000000"/>
          <w:kern w:val="0"/>
          <w:szCs w:val="21"/>
          <w:lang w:bidi="ar"/>
        </w:rPr>
        <w:t>.</w:t>
      </w:r>
    </w:p>
    <w:tbl>
      <w:tblPr>
        <w:tblStyle w:val="8"/>
        <w:tblW w:w="5187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2025"/>
        <w:gridCol w:w="2084"/>
        <w:gridCol w:w="2403"/>
        <w:gridCol w:w="2136"/>
      </w:tblGrid>
      <w:tr w14:paraId="72DDB7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6" w:hRule="atLeast"/>
          <w:jc w:val="center"/>
        </w:trPr>
        <w:tc>
          <w:tcPr>
            <w:tcW w:w="1171" w:type="pct"/>
            <w:noWrap/>
            <w:vAlign w:val="center"/>
          </w:tcPr>
          <w:p w14:paraId="3E18AEA5">
            <w:pPr>
              <w:jc w:val="both"/>
            </w:pPr>
            <w:r>
              <w:rPr>
                <w:lang w:bidi="ar"/>
              </w:rPr>
              <w:t>Identification code</w:t>
            </w:r>
          </w:p>
        </w:tc>
        <w:tc>
          <w:tcPr>
            <w:tcW w:w="1205" w:type="pct"/>
            <w:noWrap/>
            <w:vAlign w:val="center"/>
          </w:tcPr>
          <w:p w14:paraId="53F0CDAD">
            <w:pPr>
              <w:jc w:val="both"/>
            </w:pPr>
            <w:r>
              <w:rPr>
                <w:rFonts w:hint="eastAsia"/>
              </w:rPr>
              <w:t>2390230</w:t>
            </w:r>
          </w:p>
        </w:tc>
        <w:tc>
          <w:tcPr>
            <w:tcW w:w="1389" w:type="pct"/>
            <w:noWrap/>
            <w:vAlign w:val="center"/>
          </w:tcPr>
          <w:p w14:paraId="580F489A">
            <w:pPr>
              <w:jc w:val="both"/>
            </w:pPr>
            <w:r>
              <w:t>2474810</w:t>
            </w:r>
          </w:p>
        </w:tc>
        <w:tc>
          <w:tcPr>
            <w:tcW w:w="1235" w:type="pct"/>
            <w:noWrap/>
            <w:vAlign w:val="center"/>
          </w:tcPr>
          <w:p w14:paraId="5D612538">
            <w:pPr>
              <w:jc w:val="both"/>
            </w:pPr>
            <w:r>
              <w:t>2435695</w:t>
            </w:r>
          </w:p>
        </w:tc>
      </w:tr>
      <w:tr w14:paraId="376D68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6" w:hRule="atLeast"/>
          <w:jc w:val="center"/>
        </w:trPr>
        <w:tc>
          <w:tcPr>
            <w:tcW w:w="1171" w:type="pct"/>
            <w:noWrap/>
            <w:vAlign w:val="center"/>
          </w:tcPr>
          <w:p w14:paraId="3EC4422B">
            <w:pPr>
              <w:jc w:val="both"/>
            </w:pPr>
            <w:r>
              <w:rPr>
                <w:lang w:bidi="ar"/>
              </w:rPr>
              <w:t>Empirical formula</w:t>
            </w:r>
          </w:p>
        </w:tc>
        <w:tc>
          <w:tcPr>
            <w:tcW w:w="1205" w:type="pct"/>
            <w:noWrap/>
            <w:vAlign w:val="center"/>
          </w:tcPr>
          <w:p w14:paraId="0A2B3A60">
            <w:pPr>
              <w:jc w:val="both"/>
            </w:pPr>
            <w:r>
              <w:rPr>
                <w:lang w:bidi="ar"/>
              </w:rPr>
              <w:t>C</w:t>
            </w:r>
            <w:r>
              <w:rPr>
                <w:vertAlign w:val="subscript"/>
                <w:lang w:bidi="ar"/>
              </w:rPr>
              <w:t>18</w:t>
            </w:r>
            <w:r>
              <w:rPr>
                <w:lang w:bidi="ar"/>
              </w:rPr>
              <w:t>H</w:t>
            </w:r>
            <w:r>
              <w:rPr>
                <w:vertAlign w:val="subscript"/>
                <w:lang w:bidi="ar"/>
              </w:rPr>
              <w:t>42</w:t>
            </w:r>
            <w:r>
              <w:rPr>
                <w:lang w:bidi="ar"/>
              </w:rPr>
              <w:t>N</w:t>
            </w:r>
            <w:r>
              <w:rPr>
                <w:vertAlign w:val="subscript"/>
                <w:lang w:bidi="ar"/>
              </w:rPr>
              <w:t>3</w:t>
            </w:r>
            <w:r>
              <w:rPr>
                <w:lang w:bidi="ar"/>
              </w:rPr>
              <w:t>I</w:t>
            </w:r>
            <w:r>
              <w:rPr>
                <w:vertAlign w:val="subscript"/>
                <w:lang w:bidi="ar"/>
              </w:rPr>
              <w:t>9</w:t>
            </w:r>
            <w:r>
              <w:rPr>
                <w:lang w:bidi="ar"/>
              </w:rPr>
              <w:t>B</w:t>
            </w:r>
            <w:r>
              <w:rPr>
                <w:rFonts w:hint="eastAsia"/>
                <w:lang w:bidi="ar"/>
              </w:rPr>
              <w:t>i</w:t>
            </w:r>
            <w:r>
              <w:rPr>
                <w:vertAlign w:val="subscript"/>
                <w:lang w:bidi="ar"/>
              </w:rPr>
              <w:t>2</w:t>
            </w:r>
          </w:p>
        </w:tc>
        <w:tc>
          <w:tcPr>
            <w:tcW w:w="1389" w:type="pct"/>
            <w:noWrap/>
            <w:vAlign w:val="center"/>
          </w:tcPr>
          <w:p w14:paraId="376B24AE">
            <w:pPr>
              <w:jc w:val="both"/>
            </w:pPr>
            <w:r>
              <w:rPr>
                <w:lang w:bidi="ar"/>
              </w:rPr>
              <w:t>C</w:t>
            </w:r>
            <w:r>
              <w:rPr>
                <w:vertAlign w:val="subscript"/>
                <w:lang w:bidi="ar"/>
              </w:rPr>
              <w:t>12</w:t>
            </w:r>
            <w:r>
              <w:rPr>
                <w:lang w:bidi="ar"/>
              </w:rPr>
              <w:t>H</w:t>
            </w:r>
            <w:r>
              <w:rPr>
                <w:vertAlign w:val="subscript"/>
                <w:lang w:bidi="ar"/>
              </w:rPr>
              <w:t>28</w:t>
            </w:r>
            <w:r>
              <w:rPr>
                <w:lang w:bidi="ar"/>
              </w:rPr>
              <w:t>N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B</w:t>
            </w:r>
            <w:r>
              <w:rPr>
                <w:rFonts w:hint="eastAsia"/>
                <w:lang w:bidi="ar"/>
              </w:rPr>
              <w:t>r</w:t>
            </w:r>
            <w:r>
              <w:rPr>
                <w:vertAlign w:val="subscript"/>
                <w:lang w:bidi="ar"/>
              </w:rPr>
              <w:t>5</w:t>
            </w:r>
            <w:r>
              <w:rPr>
                <w:lang w:bidi="ar"/>
              </w:rPr>
              <w:t>B</w:t>
            </w:r>
            <w:r>
              <w:rPr>
                <w:rFonts w:hint="eastAsia"/>
                <w:lang w:bidi="ar"/>
              </w:rPr>
              <w:t>i</w:t>
            </w:r>
          </w:p>
        </w:tc>
        <w:tc>
          <w:tcPr>
            <w:tcW w:w="1235" w:type="pct"/>
            <w:noWrap/>
            <w:vAlign w:val="center"/>
          </w:tcPr>
          <w:p w14:paraId="246AFCB5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C</w:t>
            </w:r>
            <w:r>
              <w:rPr>
                <w:vertAlign w:val="subscript"/>
                <w:lang w:bidi="ar"/>
              </w:rPr>
              <w:t>12</w:t>
            </w:r>
            <w:r>
              <w:rPr>
                <w:lang w:bidi="ar"/>
              </w:rPr>
              <w:t>H</w:t>
            </w:r>
            <w:r>
              <w:rPr>
                <w:vertAlign w:val="subscript"/>
                <w:lang w:bidi="ar"/>
              </w:rPr>
              <w:t>28</w:t>
            </w:r>
            <w:r>
              <w:rPr>
                <w:lang w:bidi="ar"/>
              </w:rPr>
              <w:t>N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B</w:t>
            </w:r>
            <w:r>
              <w:rPr>
                <w:rFonts w:hint="eastAsia"/>
                <w:lang w:bidi="ar"/>
              </w:rPr>
              <w:t>i</w:t>
            </w:r>
            <w:r>
              <w:rPr>
                <w:lang w:bidi="ar"/>
              </w:rPr>
              <w:t>Cl</w:t>
            </w:r>
            <w:r>
              <w:rPr>
                <w:vertAlign w:val="subscript"/>
                <w:lang w:bidi="ar"/>
              </w:rPr>
              <w:t>5</w:t>
            </w:r>
          </w:p>
        </w:tc>
      </w:tr>
      <w:tr w14:paraId="0CBAFD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7B5DFB6B">
            <w:pPr>
              <w:jc w:val="both"/>
            </w:pPr>
            <w:r>
              <w:rPr>
                <w:lang w:bidi="ar"/>
              </w:rPr>
              <w:t>Formula weight</w:t>
            </w:r>
          </w:p>
        </w:tc>
        <w:tc>
          <w:tcPr>
            <w:tcW w:w="1205" w:type="pct"/>
            <w:noWrap/>
            <w:vAlign w:val="center"/>
          </w:tcPr>
          <w:p w14:paraId="5F833D18">
            <w:pPr>
              <w:jc w:val="both"/>
            </w:pPr>
            <w:r>
              <w:rPr>
                <w:lang w:bidi="ar"/>
              </w:rPr>
              <w:t>1860.27</w:t>
            </w:r>
          </w:p>
        </w:tc>
        <w:tc>
          <w:tcPr>
            <w:tcW w:w="1389" w:type="pct"/>
            <w:noWrap/>
            <w:vAlign w:val="center"/>
          </w:tcPr>
          <w:p w14:paraId="48CB9A0F">
            <w:pPr>
              <w:jc w:val="both"/>
            </w:pPr>
            <w:r>
              <w:rPr>
                <w:rFonts w:hint="eastAsia"/>
              </w:rPr>
              <w:t>8</w:t>
            </w:r>
            <w:r>
              <w:t>08.89</w:t>
            </w:r>
          </w:p>
        </w:tc>
        <w:tc>
          <w:tcPr>
            <w:tcW w:w="1235" w:type="pct"/>
            <w:noWrap/>
            <w:vAlign w:val="center"/>
          </w:tcPr>
          <w:p w14:paraId="45E21135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582.56</w:t>
            </w:r>
          </w:p>
        </w:tc>
      </w:tr>
      <w:tr w14:paraId="6731F8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7C95B956">
            <w:pPr>
              <w:jc w:val="both"/>
            </w:pPr>
            <w:r>
              <w:rPr>
                <w:lang w:bidi="ar"/>
              </w:rPr>
              <w:t>Temperature/K</w:t>
            </w:r>
          </w:p>
        </w:tc>
        <w:tc>
          <w:tcPr>
            <w:tcW w:w="1205" w:type="pct"/>
            <w:noWrap/>
            <w:vAlign w:val="center"/>
          </w:tcPr>
          <w:p w14:paraId="16F40411">
            <w:pPr>
              <w:jc w:val="both"/>
            </w:pPr>
            <w:r>
              <w:rPr>
                <w:lang w:bidi="ar"/>
              </w:rPr>
              <w:t>293(2)</w:t>
            </w:r>
          </w:p>
        </w:tc>
        <w:tc>
          <w:tcPr>
            <w:tcW w:w="1389" w:type="pct"/>
            <w:noWrap/>
            <w:vAlign w:val="center"/>
          </w:tcPr>
          <w:p w14:paraId="2A4CC257">
            <w:pPr>
              <w:jc w:val="both"/>
            </w:pPr>
            <w:r>
              <w:rPr>
                <w:lang w:bidi="ar"/>
              </w:rPr>
              <w:t>293(2)</w:t>
            </w:r>
          </w:p>
        </w:tc>
        <w:tc>
          <w:tcPr>
            <w:tcW w:w="1235" w:type="pct"/>
            <w:noWrap/>
            <w:vAlign w:val="center"/>
          </w:tcPr>
          <w:p w14:paraId="5DC845FE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298(2)</w:t>
            </w:r>
          </w:p>
        </w:tc>
      </w:tr>
      <w:tr w14:paraId="0B9DF4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03199D9C">
            <w:pPr>
              <w:jc w:val="both"/>
            </w:pPr>
            <w:r>
              <w:rPr>
                <w:lang w:bidi="ar"/>
              </w:rPr>
              <w:t>Crystal system</w:t>
            </w:r>
          </w:p>
        </w:tc>
        <w:tc>
          <w:tcPr>
            <w:tcW w:w="1205" w:type="pct"/>
            <w:noWrap/>
            <w:vAlign w:val="center"/>
          </w:tcPr>
          <w:p w14:paraId="08C00F5D">
            <w:pPr>
              <w:jc w:val="both"/>
            </w:pPr>
            <w:r>
              <w:t>orthorhombic</w:t>
            </w:r>
          </w:p>
        </w:tc>
        <w:tc>
          <w:tcPr>
            <w:tcW w:w="1389" w:type="pct"/>
            <w:noWrap/>
            <w:vAlign w:val="center"/>
          </w:tcPr>
          <w:p w14:paraId="4B1A2446">
            <w:pPr>
              <w:jc w:val="both"/>
            </w:pPr>
            <w:r>
              <w:t>orthorhombic</w:t>
            </w:r>
          </w:p>
        </w:tc>
        <w:tc>
          <w:tcPr>
            <w:tcW w:w="1235" w:type="pct"/>
            <w:noWrap/>
            <w:vAlign w:val="center"/>
          </w:tcPr>
          <w:p w14:paraId="44EE78D2">
            <w:pPr>
              <w:jc w:val="both"/>
              <w:rPr>
                <w:kern w:val="0"/>
                <w:lang w:bidi="ar"/>
              </w:rPr>
            </w:pPr>
            <w:r>
              <w:t>orthorhombic</w:t>
            </w:r>
          </w:p>
        </w:tc>
      </w:tr>
      <w:tr w14:paraId="103F7C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45B2B412">
            <w:pPr>
              <w:jc w:val="both"/>
            </w:pPr>
            <w:r>
              <w:rPr>
                <w:lang w:bidi="ar"/>
              </w:rPr>
              <w:t>Space group</w:t>
            </w:r>
          </w:p>
        </w:tc>
        <w:tc>
          <w:tcPr>
            <w:tcW w:w="1205" w:type="pct"/>
            <w:noWrap/>
            <w:vAlign w:val="center"/>
          </w:tcPr>
          <w:p w14:paraId="73B2FEE9">
            <w:pPr>
              <w:jc w:val="both"/>
            </w:pPr>
            <w:bookmarkStart w:id="5" w:name="_Hlk195557039"/>
            <w:r>
              <w:rPr>
                <w:lang w:bidi="ar"/>
              </w:rPr>
              <w:t>Pnma</w:t>
            </w:r>
            <w:bookmarkEnd w:id="5"/>
          </w:p>
        </w:tc>
        <w:tc>
          <w:tcPr>
            <w:tcW w:w="1389" w:type="pct"/>
            <w:noWrap/>
            <w:vAlign w:val="center"/>
          </w:tcPr>
          <w:p w14:paraId="34EA31D2">
            <w:pPr>
              <w:jc w:val="both"/>
            </w:pPr>
            <w:bookmarkStart w:id="6" w:name="_Hlk195557279"/>
            <w:r>
              <w:rPr>
                <w:lang w:bidi="ar"/>
              </w:rPr>
              <w:t>Pna2</w:t>
            </w:r>
            <w:r>
              <w:rPr>
                <w:vertAlign w:val="subscript"/>
                <w:lang w:bidi="ar"/>
              </w:rPr>
              <w:t>1</w:t>
            </w:r>
            <w:bookmarkEnd w:id="6"/>
          </w:p>
        </w:tc>
        <w:tc>
          <w:tcPr>
            <w:tcW w:w="1235" w:type="pct"/>
            <w:noWrap/>
            <w:vAlign w:val="center"/>
          </w:tcPr>
          <w:p w14:paraId="178624D3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Pnma</w:t>
            </w:r>
          </w:p>
        </w:tc>
      </w:tr>
      <w:tr w14:paraId="7384EE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6EA4CA79">
            <w:pPr>
              <w:jc w:val="both"/>
            </w:pPr>
            <w:r>
              <w:rPr>
                <w:lang w:bidi="ar"/>
              </w:rPr>
              <w:t>a/Å</w:t>
            </w:r>
          </w:p>
        </w:tc>
        <w:tc>
          <w:tcPr>
            <w:tcW w:w="1205" w:type="pct"/>
            <w:noWrap/>
            <w:vAlign w:val="center"/>
          </w:tcPr>
          <w:p w14:paraId="42F86EA8">
            <w:pPr>
              <w:jc w:val="both"/>
            </w:pPr>
            <w:r>
              <w:rPr>
                <w:lang w:bidi="ar"/>
              </w:rPr>
              <w:t>21.3111(13)</w:t>
            </w:r>
          </w:p>
        </w:tc>
        <w:tc>
          <w:tcPr>
            <w:tcW w:w="1389" w:type="pct"/>
            <w:noWrap/>
            <w:vAlign w:val="center"/>
          </w:tcPr>
          <w:p w14:paraId="4FB9EFAF">
            <w:pPr>
              <w:jc w:val="both"/>
            </w:pPr>
            <w:r>
              <w:rPr>
                <w:lang w:bidi="ar"/>
              </w:rPr>
              <w:t>12.788(2)</w:t>
            </w:r>
          </w:p>
        </w:tc>
        <w:tc>
          <w:tcPr>
            <w:tcW w:w="1235" w:type="pct"/>
            <w:noWrap/>
            <w:vAlign w:val="center"/>
          </w:tcPr>
          <w:p w14:paraId="2B2CDF72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12.5532(6)</w:t>
            </w:r>
          </w:p>
        </w:tc>
      </w:tr>
      <w:tr w14:paraId="54F99A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4DB34045">
            <w:pPr>
              <w:jc w:val="both"/>
            </w:pPr>
            <w:r>
              <w:rPr>
                <w:lang w:bidi="ar"/>
              </w:rPr>
              <w:t>b/Å</w:t>
            </w:r>
          </w:p>
        </w:tc>
        <w:tc>
          <w:tcPr>
            <w:tcW w:w="1205" w:type="pct"/>
            <w:noWrap/>
            <w:vAlign w:val="center"/>
          </w:tcPr>
          <w:p w14:paraId="70B568CF">
            <w:pPr>
              <w:jc w:val="both"/>
            </w:pPr>
            <w:r>
              <w:rPr>
                <w:lang w:bidi="ar"/>
              </w:rPr>
              <w:t>8.6398(5)</w:t>
            </w:r>
          </w:p>
        </w:tc>
        <w:tc>
          <w:tcPr>
            <w:tcW w:w="1389" w:type="pct"/>
            <w:noWrap/>
            <w:vAlign w:val="center"/>
          </w:tcPr>
          <w:p w14:paraId="7A82D3EB">
            <w:pPr>
              <w:jc w:val="both"/>
            </w:pPr>
            <w:r>
              <w:rPr>
                <w:lang w:bidi="ar"/>
              </w:rPr>
              <w:t>22.184(4)</w:t>
            </w:r>
          </w:p>
        </w:tc>
        <w:tc>
          <w:tcPr>
            <w:tcW w:w="1235" w:type="pct"/>
            <w:noWrap/>
            <w:vAlign w:val="center"/>
          </w:tcPr>
          <w:p w14:paraId="0808CEFE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7.5630(4)</w:t>
            </w:r>
          </w:p>
        </w:tc>
      </w:tr>
      <w:tr w14:paraId="377157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0697ABE9">
            <w:pPr>
              <w:jc w:val="both"/>
            </w:pPr>
            <w:r>
              <w:rPr>
                <w:lang w:bidi="ar"/>
              </w:rPr>
              <w:t>c/Å</w:t>
            </w:r>
          </w:p>
        </w:tc>
        <w:tc>
          <w:tcPr>
            <w:tcW w:w="1205" w:type="pct"/>
            <w:noWrap/>
            <w:vAlign w:val="center"/>
          </w:tcPr>
          <w:p w14:paraId="03AAAC31">
            <w:pPr>
              <w:jc w:val="both"/>
            </w:pPr>
            <w:r>
              <w:rPr>
                <w:lang w:bidi="ar"/>
              </w:rPr>
              <w:t>22.5231(12)</w:t>
            </w:r>
          </w:p>
        </w:tc>
        <w:tc>
          <w:tcPr>
            <w:tcW w:w="1389" w:type="pct"/>
            <w:noWrap/>
            <w:vAlign w:val="center"/>
          </w:tcPr>
          <w:p w14:paraId="459C7D29">
            <w:pPr>
              <w:jc w:val="both"/>
            </w:pPr>
            <w:r>
              <w:rPr>
                <w:lang w:bidi="ar"/>
              </w:rPr>
              <w:t>7.8600(12)</w:t>
            </w:r>
          </w:p>
        </w:tc>
        <w:tc>
          <w:tcPr>
            <w:tcW w:w="1235" w:type="pct"/>
            <w:noWrap/>
            <w:vAlign w:val="center"/>
          </w:tcPr>
          <w:p w14:paraId="1F7A71ED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21.7609(11)</w:t>
            </w:r>
          </w:p>
        </w:tc>
      </w:tr>
      <w:tr w14:paraId="4AC1FE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12320C9E">
            <w:pPr>
              <w:jc w:val="both"/>
            </w:pPr>
            <w:r>
              <w:rPr>
                <w:lang w:bidi="ar"/>
              </w:rPr>
              <w:t>α/°</w:t>
            </w:r>
          </w:p>
        </w:tc>
        <w:tc>
          <w:tcPr>
            <w:tcW w:w="1205" w:type="pct"/>
            <w:noWrap/>
            <w:vAlign w:val="center"/>
          </w:tcPr>
          <w:p w14:paraId="251ABDDA">
            <w:pPr>
              <w:jc w:val="both"/>
            </w:pPr>
            <w:r>
              <w:rPr>
                <w:lang w:bidi="ar"/>
              </w:rPr>
              <w:t>90</w:t>
            </w:r>
          </w:p>
        </w:tc>
        <w:tc>
          <w:tcPr>
            <w:tcW w:w="1389" w:type="pct"/>
            <w:noWrap/>
            <w:vAlign w:val="center"/>
          </w:tcPr>
          <w:p w14:paraId="0DF20D5E">
            <w:pPr>
              <w:jc w:val="both"/>
            </w:pPr>
            <w:r>
              <w:rPr>
                <w:lang w:bidi="ar"/>
              </w:rPr>
              <w:t>90</w:t>
            </w:r>
          </w:p>
        </w:tc>
        <w:tc>
          <w:tcPr>
            <w:tcW w:w="1235" w:type="pct"/>
            <w:noWrap/>
            <w:vAlign w:val="center"/>
          </w:tcPr>
          <w:p w14:paraId="19F79955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90</w:t>
            </w:r>
          </w:p>
        </w:tc>
      </w:tr>
      <w:tr w14:paraId="59D038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0F519160">
            <w:pPr>
              <w:jc w:val="both"/>
            </w:pPr>
            <w:r>
              <w:rPr>
                <w:lang w:bidi="ar"/>
              </w:rPr>
              <w:t>β/°</w:t>
            </w:r>
          </w:p>
        </w:tc>
        <w:tc>
          <w:tcPr>
            <w:tcW w:w="1205" w:type="pct"/>
            <w:noWrap/>
            <w:vAlign w:val="center"/>
          </w:tcPr>
          <w:p w14:paraId="4742B62A">
            <w:pPr>
              <w:jc w:val="both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389" w:type="pct"/>
            <w:noWrap/>
            <w:vAlign w:val="center"/>
          </w:tcPr>
          <w:p w14:paraId="65533C20">
            <w:pPr>
              <w:jc w:val="both"/>
            </w:pPr>
            <w:r>
              <w:rPr>
                <w:lang w:bidi="ar"/>
              </w:rPr>
              <w:t>90</w:t>
            </w:r>
          </w:p>
        </w:tc>
        <w:tc>
          <w:tcPr>
            <w:tcW w:w="1235" w:type="pct"/>
            <w:noWrap/>
            <w:vAlign w:val="center"/>
          </w:tcPr>
          <w:p w14:paraId="453693C8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90</w:t>
            </w:r>
          </w:p>
        </w:tc>
      </w:tr>
      <w:tr w14:paraId="244793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241AF03C">
            <w:pPr>
              <w:jc w:val="both"/>
            </w:pPr>
            <w:r>
              <w:rPr>
                <w:lang w:bidi="ar"/>
              </w:rPr>
              <w:t>γ/°</w:t>
            </w:r>
          </w:p>
        </w:tc>
        <w:tc>
          <w:tcPr>
            <w:tcW w:w="1205" w:type="pct"/>
            <w:noWrap/>
            <w:vAlign w:val="center"/>
          </w:tcPr>
          <w:p w14:paraId="387EE7CB">
            <w:pPr>
              <w:jc w:val="both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389" w:type="pct"/>
            <w:noWrap/>
            <w:vAlign w:val="center"/>
          </w:tcPr>
          <w:p w14:paraId="778F20D9">
            <w:pPr>
              <w:jc w:val="both"/>
            </w:pPr>
            <w:r>
              <w:rPr>
                <w:lang w:bidi="ar"/>
              </w:rPr>
              <w:t>90</w:t>
            </w:r>
          </w:p>
        </w:tc>
        <w:tc>
          <w:tcPr>
            <w:tcW w:w="1235" w:type="pct"/>
            <w:noWrap/>
            <w:vAlign w:val="center"/>
          </w:tcPr>
          <w:p w14:paraId="48EC1752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90</w:t>
            </w:r>
          </w:p>
        </w:tc>
      </w:tr>
      <w:tr w14:paraId="16D199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68F693F2">
            <w:pPr>
              <w:jc w:val="both"/>
            </w:pPr>
            <w:r>
              <w:rPr>
                <w:lang w:bidi="ar"/>
              </w:rPr>
              <w:t>Volume/Å</w:t>
            </w:r>
            <w:r>
              <w:rPr>
                <w:vertAlign w:val="superscript"/>
                <w:lang w:bidi="ar"/>
              </w:rPr>
              <w:t>3</w:t>
            </w:r>
          </w:p>
        </w:tc>
        <w:tc>
          <w:tcPr>
            <w:tcW w:w="1205" w:type="pct"/>
            <w:noWrap/>
            <w:vAlign w:val="center"/>
          </w:tcPr>
          <w:p w14:paraId="5696A7AB">
            <w:pPr>
              <w:jc w:val="both"/>
            </w:pPr>
            <w:r>
              <w:rPr>
                <w:lang w:bidi="ar"/>
              </w:rPr>
              <w:t>4147.0(4)</w:t>
            </w:r>
          </w:p>
        </w:tc>
        <w:tc>
          <w:tcPr>
            <w:tcW w:w="1389" w:type="pct"/>
            <w:noWrap/>
            <w:vAlign w:val="center"/>
          </w:tcPr>
          <w:p w14:paraId="6CAB3584">
            <w:pPr>
              <w:jc w:val="both"/>
            </w:pPr>
            <w:r>
              <w:rPr>
                <w:lang w:bidi="ar"/>
              </w:rPr>
              <w:t>2229.8(6)</w:t>
            </w:r>
          </w:p>
        </w:tc>
        <w:tc>
          <w:tcPr>
            <w:tcW w:w="1235" w:type="pct"/>
            <w:noWrap/>
            <w:vAlign w:val="center"/>
          </w:tcPr>
          <w:p w14:paraId="7F310674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2065.98(18)</w:t>
            </w:r>
          </w:p>
        </w:tc>
      </w:tr>
      <w:tr w14:paraId="14639E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020B412A">
            <w:pPr>
              <w:jc w:val="both"/>
            </w:pPr>
            <w:r>
              <w:rPr>
                <w:lang w:bidi="ar"/>
              </w:rPr>
              <w:t>Z</w:t>
            </w:r>
          </w:p>
        </w:tc>
        <w:tc>
          <w:tcPr>
            <w:tcW w:w="1205" w:type="pct"/>
            <w:noWrap/>
            <w:vAlign w:val="center"/>
          </w:tcPr>
          <w:p w14:paraId="04CFABD9">
            <w:pPr>
              <w:jc w:val="both"/>
            </w:pPr>
            <w:r>
              <w:rPr>
                <w:lang w:bidi="ar"/>
              </w:rPr>
              <w:t>4</w:t>
            </w:r>
          </w:p>
        </w:tc>
        <w:tc>
          <w:tcPr>
            <w:tcW w:w="1389" w:type="pct"/>
            <w:noWrap/>
            <w:vAlign w:val="center"/>
          </w:tcPr>
          <w:p w14:paraId="2E00512B">
            <w:pPr>
              <w:jc w:val="both"/>
            </w:pPr>
            <w:r>
              <w:rPr>
                <w:lang w:bidi="ar"/>
              </w:rPr>
              <w:t>4</w:t>
            </w:r>
          </w:p>
        </w:tc>
        <w:tc>
          <w:tcPr>
            <w:tcW w:w="1235" w:type="pct"/>
            <w:noWrap/>
            <w:vAlign w:val="center"/>
          </w:tcPr>
          <w:p w14:paraId="5D36A4F8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4</w:t>
            </w:r>
          </w:p>
        </w:tc>
      </w:tr>
      <w:tr w14:paraId="75405F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4CB882BC">
            <w:pPr>
              <w:jc w:val="both"/>
            </w:pPr>
            <w:r>
              <w:rPr>
                <w:lang w:bidi="ar"/>
              </w:rPr>
              <w:t>ρ</w:t>
            </w:r>
            <w:r>
              <w:rPr>
                <w:vertAlign w:val="subscript"/>
                <w:lang w:bidi="ar"/>
              </w:rPr>
              <w:t>calc</w:t>
            </w:r>
            <w:r>
              <w:rPr>
                <w:lang w:bidi="ar"/>
              </w:rPr>
              <w:t>g/cm</w:t>
            </w:r>
            <w:r>
              <w:rPr>
                <w:vertAlign w:val="superscript"/>
                <w:lang w:bidi="ar"/>
              </w:rPr>
              <w:t>3</w:t>
            </w:r>
          </w:p>
        </w:tc>
        <w:tc>
          <w:tcPr>
            <w:tcW w:w="1205" w:type="pct"/>
            <w:noWrap/>
            <w:vAlign w:val="center"/>
          </w:tcPr>
          <w:p w14:paraId="5D7C4455">
            <w:pPr>
              <w:jc w:val="both"/>
            </w:pPr>
            <w:r>
              <w:rPr>
                <w:lang w:bidi="ar"/>
              </w:rPr>
              <w:t>2.912</w:t>
            </w:r>
          </w:p>
        </w:tc>
        <w:tc>
          <w:tcPr>
            <w:tcW w:w="1389" w:type="pct"/>
            <w:noWrap/>
            <w:vAlign w:val="center"/>
          </w:tcPr>
          <w:p w14:paraId="03564926">
            <w:pPr>
              <w:jc w:val="both"/>
            </w:pPr>
            <w:r>
              <w:rPr>
                <w:rFonts w:hint="eastAsia"/>
              </w:rPr>
              <w:t>2</w:t>
            </w:r>
            <w:r>
              <w:t>.410</w:t>
            </w:r>
          </w:p>
        </w:tc>
        <w:tc>
          <w:tcPr>
            <w:tcW w:w="1235" w:type="pct"/>
            <w:noWrap/>
            <w:vAlign w:val="center"/>
          </w:tcPr>
          <w:p w14:paraId="2040E93C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1.873</w:t>
            </w:r>
          </w:p>
        </w:tc>
      </w:tr>
      <w:tr w14:paraId="701BF7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41A1DCF0">
            <w:pPr>
              <w:jc w:val="both"/>
            </w:pPr>
            <w:r>
              <w:rPr>
                <w:lang w:bidi="ar"/>
              </w:rPr>
              <w:t>μ/mm</w:t>
            </w:r>
            <w:r>
              <w:rPr>
                <w:vertAlign w:val="superscript"/>
                <w:lang w:bidi="ar"/>
              </w:rPr>
              <w:noBreakHyphen/>
            </w:r>
            <w:r>
              <w:rPr>
                <w:vertAlign w:val="superscript"/>
                <w:lang w:bidi="ar"/>
              </w:rPr>
              <w:t>1</w:t>
            </w:r>
          </w:p>
        </w:tc>
        <w:tc>
          <w:tcPr>
            <w:tcW w:w="1205" w:type="pct"/>
            <w:noWrap/>
            <w:vAlign w:val="center"/>
          </w:tcPr>
          <w:p w14:paraId="79A5AC3D">
            <w:pPr>
              <w:jc w:val="both"/>
            </w:pPr>
            <w:r>
              <w:rPr>
                <w:lang w:bidi="ar"/>
              </w:rPr>
              <w:t>15.185</w:t>
            </w:r>
          </w:p>
        </w:tc>
        <w:tc>
          <w:tcPr>
            <w:tcW w:w="1389" w:type="pct"/>
            <w:noWrap/>
            <w:vAlign w:val="center"/>
          </w:tcPr>
          <w:p w14:paraId="63CDA42F">
            <w:pPr>
              <w:jc w:val="both"/>
            </w:pPr>
            <w:r>
              <w:rPr>
                <w:lang w:bidi="ar"/>
              </w:rPr>
              <w:t>16.861</w:t>
            </w:r>
          </w:p>
        </w:tc>
        <w:tc>
          <w:tcPr>
            <w:tcW w:w="1235" w:type="pct"/>
            <w:noWrap/>
            <w:vAlign w:val="center"/>
          </w:tcPr>
          <w:p w14:paraId="63207B02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9.174</w:t>
            </w:r>
          </w:p>
        </w:tc>
      </w:tr>
      <w:tr w14:paraId="6DA6B5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7BE1D389">
            <w:pPr>
              <w:jc w:val="both"/>
            </w:pPr>
            <w:r>
              <w:rPr>
                <w:lang w:bidi="ar"/>
              </w:rPr>
              <w:t>F(000)</w:t>
            </w:r>
          </w:p>
        </w:tc>
        <w:tc>
          <w:tcPr>
            <w:tcW w:w="1205" w:type="pct"/>
            <w:noWrap/>
            <w:vAlign w:val="center"/>
          </w:tcPr>
          <w:p w14:paraId="217D2DED">
            <w:pPr>
              <w:jc w:val="both"/>
            </w:pPr>
            <w:r>
              <w:rPr>
                <w:lang w:bidi="ar"/>
              </w:rPr>
              <w:t>3088.0</w:t>
            </w:r>
          </w:p>
        </w:tc>
        <w:tc>
          <w:tcPr>
            <w:tcW w:w="1389" w:type="pct"/>
            <w:noWrap/>
            <w:vAlign w:val="center"/>
          </w:tcPr>
          <w:p w14:paraId="5A579A03">
            <w:pPr>
              <w:jc w:val="both"/>
            </w:pPr>
            <w:r>
              <w:rPr>
                <w:rFonts w:hint="eastAsia"/>
              </w:rPr>
              <w:t>1</w:t>
            </w:r>
            <w:r>
              <w:t>488.0</w:t>
            </w:r>
          </w:p>
        </w:tc>
        <w:tc>
          <w:tcPr>
            <w:tcW w:w="1235" w:type="pct"/>
            <w:noWrap/>
            <w:vAlign w:val="center"/>
          </w:tcPr>
          <w:p w14:paraId="6DBC58C7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1112.0</w:t>
            </w:r>
          </w:p>
        </w:tc>
      </w:tr>
      <w:tr w14:paraId="18E0AA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2F8E6019">
            <w:pPr>
              <w:jc w:val="both"/>
            </w:pPr>
            <w:r>
              <w:rPr>
                <w:lang w:bidi="ar"/>
              </w:rPr>
              <w:t>Radiation</w:t>
            </w:r>
          </w:p>
        </w:tc>
        <w:tc>
          <w:tcPr>
            <w:tcW w:w="1205" w:type="pct"/>
            <w:noWrap/>
            <w:vAlign w:val="center"/>
          </w:tcPr>
          <w:p w14:paraId="04095C27">
            <w:pPr>
              <w:jc w:val="both"/>
            </w:pPr>
            <w:r>
              <w:rPr>
                <w:lang w:bidi="ar"/>
              </w:rPr>
              <w:t>MoKα (λ = 0.71073)</w:t>
            </w:r>
          </w:p>
        </w:tc>
        <w:tc>
          <w:tcPr>
            <w:tcW w:w="1389" w:type="pct"/>
            <w:noWrap/>
            <w:vAlign w:val="center"/>
          </w:tcPr>
          <w:p w14:paraId="7620F910">
            <w:pPr>
              <w:jc w:val="both"/>
            </w:pPr>
            <w:r>
              <w:rPr>
                <w:lang w:bidi="ar"/>
              </w:rPr>
              <w:t>MoKα (λ = 0.71073)</w:t>
            </w:r>
          </w:p>
        </w:tc>
        <w:tc>
          <w:tcPr>
            <w:tcW w:w="1235" w:type="pct"/>
            <w:noWrap/>
            <w:vAlign w:val="center"/>
          </w:tcPr>
          <w:p w14:paraId="69FFE427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MoKα (λ = 0.71073)</w:t>
            </w:r>
          </w:p>
        </w:tc>
      </w:tr>
      <w:tr w14:paraId="3F66F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7DF6CD8B">
            <w:pPr>
              <w:jc w:val="both"/>
            </w:pPr>
            <w:r>
              <w:rPr>
                <w:lang w:bidi="ar"/>
              </w:rPr>
              <w:t>2Θ range for data collection/°</w:t>
            </w:r>
          </w:p>
        </w:tc>
        <w:tc>
          <w:tcPr>
            <w:tcW w:w="1205" w:type="pct"/>
            <w:noWrap/>
            <w:vAlign w:val="center"/>
          </w:tcPr>
          <w:p w14:paraId="00384550">
            <w:pPr>
              <w:jc w:val="both"/>
            </w:pPr>
            <w:r>
              <w:rPr>
                <w:lang w:bidi="ar"/>
              </w:rPr>
              <w:t>3.822 to 49.994</w:t>
            </w:r>
          </w:p>
        </w:tc>
        <w:tc>
          <w:tcPr>
            <w:tcW w:w="1389" w:type="pct"/>
            <w:noWrap/>
            <w:vAlign w:val="center"/>
          </w:tcPr>
          <w:p w14:paraId="09C7AC43">
            <w:pPr>
              <w:jc w:val="both"/>
            </w:pPr>
            <w:r>
              <w:rPr>
                <w:lang w:bidi="ar"/>
              </w:rPr>
              <w:t>4.862 to 50.728</w:t>
            </w:r>
          </w:p>
        </w:tc>
        <w:tc>
          <w:tcPr>
            <w:tcW w:w="1235" w:type="pct"/>
            <w:noWrap/>
            <w:vAlign w:val="center"/>
          </w:tcPr>
          <w:p w14:paraId="4C284189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5.702 to 50.686</w:t>
            </w:r>
          </w:p>
        </w:tc>
      </w:tr>
      <w:tr w14:paraId="55184C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15" w:hRule="atLeast"/>
          <w:jc w:val="center"/>
        </w:trPr>
        <w:tc>
          <w:tcPr>
            <w:tcW w:w="1171" w:type="pct"/>
            <w:noWrap/>
            <w:vAlign w:val="center"/>
          </w:tcPr>
          <w:p w14:paraId="6C8464DD">
            <w:pPr>
              <w:jc w:val="both"/>
            </w:pPr>
            <w:r>
              <w:rPr>
                <w:lang w:bidi="ar"/>
              </w:rPr>
              <w:t>Index ranges</w:t>
            </w:r>
          </w:p>
        </w:tc>
        <w:tc>
          <w:tcPr>
            <w:tcW w:w="1205" w:type="pct"/>
            <w:noWrap/>
            <w:vAlign w:val="center"/>
          </w:tcPr>
          <w:p w14:paraId="2E1E7363">
            <w:pPr>
              <w:jc w:val="both"/>
            </w:pPr>
            <w:r>
              <w:rPr>
                <w:lang w:bidi="ar"/>
              </w:rPr>
              <w:t>-25 ≤ h ≤ 24</w:t>
            </w:r>
            <w:r>
              <w:rPr>
                <w:rFonts w:hint="eastAsia"/>
                <w:lang w:bidi="ar"/>
              </w:rPr>
              <w:t>，</w:t>
            </w:r>
            <w:r>
              <w:rPr>
                <w:lang w:bidi="ar"/>
              </w:rPr>
              <w:t xml:space="preserve"> -9 ≤ k ≤ 10, -26 ≤ l ≤ 26</w:t>
            </w:r>
          </w:p>
        </w:tc>
        <w:tc>
          <w:tcPr>
            <w:tcW w:w="1389" w:type="pct"/>
            <w:noWrap/>
            <w:vAlign w:val="center"/>
          </w:tcPr>
          <w:p w14:paraId="613D759A">
            <w:pPr>
              <w:jc w:val="both"/>
            </w:pPr>
            <w:r>
              <w:rPr>
                <w:lang w:bidi="ar"/>
              </w:rPr>
              <w:t>-15 ≤ h ≤ 15, -26 ≤ k ≤ 23, --8 ≤ l ≤ 9</w:t>
            </w:r>
          </w:p>
        </w:tc>
        <w:tc>
          <w:tcPr>
            <w:tcW w:w="1235" w:type="pct"/>
            <w:noWrap/>
            <w:vAlign w:val="center"/>
          </w:tcPr>
          <w:p w14:paraId="0DD59095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-15 ≤ h ≤ 15, -7 ≤ k ≤ 9, -22 ≤ l ≤ 26</w:t>
            </w:r>
          </w:p>
        </w:tc>
      </w:tr>
      <w:tr w14:paraId="7FA9AF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20367A62">
            <w:pPr>
              <w:jc w:val="both"/>
            </w:pPr>
            <w:r>
              <w:rPr>
                <w:lang w:bidi="ar"/>
              </w:rPr>
              <w:t>Reflections collected</w:t>
            </w:r>
          </w:p>
        </w:tc>
        <w:tc>
          <w:tcPr>
            <w:tcW w:w="1205" w:type="pct"/>
            <w:noWrap/>
            <w:vAlign w:val="center"/>
          </w:tcPr>
          <w:p w14:paraId="6501B8F9">
            <w:pPr>
              <w:jc w:val="both"/>
            </w:pPr>
            <w:r>
              <w:rPr>
                <w:lang w:bidi="ar"/>
              </w:rPr>
              <w:t>27553</w:t>
            </w:r>
          </w:p>
        </w:tc>
        <w:tc>
          <w:tcPr>
            <w:tcW w:w="1389" w:type="pct"/>
            <w:noWrap/>
            <w:vAlign w:val="center"/>
          </w:tcPr>
          <w:p w14:paraId="0E220B37">
            <w:pPr>
              <w:jc w:val="both"/>
            </w:pPr>
            <w:r>
              <w:rPr>
                <w:lang w:bidi="ar"/>
              </w:rPr>
              <w:t>17876</w:t>
            </w:r>
          </w:p>
        </w:tc>
        <w:tc>
          <w:tcPr>
            <w:tcW w:w="1235" w:type="pct"/>
            <w:noWrap/>
            <w:vAlign w:val="center"/>
          </w:tcPr>
          <w:p w14:paraId="4B14FFE4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11792</w:t>
            </w:r>
          </w:p>
        </w:tc>
      </w:tr>
      <w:tr w14:paraId="3B0B43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35" w:hRule="atLeast"/>
          <w:jc w:val="center"/>
        </w:trPr>
        <w:tc>
          <w:tcPr>
            <w:tcW w:w="1171" w:type="pct"/>
            <w:noWrap/>
            <w:vAlign w:val="center"/>
          </w:tcPr>
          <w:p w14:paraId="2BBFEF37">
            <w:pPr>
              <w:jc w:val="both"/>
            </w:pPr>
            <w:r>
              <w:rPr>
                <w:lang w:bidi="ar"/>
              </w:rPr>
              <w:t>Independent reflections</w:t>
            </w:r>
          </w:p>
        </w:tc>
        <w:tc>
          <w:tcPr>
            <w:tcW w:w="1205" w:type="pct"/>
            <w:noWrap/>
            <w:vAlign w:val="center"/>
          </w:tcPr>
          <w:p w14:paraId="7D48DFBA">
            <w:pPr>
              <w:jc w:val="both"/>
            </w:pPr>
            <w:r>
              <w:rPr>
                <w:lang w:bidi="ar"/>
              </w:rPr>
              <w:t>3909 [R</w:t>
            </w:r>
            <w:r>
              <w:rPr>
                <w:vertAlign w:val="subscript"/>
                <w:lang w:bidi="ar"/>
              </w:rPr>
              <w:t>int</w:t>
            </w:r>
            <w:r>
              <w:rPr>
                <w:lang w:bidi="ar"/>
              </w:rPr>
              <w:t> = 0.0688, R</w:t>
            </w:r>
            <w:r>
              <w:rPr>
                <w:vertAlign w:val="subscript"/>
                <w:lang w:bidi="ar"/>
              </w:rPr>
              <w:t>sigma</w:t>
            </w:r>
            <w:r>
              <w:rPr>
                <w:lang w:bidi="ar"/>
              </w:rPr>
              <w:t> = 0.0399]</w:t>
            </w:r>
          </w:p>
        </w:tc>
        <w:tc>
          <w:tcPr>
            <w:tcW w:w="1389" w:type="pct"/>
            <w:noWrap/>
            <w:vAlign w:val="center"/>
          </w:tcPr>
          <w:p w14:paraId="6FBBDF19">
            <w:pPr>
              <w:jc w:val="both"/>
            </w:pPr>
            <w:r>
              <w:rPr>
                <w:lang w:bidi="ar"/>
              </w:rPr>
              <w:t>3686 [R</w:t>
            </w:r>
            <w:r>
              <w:rPr>
                <w:vertAlign w:val="subscript"/>
                <w:lang w:bidi="ar"/>
              </w:rPr>
              <w:t>int</w:t>
            </w:r>
            <w:r>
              <w:rPr>
                <w:lang w:bidi="ar"/>
              </w:rPr>
              <w:t> = 0.0511, R</w:t>
            </w:r>
            <w:r>
              <w:rPr>
                <w:vertAlign w:val="subscript"/>
                <w:lang w:bidi="ar"/>
              </w:rPr>
              <w:t>sigma</w:t>
            </w:r>
            <w:r>
              <w:rPr>
                <w:lang w:bidi="ar"/>
              </w:rPr>
              <w:t> = 0.0447]</w:t>
            </w:r>
          </w:p>
        </w:tc>
        <w:tc>
          <w:tcPr>
            <w:tcW w:w="1235" w:type="pct"/>
            <w:noWrap/>
            <w:vAlign w:val="center"/>
          </w:tcPr>
          <w:p w14:paraId="156ABE17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2016 [R</w:t>
            </w:r>
            <w:r>
              <w:rPr>
                <w:vertAlign w:val="subscript"/>
                <w:lang w:bidi="ar"/>
              </w:rPr>
              <w:t>int</w:t>
            </w:r>
            <w:r>
              <w:rPr>
                <w:lang w:bidi="ar"/>
              </w:rPr>
              <w:t> = 0.0285, R</w:t>
            </w:r>
            <w:r>
              <w:rPr>
                <w:vertAlign w:val="subscript"/>
                <w:lang w:bidi="ar"/>
              </w:rPr>
              <w:t>sigma</w:t>
            </w:r>
            <w:r>
              <w:rPr>
                <w:lang w:bidi="ar"/>
              </w:rPr>
              <w:t> = 0.0244]</w:t>
            </w:r>
          </w:p>
        </w:tc>
      </w:tr>
      <w:tr w14:paraId="78E48B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3A29B32F">
            <w:pPr>
              <w:jc w:val="both"/>
            </w:pPr>
            <w:r>
              <w:rPr>
                <w:lang w:bidi="ar"/>
              </w:rPr>
              <w:t>Data/restraints/parameters</w:t>
            </w:r>
          </w:p>
        </w:tc>
        <w:tc>
          <w:tcPr>
            <w:tcW w:w="1205" w:type="pct"/>
            <w:noWrap/>
            <w:vAlign w:val="center"/>
          </w:tcPr>
          <w:p w14:paraId="6CCBED8F">
            <w:pPr>
              <w:jc w:val="both"/>
            </w:pPr>
            <w:r>
              <w:rPr>
                <w:lang w:bidi="ar"/>
              </w:rPr>
              <w:t>3909/191/248</w:t>
            </w:r>
          </w:p>
        </w:tc>
        <w:tc>
          <w:tcPr>
            <w:tcW w:w="1389" w:type="pct"/>
            <w:noWrap/>
            <w:vAlign w:val="center"/>
          </w:tcPr>
          <w:p w14:paraId="66657ED5">
            <w:pPr>
              <w:jc w:val="both"/>
            </w:pPr>
            <w:r>
              <w:rPr>
                <w:lang w:bidi="ar"/>
              </w:rPr>
              <w:t>3686/1/182</w:t>
            </w:r>
          </w:p>
        </w:tc>
        <w:tc>
          <w:tcPr>
            <w:tcW w:w="1235" w:type="pct"/>
            <w:noWrap/>
            <w:vAlign w:val="center"/>
          </w:tcPr>
          <w:p w14:paraId="5EBFA332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2016/84/129</w:t>
            </w:r>
          </w:p>
        </w:tc>
      </w:tr>
      <w:tr w14:paraId="4D400C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72CD90DA">
            <w:pPr>
              <w:jc w:val="both"/>
            </w:pPr>
            <w:r>
              <w:rPr>
                <w:lang w:bidi="ar"/>
              </w:rPr>
              <w:t>Goodness-of-fit on F</w:t>
            </w:r>
            <w:r>
              <w:rPr>
                <w:vertAlign w:val="superscript"/>
                <w:lang w:bidi="ar"/>
              </w:rPr>
              <w:t>2</w:t>
            </w:r>
          </w:p>
        </w:tc>
        <w:tc>
          <w:tcPr>
            <w:tcW w:w="1205" w:type="pct"/>
            <w:noWrap/>
            <w:vAlign w:val="center"/>
          </w:tcPr>
          <w:p w14:paraId="533AF4A7">
            <w:pPr>
              <w:jc w:val="both"/>
            </w:pPr>
            <w:r>
              <w:rPr>
                <w:lang w:bidi="ar"/>
              </w:rPr>
              <w:t>1.043</w:t>
            </w:r>
          </w:p>
        </w:tc>
        <w:tc>
          <w:tcPr>
            <w:tcW w:w="1389" w:type="pct"/>
            <w:noWrap/>
            <w:vAlign w:val="center"/>
          </w:tcPr>
          <w:p w14:paraId="17C89572">
            <w:pPr>
              <w:jc w:val="both"/>
            </w:pPr>
            <w:r>
              <w:rPr>
                <w:lang w:bidi="ar"/>
              </w:rPr>
              <w:t>1.101</w:t>
            </w:r>
          </w:p>
        </w:tc>
        <w:tc>
          <w:tcPr>
            <w:tcW w:w="1235" w:type="pct"/>
            <w:noWrap/>
            <w:vAlign w:val="center"/>
          </w:tcPr>
          <w:p w14:paraId="0519E3AD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1.221</w:t>
            </w:r>
          </w:p>
        </w:tc>
      </w:tr>
      <w:tr w14:paraId="051DD2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2D222FF7">
            <w:pPr>
              <w:jc w:val="both"/>
            </w:pPr>
            <w:r>
              <w:rPr>
                <w:lang w:bidi="ar"/>
              </w:rPr>
              <w:t>Final R indexes [I&gt;=2σ (I)]</w:t>
            </w:r>
          </w:p>
        </w:tc>
        <w:tc>
          <w:tcPr>
            <w:tcW w:w="1205" w:type="pct"/>
            <w:noWrap/>
            <w:vAlign w:val="center"/>
          </w:tcPr>
          <w:p w14:paraId="1396EC3A">
            <w:pPr>
              <w:jc w:val="both"/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0.0553,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0.1388</w:t>
            </w:r>
          </w:p>
        </w:tc>
        <w:tc>
          <w:tcPr>
            <w:tcW w:w="1389" w:type="pct"/>
            <w:noWrap/>
            <w:vAlign w:val="center"/>
          </w:tcPr>
          <w:p w14:paraId="1FF12A37">
            <w:pPr>
              <w:jc w:val="both"/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0.0297,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0.0636</w:t>
            </w:r>
          </w:p>
        </w:tc>
        <w:tc>
          <w:tcPr>
            <w:tcW w:w="1235" w:type="pct"/>
            <w:noWrap/>
            <w:vAlign w:val="center"/>
          </w:tcPr>
          <w:p w14:paraId="01ED3BDA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0.0396,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0.1041</w:t>
            </w:r>
          </w:p>
        </w:tc>
      </w:tr>
      <w:tr w14:paraId="61696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6428A87E">
            <w:pPr>
              <w:jc w:val="both"/>
            </w:pPr>
            <w:r>
              <w:rPr>
                <w:lang w:bidi="ar"/>
              </w:rPr>
              <w:t>Final R indexes [all data]</w:t>
            </w:r>
          </w:p>
        </w:tc>
        <w:tc>
          <w:tcPr>
            <w:tcW w:w="1205" w:type="pct"/>
            <w:noWrap/>
            <w:vAlign w:val="center"/>
          </w:tcPr>
          <w:p w14:paraId="06D4D298">
            <w:pPr>
              <w:jc w:val="both"/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0.0666,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0.1458</w:t>
            </w:r>
          </w:p>
        </w:tc>
        <w:tc>
          <w:tcPr>
            <w:tcW w:w="1389" w:type="pct"/>
            <w:noWrap/>
            <w:vAlign w:val="center"/>
          </w:tcPr>
          <w:p w14:paraId="2D9FB9D5">
            <w:pPr>
              <w:jc w:val="both"/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0.0331,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0.0654</w:t>
            </w:r>
          </w:p>
        </w:tc>
        <w:tc>
          <w:tcPr>
            <w:tcW w:w="1235" w:type="pct"/>
            <w:noWrap/>
            <w:vAlign w:val="center"/>
          </w:tcPr>
          <w:p w14:paraId="63A8E516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R</w:t>
            </w:r>
            <w:r>
              <w:rPr>
                <w:vertAlign w:val="subscript"/>
                <w:lang w:bidi="ar"/>
              </w:rPr>
              <w:t>1</w:t>
            </w:r>
            <w:r>
              <w:rPr>
                <w:lang w:bidi="ar"/>
              </w:rPr>
              <w:t> = 0.0428, wR</w:t>
            </w:r>
            <w:r>
              <w:rPr>
                <w:vertAlign w:val="subscript"/>
                <w:lang w:bidi="ar"/>
              </w:rPr>
              <w:t>2</w:t>
            </w:r>
            <w:r>
              <w:rPr>
                <w:lang w:bidi="ar"/>
              </w:rPr>
              <w:t> = 0.1054</w:t>
            </w:r>
          </w:p>
        </w:tc>
      </w:tr>
      <w:tr w14:paraId="3CDD4C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4" w:hRule="atLeast"/>
          <w:jc w:val="center"/>
        </w:trPr>
        <w:tc>
          <w:tcPr>
            <w:tcW w:w="1171" w:type="pct"/>
            <w:noWrap/>
            <w:vAlign w:val="center"/>
          </w:tcPr>
          <w:p w14:paraId="2473B5AD">
            <w:pPr>
              <w:jc w:val="both"/>
            </w:pPr>
            <w:r>
              <w:rPr>
                <w:lang w:bidi="ar"/>
              </w:rPr>
              <w:t>Largest diff. peak/hole / e Å</w:t>
            </w:r>
            <w:r>
              <w:rPr>
                <w:vertAlign w:val="superscript"/>
                <w:lang w:bidi="ar"/>
              </w:rPr>
              <w:t>-3</w:t>
            </w:r>
          </w:p>
        </w:tc>
        <w:tc>
          <w:tcPr>
            <w:tcW w:w="1205" w:type="pct"/>
            <w:noWrap/>
            <w:vAlign w:val="center"/>
          </w:tcPr>
          <w:p w14:paraId="060D8585">
            <w:pPr>
              <w:jc w:val="both"/>
            </w:pPr>
            <w:r>
              <w:rPr>
                <w:lang w:bidi="ar"/>
              </w:rPr>
              <w:t>3.02/-1.35</w:t>
            </w:r>
          </w:p>
        </w:tc>
        <w:tc>
          <w:tcPr>
            <w:tcW w:w="1389" w:type="pct"/>
            <w:noWrap/>
            <w:vAlign w:val="center"/>
          </w:tcPr>
          <w:p w14:paraId="4FC7E05C">
            <w:pPr>
              <w:jc w:val="both"/>
            </w:pPr>
            <w:r>
              <w:rPr>
                <w:lang w:bidi="ar"/>
              </w:rPr>
              <w:t>1.46/-0.70</w:t>
            </w:r>
          </w:p>
        </w:tc>
        <w:tc>
          <w:tcPr>
            <w:tcW w:w="1235" w:type="pct"/>
            <w:noWrap/>
            <w:vAlign w:val="center"/>
          </w:tcPr>
          <w:p w14:paraId="41F7073B">
            <w:pPr>
              <w:jc w:val="both"/>
              <w:rPr>
                <w:lang w:bidi="ar"/>
              </w:rPr>
            </w:pPr>
            <w:r>
              <w:rPr>
                <w:lang w:bidi="ar"/>
              </w:rPr>
              <w:t>1.03/-1.50</w:t>
            </w:r>
          </w:p>
        </w:tc>
      </w:tr>
    </w:tbl>
    <w:p w14:paraId="0EBB0717">
      <w:pPr>
        <w:widowControl/>
        <w:spacing w:line="360" w:lineRule="auto"/>
        <w:jc w:val="both"/>
        <w:rPr>
          <w:rFonts w:cs="Times New Roman"/>
          <w:color w:val="000000"/>
          <w:kern w:val="0"/>
          <w:szCs w:val="21"/>
          <w:lang w:bidi="ar"/>
        </w:rPr>
      </w:pPr>
      <w:bookmarkStart w:id="7" w:name="_Hlk195557706"/>
      <w:r>
        <w:rPr>
          <w:rFonts w:eastAsia="等线" w:cs="Times New Roman"/>
          <w:b/>
          <w:bCs/>
          <w:szCs w:val="21"/>
        </w:rPr>
        <w:t>Table S</w:t>
      </w:r>
      <w:bookmarkEnd w:id="7"/>
      <w:r>
        <w:rPr>
          <w:rFonts w:hint="eastAsia" w:eastAsia="等线" w:cs="Times New Roman"/>
          <w:b/>
          <w:bCs/>
          <w:szCs w:val="21"/>
        </w:rPr>
        <w:t>2</w:t>
      </w:r>
      <w:r>
        <w:rPr>
          <w:rFonts w:eastAsia="等线" w:cs="Times New Roman"/>
          <w:b/>
          <w:bCs/>
          <w:szCs w:val="21"/>
        </w:rPr>
        <w:t xml:space="preserve">. </w:t>
      </w:r>
      <w:r>
        <w:rPr>
          <w:rFonts w:eastAsia="等线" w:cs="Times New Roman"/>
          <w:szCs w:val="21"/>
        </w:rPr>
        <w:t xml:space="preserve">Bond lengths and bond angles of </w:t>
      </w:r>
      <w:r>
        <w:rPr>
          <w:rFonts w:cs="Times New Roman"/>
          <w:color w:val="000000"/>
          <w:kern w:val="0"/>
          <w:szCs w:val="21"/>
          <w:lang w:bidi="ar"/>
        </w:rPr>
        <w:t>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13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3</w:t>
      </w:r>
      <w:r>
        <w:rPr>
          <w:rFonts w:cs="Times New Roman"/>
          <w:color w:val="000000"/>
          <w:kern w:val="0"/>
          <w:szCs w:val="21"/>
          <w:lang w:bidi="ar"/>
        </w:rPr>
        <w:t>Bi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I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9</w:t>
      </w:r>
      <w:r>
        <w:rPr>
          <w:rFonts w:cs="Times New Roman"/>
          <w:color w:val="000000"/>
          <w:kern w:val="0"/>
          <w:szCs w:val="21"/>
          <w:lang w:bidi="ar"/>
        </w:rPr>
        <w:t>.</w:t>
      </w:r>
    </w:p>
    <w:tbl>
      <w:tblPr>
        <w:tblStyle w:val="17"/>
        <w:tblpPr w:leftFromText="180" w:rightFromText="180" w:vertAnchor="text" w:horzAnchor="page" w:tblpXSpec="center" w:tblpY="81"/>
        <w:tblOverlap w:val="never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13" w:type="dxa"/>
          <w:left w:w="108" w:type="dxa"/>
          <w:bottom w:w="0" w:type="dxa"/>
          <w:right w:w="108" w:type="dxa"/>
        </w:tblCellMar>
      </w:tblPr>
      <w:tblGrid>
        <w:gridCol w:w="2131"/>
        <w:gridCol w:w="2131"/>
        <w:gridCol w:w="2131"/>
        <w:gridCol w:w="2131"/>
      </w:tblGrid>
      <w:tr w14:paraId="4038E0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380BA452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31ABA2A6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208B9160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2554C5E6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</w:tr>
      <w:tr w14:paraId="3E59A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vAlign w:val="center"/>
          </w:tcPr>
          <w:p w14:paraId="611B70D2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2-I5</w:t>
            </w:r>
          </w:p>
        </w:tc>
        <w:tc>
          <w:tcPr>
            <w:tcW w:w="0" w:type="dxa"/>
            <w:vAlign w:val="center"/>
          </w:tcPr>
          <w:p w14:paraId="74C40340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2.9371(16)</w:t>
            </w:r>
          </w:p>
        </w:tc>
        <w:tc>
          <w:tcPr>
            <w:tcW w:w="0" w:type="dxa"/>
            <w:vAlign w:val="center"/>
          </w:tcPr>
          <w:p w14:paraId="1EBD9BB9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2-I4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6B0BCA37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2.8949(12)</w:t>
            </w:r>
          </w:p>
        </w:tc>
      </w:tr>
      <w:tr w14:paraId="641E0A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0F885B11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2-I3</w:t>
            </w:r>
          </w:p>
        </w:tc>
        <w:tc>
          <w:tcPr>
            <w:tcW w:w="0" w:type="dxa"/>
            <w:vAlign w:val="center"/>
          </w:tcPr>
          <w:p w14:paraId="7D1A655A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3.3512(16)</w:t>
            </w:r>
          </w:p>
        </w:tc>
        <w:tc>
          <w:tcPr>
            <w:tcW w:w="0" w:type="dxa"/>
            <w:vAlign w:val="center"/>
          </w:tcPr>
          <w:p w14:paraId="78AF2727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727DEDF0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3.2446(16)</w:t>
            </w:r>
          </w:p>
        </w:tc>
      </w:tr>
      <w:tr w14:paraId="7F14DA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6F7BE8AD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7F9A3439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3.3939(11)</w:t>
            </w:r>
          </w:p>
        </w:tc>
        <w:tc>
          <w:tcPr>
            <w:tcW w:w="0" w:type="dxa"/>
            <w:vAlign w:val="center"/>
          </w:tcPr>
          <w:p w14:paraId="59D266D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77BF405B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3.1337(10)</w:t>
            </w:r>
          </w:p>
        </w:tc>
      </w:tr>
      <w:tr w14:paraId="4EF304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5E0F024B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00D7CE18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3.3940(11)</w:t>
            </w:r>
          </w:p>
        </w:tc>
        <w:tc>
          <w:tcPr>
            <w:tcW w:w="0" w:type="dxa"/>
            <w:vAlign w:val="center"/>
          </w:tcPr>
          <w:p w14:paraId="720A0FD6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</w:p>
        </w:tc>
        <w:tc>
          <w:tcPr>
            <w:tcW w:w="0" w:type="dxa"/>
            <w:vAlign w:val="center"/>
          </w:tcPr>
          <w:p w14:paraId="070E6987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3.1337(10)</w:t>
            </w:r>
          </w:p>
        </w:tc>
      </w:tr>
      <w:tr w14:paraId="703C6D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5C01C0DA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2-I4</w:t>
            </w:r>
          </w:p>
        </w:tc>
        <w:tc>
          <w:tcPr>
            <w:tcW w:w="0" w:type="dxa"/>
            <w:vAlign w:val="center"/>
          </w:tcPr>
          <w:p w14:paraId="4A50572B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2.8949(12)</w:t>
            </w:r>
          </w:p>
        </w:tc>
        <w:tc>
          <w:tcPr>
            <w:tcW w:w="0" w:type="dxa"/>
            <w:vAlign w:val="center"/>
          </w:tcPr>
          <w:p w14:paraId="072CDCA6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1-I1</w:t>
            </w:r>
          </w:p>
        </w:tc>
        <w:tc>
          <w:tcPr>
            <w:tcW w:w="0" w:type="dxa"/>
            <w:vAlign w:val="center"/>
          </w:tcPr>
          <w:p w14:paraId="5F197F7B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2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.9505(17)</w:t>
            </w:r>
          </w:p>
        </w:tc>
      </w:tr>
      <w:tr w14:paraId="070452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594EE157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1-I2</w:t>
            </w:r>
          </w:p>
        </w:tc>
        <w:tc>
          <w:tcPr>
            <w:tcW w:w="0" w:type="dxa"/>
            <w:vAlign w:val="center"/>
          </w:tcPr>
          <w:p w14:paraId="4227B9C5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2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.9940(11)</w:t>
            </w:r>
          </w:p>
        </w:tc>
        <w:tc>
          <w:tcPr>
            <w:tcW w:w="0" w:type="dxa"/>
            <w:vAlign w:val="center"/>
          </w:tcPr>
          <w:p w14:paraId="090E9B6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106B7F6E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2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.9940(11)</w:t>
            </w:r>
          </w:p>
        </w:tc>
      </w:tr>
      <w:tr w14:paraId="38A043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BD8847D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4C5F8CEC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  <w:tc>
          <w:tcPr>
            <w:tcW w:w="0" w:type="dxa"/>
            <w:vAlign w:val="center"/>
          </w:tcPr>
          <w:p w14:paraId="08AE0797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1765D4C5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</w:tr>
      <w:tr w14:paraId="213C7B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77555507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I5-B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2-I3</w:t>
            </w:r>
          </w:p>
        </w:tc>
        <w:tc>
          <w:tcPr>
            <w:tcW w:w="0" w:type="dxa"/>
            <w:vAlign w:val="center"/>
          </w:tcPr>
          <w:p w14:paraId="1FABD3AC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170.65(5)</w:t>
            </w:r>
          </w:p>
        </w:tc>
        <w:tc>
          <w:tcPr>
            <w:tcW w:w="0" w:type="dxa"/>
            <w:vAlign w:val="center"/>
          </w:tcPr>
          <w:p w14:paraId="1DE43724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I005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572428C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84.34(3)</w:t>
            </w:r>
          </w:p>
        </w:tc>
      </w:tr>
      <w:tr w14:paraId="5EF2BC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860CC6D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I5-B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248F36C2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94.03(3)</w:t>
            </w:r>
          </w:p>
        </w:tc>
        <w:tc>
          <w:tcPr>
            <w:tcW w:w="0" w:type="dxa"/>
            <w:vAlign w:val="center"/>
          </w:tcPr>
          <w:p w14:paraId="25347D0E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I1-B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69AE4DFC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178.44(5)</w:t>
            </w:r>
          </w:p>
        </w:tc>
      </w:tr>
      <w:tr w14:paraId="5997F5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142C34B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I5-B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194AE984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94.03(3)</w:t>
            </w:r>
          </w:p>
        </w:tc>
        <w:tc>
          <w:tcPr>
            <w:tcW w:w="0" w:type="dxa"/>
            <w:vAlign w:val="center"/>
          </w:tcPr>
          <w:p w14:paraId="69ED3B8D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I1-B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</w:p>
        </w:tc>
        <w:tc>
          <w:tcPr>
            <w:tcW w:w="0" w:type="dxa"/>
            <w:vAlign w:val="center"/>
          </w:tcPr>
          <w:p w14:paraId="4D127ED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94.54(4)</w:t>
            </w:r>
          </w:p>
        </w:tc>
      </w:tr>
      <w:tr w14:paraId="30904E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35B83727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77289613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78.83(3)</w:t>
            </w:r>
          </w:p>
        </w:tc>
        <w:tc>
          <w:tcPr>
            <w:tcW w:w="0" w:type="dxa"/>
            <w:vAlign w:val="center"/>
          </w:tcPr>
          <w:p w14:paraId="6B125EF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I1-B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3AD24AE7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94.54(4)</w:t>
            </w:r>
          </w:p>
        </w:tc>
      </w:tr>
      <w:tr w14:paraId="3DA6D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B26CC4A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0A780861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78.83(3)</w:t>
            </w:r>
          </w:p>
        </w:tc>
        <w:tc>
          <w:tcPr>
            <w:tcW w:w="0" w:type="dxa"/>
            <w:vAlign w:val="center"/>
          </w:tcPr>
          <w:p w14:paraId="39E62E6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I1-B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1-I2</w:t>
            </w:r>
          </w:p>
        </w:tc>
        <w:tc>
          <w:tcPr>
            <w:tcW w:w="0" w:type="dxa"/>
            <w:vAlign w:val="center"/>
          </w:tcPr>
          <w:p w14:paraId="4E8E217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91.00(4)</w:t>
            </w:r>
          </w:p>
        </w:tc>
      </w:tr>
      <w:tr w14:paraId="1C8EAC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4A45555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6F6A6FB3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79.54(4)</w:t>
            </w:r>
          </w:p>
        </w:tc>
        <w:tc>
          <w:tcPr>
            <w:tcW w:w="0" w:type="dxa"/>
            <w:vAlign w:val="center"/>
          </w:tcPr>
          <w:p w14:paraId="614C0D5A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I1-B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3DA9221E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91.00(4)</w:t>
            </w:r>
          </w:p>
        </w:tc>
      </w:tr>
      <w:tr w14:paraId="083C03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8777954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2-I5</w:t>
            </w:r>
          </w:p>
        </w:tc>
        <w:tc>
          <w:tcPr>
            <w:tcW w:w="0" w:type="dxa"/>
            <w:vAlign w:val="center"/>
          </w:tcPr>
          <w:p w14:paraId="0A764391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</w:rPr>
              <w:t>2.15(</w:t>
            </w:r>
            <w:r>
              <w:rPr>
                <w:rFonts w:hint="eastAsia" w:eastAsia="微软雅黑" w:cs="Times New Roman"/>
                <w:kern w:val="0"/>
                <w:sz w:val="21"/>
                <w:szCs w:val="21"/>
              </w:rPr>
              <w:t>4</w:t>
            </w:r>
            <w:r>
              <w:rPr>
                <w:rFonts w:eastAsia="微软雅黑" w:cs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0" w:type="dxa"/>
            <w:vAlign w:val="center"/>
          </w:tcPr>
          <w:p w14:paraId="760AC00E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1576C3A3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0.06(4)</w:t>
            </w:r>
          </w:p>
        </w:tc>
      </w:tr>
      <w:tr w14:paraId="5083C5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014EFF52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2-I5</w:t>
            </w:r>
          </w:p>
        </w:tc>
        <w:tc>
          <w:tcPr>
            <w:tcW w:w="0" w:type="dxa"/>
            <w:vAlign w:val="center"/>
          </w:tcPr>
          <w:p w14:paraId="4EA5933A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</w:rPr>
              <w:t>2.15(</w:t>
            </w:r>
            <w:r>
              <w:rPr>
                <w:rFonts w:hint="eastAsia" w:eastAsia="微软雅黑" w:cs="Times New Roman"/>
                <w:kern w:val="0"/>
                <w:sz w:val="21"/>
                <w:szCs w:val="21"/>
              </w:rPr>
              <w:t>4</w:t>
            </w:r>
            <w:r>
              <w:rPr>
                <w:rFonts w:eastAsia="微软雅黑" w:cs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0" w:type="dxa"/>
            <w:vAlign w:val="center"/>
          </w:tcPr>
          <w:p w14:paraId="410DF8E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5011A8C1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0.06(4)</w:t>
            </w:r>
          </w:p>
        </w:tc>
      </w:tr>
      <w:tr w14:paraId="17549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6A4A6947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2-I3</w:t>
            </w:r>
          </w:p>
        </w:tc>
        <w:tc>
          <w:tcPr>
            <w:tcW w:w="0" w:type="dxa"/>
            <w:vAlign w:val="center"/>
          </w:tcPr>
          <w:p w14:paraId="43B5B943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94.00(3)</w:t>
            </w:r>
          </w:p>
        </w:tc>
        <w:tc>
          <w:tcPr>
            <w:tcW w:w="0" w:type="dxa"/>
            <w:vAlign w:val="center"/>
          </w:tcPr>
          <w:p w14:paraId="2D910B7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</w:p>
        </w:tc>
        <w:tc>
          <w:tcPr>
            <w:tcW w:w="0" w:type="dxa"/>
            <w:vAlign w:val="center"/>
          </w:tcPr>
          <w:p w14:paraId="3071C30D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1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73.72(4)</w:t>
            </w:r>
          </w:p>
        </w:tc>
      </w:tr>
      <w:tr w14:paraId="2A67D3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30B5465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2-I3</w:t>
            </w:r>
          </w:p>
        </w:tc>
        <w:tc>
          <w:tcPr>
            <w:tcW w:w="0" w:type="dxa"/>
            <w:vAlign w:val="center"/>
          </w:tcPr>
          <w:p w14:paraId="04B16ABB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94.00(3)</w:t>
            </w:r>
          </w:p>
        </w:tc>
        <w:tc>
          <w:tcPr>
            <w:tcW w:w="0" w:type="dxa"/>
            <w:vAlign w:val="center"/>
          </w:tcPr>
          <w:p w14:paraId="255838B7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44848179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8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8.90(4)</w:t>
            </w:r>
          </w:p>
        </w:tc>
      </w:tr>
      <w:tr w14:paraId="0A148C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0" w:type="dxa"/>
            <w:vAlign w:val="center"/>
          </w:tcPr>
          <w:p w14:paraId="6C202559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color w:val="FF000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2845C523">
            <w:pPr>
              <w:widowControl/>
              <w:jc w:val="both"/>
              <w:rPr>
                <w:rFonts w:cs="Times New Roman"/>
                <w:color w:val="FF0000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91.08(3)</w:t>
            </w:r>
          </w:p>
        </w:tc>
        <w:tc>
          <w:tcPr>
            <w:tcW w:w="0" w:type="dxa"/>
            <w:vAlign w:val="center"/>
          </w:tcPr>
          <w:p w14:paraId="17A8A8A8">
            <w:pPr>
              <w:spacing w:line="480" w:lineRule="auto"/>
              <w:jc w:val="both"/>
              <w:rPr>
                <w:rFonts w:eastAsia="等线" w:cs="Times New Roman"/>
                <w:color w:val="FF000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</w:p>
        </w:tc>
        <w:tc>
          <w:tcPr>
            <w:tcW w:w="0" w:type="dxa"/>
            <w:vAlign w:val="center"/>
          </w:tcPr>
          <w:p w14:paraId="3C5AFFCF">
            <w:pPr>
              <w:spacing w:line="480" w:lineRule="auto"/>
              <w:jc w:val="both"/>
              <w:rPr>
                <w:rFonts w:eastAsia="微软雅黑" w:cs="Times New Roman"/>
                <w:color w:val="FF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8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8.90(4)</w:t>
            </w:r>
          </w:p>
        </w:tc>
      </w:tr>
      <w:tr w14:paraId="575CCC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5165B8F1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4674C533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91.08(3)</w:t>
            </w:r>
          </w:p>
        </w:tc>
        <w:tc>
          <w:tcPr>
            <w:tcW w:w="0" w:type="dxa"/>
            <w:vAlign w:val="center"/>
          </w:tcPr>
          <w:p w14:paraId="08BE129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1-I005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7EDBF541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1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73.71(4)</w:t>
            </w:r>
          </w:p>
        </w:tc>
      </w:tr>
      <w:tr w14:paraId="10E77D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E307128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4371D94F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Times New Roman"/>
                <w:color w:val="000000"/>
                <w:kern w:val="0"/>
                <w:sz w:val="21"/>
                <w:szCs w:val="21"/>
              </w:rPr>
              <w:t>1</w:t>
            </w: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69.09(3)</w:t>
            </w:r>
          </w:p>
        </w:tc>
        <w:tc>
          <w:tcPr>
            <w:tcW w:w="0" w:type="dxa"/>
            <w:vAlign w:val="center"/>
          </w:tcPr>
          <w:p w14:paraId="01AA740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I2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1-I2</w:t>
            </w:r>
          </w:p>
        </w:tc>
        <w:tc>
          <w:tcPr>
            <w:tcW w:w="0" w:type="dxa"/>
            <w:vAlign w:val="center"/>
          </w:tcPr>
          <w:p w14:paraId="03312F12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3.98(6)</w:t>
            </w:r>
          </w:p>
        </w:tc>
      </w:tr>
      <w:tr w14:paraId="6DEA0B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BD26ED9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2-I005</w:t>
            </w:r>
          </w:p>
        </w:tc>
        <w:tc>
          <w:tcPr>
            <w:tcW w:w="0" w:type="dxa"/>
            <w:vAlign w:val="center"/>
          </w:tcPr>
          <w:p w14:paraId="72F34853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Times New Roman"/>
                <w:color w:val="000000"/>
                <w:kern w:val="0"/>
                <w:sz w:val="21"/>
                <w:szCs w:val="21"/>
              </w:rPr>
              <w:t>1</w:t>
            </w: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69.09(3)</w:t>
            </w:r>
          </w:p>
        </w:tc>
        <w:tc>
          <w:tcPr>
            <w:tcW w:w="0" w:type="dxa"/>
            <w:vAlign w:val="center"/>
          </w:tcPr>
          <w:p w14:paraId="7A2A897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Bi1-I3-Bi2</w:t>
            </w:r>
          </w:p>
        </w:tc>
        <w:tc>
          <w:tcPr>
            <w:tcW w:w="0" w:type="dxa"/>
            <w:vAlign w:val="center"/>
          </w:tcPr>
          <w:p w14:paraId="4CE7A677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8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0.40(4)</w:t>
            </w:r>
          </w:p>
        </w:tc>
      </w:tr>
      <w:tr w14:paraId="3AC23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6BAD4E6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2-I4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08864D9B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97.66(6)</w:t>
            </w:r>
          </w:p>
        </w:tc>
        <w:tc>
          <w:tcPr>
            <w:tcW w:w="0" w:type="dxa"/>
            <w:vAlign w:val="center"/>
          </w:tcPr>
          <w:p w14:paraId="235BE2D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Bi1-I005-Bi2</w:t>
            </w:r>
          </w:p>
        </w:tc>
        <w:tc>
          <w:tcPr>
            <w:tcW w:w="0" w:type="dxa"/>
            <w:vAlign w:val="center"/>
          </w:tcPr>
          <w:p w14:paraId="1719258C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8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1.40(3)</w:t>
            </w:r>
          </w:p>
        </w:tc>
      </w:tr>
      <w:tr w14:paraId="27F355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8242AC7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I005-B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1-I3</w:t>
            </w:r>
          </w:p>
        </w:tc>
        <w:tc>
          <w:tcPr>
            <w:tcW w:w="0" w:type="dxa"/>
            <w:vAlign w:val="center"/>
          </w:tcPr>
          <w:p w14:paraId="2E8A013D">
            <w:pPr>
              <w:widowControl/>
              <w:jc w:val="both"/>
              <w:rPr>
                <w:rFonts w:cs="Times New Roman"/>
                <w:color w:val="000000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84.34(3)</w:t>
            </w:r>
          </w:p>
        </w:tc>
        <w:tc>
          <w:tcPr>
            <w:tcW w:w="0" w:type="dxa"/>
            <w:vAlign w:val="center"/>
          </w:tcPr>
          <w:p w14:paraId="7F5E5F0B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</w:p>
        </w:tc>
        <w:tc>
          <w:tcPr>
            <w:tcW w:w="0" w:type="dxa"/>
            <w:vAlign w:val="center"/>
          </w:tcPr>
          <w:p w14:paraId="627119B0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</w:p>
        </w:tc>
      </w:tr>
    </w:tbl>
    <w:p w14:paraId="3D35ED8D">
      <w:pPr>
        <w:widowControl/>
        <w:spacing w:line="360" w:lineRule="auto"/>
        <w:jc w:val="both"/>
        <w:rPr>
          <w:rFonts w:eastAsia="等线" w:cs="Times New Roman"/>
          <w:b/>
          <w:bCs/>
          <w:szCs w:val="21"/>
        </w:rPr>
      </w:pPr>
    </w:p>
    <w:p w14:paraId="58E7079F">
      <w:pPr>
        <w:widowControl/>
        <w:spacing w:line="360" w:lineRule="auto"/>
        <w:jc w:val="both"/>
        <w:rPr>
          <w:rFonts w:cs="Times New Roman"/>
          <w:color w:val="000000"/>
          <w:kern w:val="0"/>
          <w:szCs w:val="21"/>
          <w:lang w:bidi="ar"/>
        </w:rPr>
      </w:pPr>
      <w:r>
        <w:rPr>
          <w:rFonts w:eastAsia="等线" w:cs="Times New Roman"/>
          <w:b/>
          <w:bCs/>
          <w:szCs w:val="21"/>
        </w:rPr>
        <w:t xml:space="preserve">Table S3. </w:t>
      </w:r>
      <w:r>
        <w:rPr>
          <w:rFonts w:eastAsia="等线" w:cs="Times New Roman"/>
          <w:szCs w:val="21"/>
        </w:rPr>
        <w:t xml:space="preserve">Bond lengths and bond angles of </w:t>
      </w:r>
      <w:r>
        <w:rPr>
          <w:rFonts w:cs="Times New Roman"/>
          <w:color w:val="000000"/>
          <w:kern w:val="0"/>
          <w:szCs w:val="21"/>
          <w:lang w:bidi="ar"/>
        </w:rPr>
        <w:t>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13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BiBr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5</w:t>
      </w:r>
      <w:r>
        <w:rPr>
          <w:rFonts w:cs="Times New Roman"/>
          <w:color w:val="000000"/>
          <w:kern w:val="0"/>
          <w:szCs w:val="21"/>
          <w:lang w:bidi="ar"/>
        </w:rPr>
        <w:t>.</w:t>
      </w:r>
    </w:p>
    <w:tbl>
      <w:tblPr>
        <w:tblStyle w:val="17"/>
        <w:tblpPr w:leftFromText="180" w:rightFromText="180" w:vertAnchor="text" w:horzAnchor="page" w:tblpXSpec="center" w:tblpY="81"/>
        <w:tblOverlap w:val="never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13" w:type="dxa"/>
          <w:left w:w="108" w:type="dxa"/>
          <w:bottom w:w="0" w:type="dxa"/>
          <w:right w:w="108" w:type="dxa"/>
        </w:tblCellMar>
      </w:tblPr>
      <w:tblGrid>
        <w:gridCol w:w="2131"/>
        <w:gridCol w:w="2131"/>
        <w:gridCol w:w="2131"/>
        <w:gridCol w:w="2131"/>
      </w:tblGrid>
      <w:tr w14:paraId="1E95E5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321C50F4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035A7397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40111E41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6BC27881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</w:tr>
      <w:tr w14:paraId="7636D2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vAlign w:val="center"/>
          </w:tcPr>
          <w:p w14:paraId="778C642A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1-Br2</w:t>
            </w:r>
          </w:p>
        </w:tc>
        <w:tc>
          <w:tcPr>
            <w:tcW w:w="0" w:type="dxa"/>
            <w:vAlign w:val="center"/>
          </w:tcPr>
          <w:p w14:paraId="5FEBA17B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2.8371(11)</w:t>
            </w:r>
          </w:p>
        </w:tc>
        <w:tc>
          <w:tcPr>
            <w:tcW w:w="0" w:type="dxa"/>
            <w:vAlign w:val="center"/>
          </w:tcPr>
          <w:p w14:paraId="6D9EE032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1-Br4</w:t>
            </w:r>
          </w:p>
        </w:tc>
        <w:tc>
          <w:tcPr>
            <w:tcW w:w="0" w:type="dxa"/>
            <w:vAlign w:val="center"/>
          </w:tcPr>
          <w:p w14:paraId="030BC951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2.8536(10)</w:t>
            </w:r>
          </w:p>
        </w:tc>
      </w:tr>
      <w:tr w14:paraId="7A5438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302F0F26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</w:p>
        </w:tc>
        <w:tc>
          <w:tcPr>
            <w:tcW w:w="0" w:type="dxa"/>
            <w:vAlign w:val="center"/>
          </w:tcPr>
          <w:p w14:paraId="1864E552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2.9824(13)</w:t>
            </w:r>
          </w:p>
        </w:tc>
        <w:tc>
          <w:tcPr>
            <w:tcW w:w="0" w:type="dxa"/>
            <w:vAlign w:val="center"/>
          </w:tcPr>
          <w:p w14:paraId="71BE3D53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1-Br5</w:t>
            </w:r>
          </w:p>
        </w:tc>
        <w:tc>
          <w:tcPr>
            <w:tcW w:w="0" w:type="dxa"/>
            <w:vAlign w:val="center"/>
          </w:tcPr>
          <w:p w14:paraId="2A437E6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2.7638(14)</w:t>
            </w:r>
          </w:p>
        </w:tc>
      </w:tr>
      <w:tr w14:paraId="23245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0C031B8F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6E44F36B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bookmarkStart w:id="8" w:name="_Hlk195558696"/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3.1387(12)</w:t>
            </w:r>
            <w:bookmarkEnd w:id="8"/>
          </w:p>
        </w:tc>
        <w:tc>
          <w:tcPr>
            <w:tcW w:w="0" w:type="dxa"/>
            <w:vAlign w:val="center"/>
          </w:tcPr>
          <w:p w14:paraId="663B521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1-Br6</w:t>
            </w:r>
          </w:p>
        </w:tc>
        <w:tc>
          <w:tcPr>
            <w:tcW w:w="0" w:type="dxa"/>
            <w:vAlign w:val="center"/>
          </w:tcPr>
          <w:p w14:paraId="0CC9573C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bookmarkStart w:id="9" w:name="_Hlk195558684"/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2.7022(12)</w:t>
            </w:r>
            <w:bookmarkEnd w:id="9"/>
          </w:p>
        </w:tc>
      </w:tr>
      <w:tr w14:paraId="7FD464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526ED3A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0167AA95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  <w:tc>
          <w:tcPr>
            <w:tcW w:w="0" w:type="dxa"/>
            <w:vAlign w:val="center"/>
          </w:tcPr>
          <w:p w14:paraId="0107C7CF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22891416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</w:tr>
      <w:tr w14:paraId="2933A6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227E3E9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1F5F186B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90.04(4)</w:t>
            </w:r>
          </w:p>
        </w:tc>
        <w:tc>
          <w:tcPr>
            <w:tcW w:w="0" w:type="dxa"/>
            <w:vAlign w:val="center"/>
          </w:tcPr>
          <w:p w14:paraId="1E38923F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Br4-B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1-Br3</w:t>
            </w:r>
          </w:p>
        </w:tc>
        <w:tc>
          <w:tcPr>
            <w:tcW w:w="0" w:type="dxa"/>
            <w:vAlign w:val="center"/>
          </w:tcPr>
          <w:p w14:paraId="7B4F3866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88.66(4)</w:t>
            </w:r>
          </w:p>
        </w:tc>
      </w:tr>
      <w:tr w14:paraId="2B67B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3D790A3E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</w:p>
        </w:tc>
        <w:tc>
          <w:tcPr>
            <w:tcW w:w="0" w:type="dxa"/>
            <w:vAlign w:val="center"/>
          </w:tcPr>
          <w:p w14:paraId="678AC696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91.10(4)</w:t>
            </w:r>
          </w:p>
        </w:tc>
        <w:tc>
          <w:tcPr>
            <w:tcW w:w="0" w:type="dxa"/>
            <w:vAlign w:val="center"/>
          </w:tcPr>
          <w:p w14:paraId="51F14F11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1-Br2</w:t>
            </w:r>
          </w:p>
        </w:tc>
        <w:tc>
          <w:tcPr>
            <w:tcW w:w="0" w:type="dxa"/>
            <w:vAlign w:val="center"/>
          </w:tcPr>
          <w:p w14:paraId="31733291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91.59(4)</w:t>
            </w:r>
          </w:p>
        </w:tc>
      </w:tr>
      <w:tr w14:paraId="261BA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47231BB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1-Br4</w:t>
            </w:r>
          </w:p>
        </w:tc>
        <w:tc>
          <w:tcPr>
            <w:tcW w:w="0" w:type="dxa"/>
            <w:vAlign w:val="center"/>
          </w:tcPr>
          <w:p w14:paraId="6BEAADD2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175.27(4)</w:t>
            </w:r>
          </w:p>
        </w:tc>
        <w:tc>
          <w:tcPr>
            <w:tcW w:w="0" w:type="dxa"/>
            <w:vAlign w:val="center"/>
          </w:tcPr>
          <w:p w14:paraId="251B37CB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1-Br3</w:t>
            </w:r>
          </w:p>
        </w:tc>
        <w:tc>
          <w:tcPr>
            <w:tcW w:w="0" w:type="dxa"/>
            <w:vAlign w:val="center"/>
          </w:tcPr>
          <w:p w14:paraId="20382CCE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175.53(4)</w:t>
            </w:r>
          </w:p>
        </w:tc>
      </w:tr>
      <w:tr w14:paraId="2E530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0EFACD84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46AAF900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82.944(15)</w:t>
            </w:r>
          </w:p>
        </w:tc>
        <w:tc>
          <w:tcPr>
            <w:tcW w:w="0" w:type="dxa"/>
            <w:vAlign w:val="center"/>
          </w:tcPr>
          <w:p w14:paraId="281F49BF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535CE89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93.48(4)</w:t>
            </w:r>
          </w:p>
        </w:tc>
      </w:tr>
      <w:tr w14:paraId="382C0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3517003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Br4-B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2642F823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94.61(4)</w:t>
            </w:r>
          </w:p>
        </w:tc>
        <w:tc>
          <w:tcPr>
            <w:tcW w:w="0" w:type="dxa"/>
            <w:vAlign w:val="center"/>
          </w:tcPr>
          <w:p w14:paraId="72361068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1-Br4</w:t>
            </w:r>
          </w:p>
        </w:tc>
        <w:tc>
          <w:tcPr>
            <w:tcW w:w="0" w:type="dxa"/>
            <w:vAlign w:val="center"/>
          </w:tcPr>
          <w:p w14:paraId="1F2060BE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88.95(4)</w:t>
            </w:r>
          </w:p>
        </w:tc>
      </w:tr>
      <w:tr w14:paraId="757F75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0D559743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Br6-B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1-Br2</w:t>
            </w:r>
          </w:p>
        </w:tc>
        <w:tc>
          <w:tcPr>
            <w:tcW w:w="0" w:type="dxa"/>
            <w:vAlign w:val="center"/>
          </w:tcPr>
          <w:p w14:paraId="27989539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87.34(4)</w:t>
            </w:r>
          </w:p>
        </w:tc>
        <w:tc>
          <w:tcPr>
            <w:tcW w:w="0" w:type="dxa"/>
            <w:vAlign w:val="center"/>
          </w:tcPr>
          <w:p w14:paraId="23A161CF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Br6-B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1-Br4</w:t>
            </w:r>
          </w:p>
        </w:tc>
        <w:tc>
          <w:tcPr>
            <w:tcW w:w="0" w:type="dxa"/>
            <w:vAlign w:val="center"/>
          </w:tcPr>
          <w:p w14:paraId="0131FB39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87.93(4)</w:t>
            </w:r>
          </w:p>
        </w:tc>
      </w:tr>
      <w:tr w14:paraId="7365B0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35DCC69E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Br6-B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71BC6A98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171.07(4)</w:t>
            </w:r>
          </w:p>
        </w:tc>
        <w:tc>
          <w:tcPr>
            <w:tcW w:w="0" w:type="dxa"/>
            <w:vAlign w:val="center"/>
          </w:tcPr>
          <w:p w14:paraId="6452493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Br6-B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1-Br5</w:t>
            </w:r>
          </w:p>
        </w:tc>
        <w:tc>
          <w:tcPr>
            <w:tcW w:w="0" w:type="dxa"/>
            <w:vAlign w:val="center"/>
          </w:tcPr>
          <w:p w14:paraId="43CEE64B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eastAsia="微软雅黑" w:cs="Times New Roman"/>
                <w:kern w:val="0"/>
                <w:sz w:val="21"/>
                <w:szCs w:val="21"/>
                <w:lang w:bidi="ar"/>
              </w:rPr>
              <w:t>9</w:t>
            </w: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5.13(4)</w:t>
            </w:r>
          </w:p>
        </w:tc>
      </w:tr>
      <w:tr w14:paraId="1D75D0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F441A1B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Br6-B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1-Br3</w:t>
            </w:r>
          </w:p>
        </w:tc>
        <w:tc>
          <w:tcPr>
            <w:tcW w:w="0" w:type="dxa"/>
            <w:vAlign w:val="center"/>
          </w:tcPr>
          <w:p w14:paraId="12AA2DD7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88.56(5)</w:t>
            </w:r>
          </w:p>
        </w:tc>
        <w:tc>
          <w:tcPr>
            <w:tcW w:w="0" w:type="dxa"/>
            <w:vAlign w:val="center"/>
          </w:tcPr>
          <w:p w14:paraId="25AD5524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Bi1-Br3-Bi1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2</w:t>
            </w:r>
          </w:p>
        </w:tc>
        <w:tc>
          <w:tcPr>
            <w:tcW w:w="0" w:type="dxa"/>
            <w:vAlign w:val="center"/>
          </w:tcPr>
          <w:p w14:paraId="05A81D39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155.19(5)</w:t>
            </w:r>
          </w:p>
        </w:tc>
      </w:tr>
    </w:tbl>
    <w:p w14:paraId="4BD43752">
      <w:pPr>
        <w:widowControl/>
        <w:spacing w:line="360" w:lineRule="auto"/>
        <w:jc w:val="both"/>
        <w:rPr>
          <w:rFonts w:eastAsia="等线" w:cs="Times New Roman"/>
          <w:b/>
          <w:bCs/>
          <w:szCs w:val="21"/>
        </w:rPr>
      </w:pPr>
    </w:p>
    <w:p w14:paraId="275B2BE4">
      <w:pPr>
        <w:widowControl/>
        <w:spacing w:line="360" w:lineRule="auto"/>
        <w:jc w:val="both"/>
        <w:rPr>
          <w:rFonts w:cs="Times New Roman"/>
          <w:color w:val="000000"/>
          <w:kern w:val="0"/>
          <w:szCs w:val="21"/>
          <w:lang w:bidi="ar"/>
        </w:rPr>
      </w:pPr>
      <w:r>
        <w:rPr>
          <w:rFonts w:eastAsia="等线" w:cs="Times New Roman"/>
          <w:b/>
          <w:bCs/>
          <w:szCs w:val="21"/>
        </w:rPr>
        <w:t xml:space="preserve">Table S4. </w:t>
      </w:r>
      <w:r>
        <w:rPr>
          <w:rFonts w:eastAsia="等线" w:cs="Times New Roman"/>
          <w:szCs w:val="21"/>
        </w:rPr>
        <w:t xml:space="preserve">Bond lengths and bond angles of </w:t>
      </w:r>
      <w:r>
        <w:rPr>
          <w:rFonts w:cs="Times New Roman"/>
          <w:color w:val="000000"/>
          <w:kern w:val="0"/>
          <w:szCs w:val="21"/>
          <w:lang w:bidi="ar"/>
        </w:rPr>
        <w:t>(C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6</w:t>
      </w:r>
      <w:r>
        <w:rPr>
          <w:rFonts w:cs="Times New Roman"/>
          <w:color w:val="000000"/>
          <w:kern w:val="0"/>
          <w:szCs w:val="21"/>
          <w:lang w:bidi="ar"/>
        </w:rPr>
        <w:t>H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13</w:t>
      </w:r>
      <w:r>
        <w:rPr>
          <w:rFonts w:cs="Times New Roman"/>
          <w:color w:val="000000"/>
          <w:kern w:val="0"/>
          <w:szCs w:val="21"/>
          <w:lang w:bidi="ar"/>
        </w:rPr>
        <w:t>N)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2</w:t>
      </w:r>
      <w:r>
        <w:rPr>
          <w:rFonts w:cs="Times New Roman"/>
          <w:color w:val="000000"/>
          <w:kern w:val="0"/>
          <w:szCs w:val="21"/>
          <w:lang w:bidi="ar"/>
        </w:rPr>
        <w:t>BiCl</w:t>
      </w:r>
      <w:r>
        <w:rPr>
          <w:rFonts w:cs="Times New Roman"/>
          <w:color w:val="000000"/>
          <w:kern w:val="0"/>
          <w:szCs w:val="21"/>
          <w:vertAlign w:val="subscript"/>
          <w:lang w:bidi="ar"/>
        </w:rPr>
        <w:t>5</w:t>
      </w:r>
      <w:r>
        <w:rPr>
          <w:rFonts w:cs="Times New Roman"/>
          <w:color w:val="000000"/>
          <w:kern w:val="0"/>
          <w:szCs w:val="21"/>
          <w:lang w:bidi="ar"/>
        </w:rPr>
        <w:t>.</w:t>
      </w:r>
    </w:p>
    <w:tbl>
      <w:tblPr>
        <w:tblStyle w:val="17"/>
        <w:tblpPr w:leftFromText="180" w:rightFromText="180" w:vertAnchor="text" w:horzAnchor="page" w:tblpXSpec="center" w:tblpY="81"/>
        <w:tblOverlap w:val="never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13" w:type="dxa"/>
          <w:left w:w="108" w:type="dxa"/>
          <w:bottom w:w="0" w:type="dxa"/>
          <w:right w:w="108" w:type="dxa"/>
        </w:tblCellMar>
      </w:tblPr>
      <w:tblGrid>
        <w:gridCol w:w="2131"/>
        <w:gridCol w:w="2131"/>
        <w:gridCol w:w="2131"/>
        <w:gridCol w:w="2131"/>
      </w:tblGrid>
      <w:tr w14:paraId="54E4A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6FAFA144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3FCAACEF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5D5910C8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</w:t>
            </w:r>
          </w:p>
        </w:tc>
        <w:tc>
          <w:tcPr>
            <w:tcW w:w="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 w14:paraId="3CE5BF31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Length/Å</w:t>
            </w:r>
          </w:p>
        </w:tc>
      </w:tr>
      <w:tr w14:paraId="764D91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dxa"/>
            <w:vAlign w:val="center"/>
          </w:tcPr>
          <w:p w14:paraId="623251B6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1-Cl2</w:t>
            </w:r>
          </w:p>
        </w:tc>
        <w:tc>
          <w:tcPr>
            <w:tcW w:w="0" w:type="dxa"/>
            <w:vAlign w:val="center"/>
          </w:tcPr>
          <w:p w14:paraId="3F759DBE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2.696(4)</w:t>
            </w:r>
          </w:p>
        </w:tc>
        <w:tc>
          <w:tcPr>
            <w:tcW w:w="0" w:type="dxa"/>
            <w:vAlign w:val="center"/>
          </w:tcPr>
          <w:p w14:paraId="1E3147B6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6398C1BE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2.813(5)</w:t>
            </w:r>
          </w:p>
        </w:tc>
      </w:tr>
      <w:tr w14:paraId="06A985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8DF6860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1-Cl3</w:t>
            </w:r>
          </w:p>
        </w:tc>
        <w:tc>
          <w:tcPr>
            <w:tcW w:w="0" w:type="dxa"/>
            <w:vAlign w:val="center"/>
          </w:tcPr>
          <w:p w14:paraId="4DB3EAF0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2.677(4)</w:t>
            </w:r>
          </w:p>
        </w:tc>
        <w:tc>
          <w:tcPr>
            <w:tcW w:w="0" w:type="dxa"/>
            <w:vAlign w:val="center"/>
          </w:tcPr>
          <w:p w14:paraId="0A48DEA5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1-Cl5</w:t>
            </w:r>
          </w:p>
        </w:tc>
        <w:tc>
          <w:tcPr>
            <w:tcW w:w="0" w:type="dxa"/>
            <w:vAlign w:val="center"/>
          </w:tcPr>
          <w:p w14:paraId="2892112C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2.638(6)</w:t>
            </w:r>
          </w:p>
        </w:tc>
      </w:tr>
      <w:tr w14:paraId="400659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3070622B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6272CE9B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bookmarkStart w:id="10" w:name="_Hlk195558741"/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3.042(5)</w:t>
            </w:r>
            <w:bookmarkEnd w:id="10"/>
          </w:p>
        </w:tc>
        <w:tc>
          <w:tcPr>
            <w:tcW w:w="0" w:type="dxa"/>
            <w:vAlign w:val="center"/>
          </w:tcPr>
          <w:p w14:paraId="696CF8FB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1-Cl4</w:t>
            </w:r>
          </w:p>
        </w:tc>
        <w:tc>
          <w:tcPr>
            <w:tcW w:w="0" w:type="dxa"/>
            <w:vAlign w:val="center"/>
          </w:tcPr>
          <w:p w14:paraId="1498ABDF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bookmarkStart w:id="11" w:name="_Hlk195558732"/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2.532(6)</w:t>
            </w:r>
            <w:bookmarkEnd w:id="11"/>
          </w:p>
        </w:tc>
      </w:tr>
      <w:tr w14:paraId="5340D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4E93867D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0C9B54C9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  <w:tc>
          <w:tcPr>
            <w:tcW w:w="0" w:type="dxa"/>
            <w:vAlign w:val="center"/>
          </w:tcPr>
          <w:p w14:paraId="3E1061A9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Atom-Atom-Atom</w:t>
            </w:r>
          </w:p>
        </w:tc>
        <w:tc>
          <w:tcPr>
            <w:tcW w:w="0" w:type="dxa"/>
            <w:vAlign w:val="center"/>
          </w:tcPr>
          <w:p w14:paraId="157F648B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  <w:t>Angle/°</w:t>
            </w:r>
          </w:p>
        </w:tc>
      </w:tr>
      <w:tr w14:paraId="42981C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7A29D24A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31755F5D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89.39(13)</w:t>
            </w:r>
          </w:p>
        </w:tc>
        <w:tc>
          <w:tcPr>
            <w:tcW w:w="0" w:type="dxa"/>
            <w:vAlign w:val="center"/>
          </w:tcPr>
          <w:p w14:paraId="7ED83DA3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1-Cl3</w:t>
            </w:r>
          </w:p>
        </w:tc>
        <w:tc>
          <w:tcPr>
            <w:tcW w:w="0" w:type="dxa"/>
            <w:vAlign w:val="center"/>
          </w:tcPr>
          <w:p w14:paraId="48C181A9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88.34(15)</w:t>
            </w:r>
          </w:p>
        </w:tc>
      </w:tr>
      <w:tr w14:paraId="5DE143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608AD1E9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48A3CF4E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89.39(12)</w:t>
            </w:r>
          </w:p>
        </w:tc>
        <w:tc>
          <w:tcPr>
            <w:tcW w:w="0" w:type="dxa"/>
            <w:vAlign w:val="center"/>
          </w:tcPr>
          <w:p w14:paraId="4F54C03F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016013B9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176.64(19)</w:t>
            </w:r>
          </w:p>
        </w:tc>
      </w:tr>
      <w:tr w14:paraId="4BE341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5EFEDCC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Cl2-B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1-Cl2</w:t>
            </w:r>
          </w:p>
        </w:tc>
        <w:tc>
          <w:tcPr>
            <w:tcW w:w="0" w:type="dxa"/>
            <w:vAlign w:val="center"/>
          </w:tcPr>
          <w:p w14:paraId="00826508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cs="Times New Roman"/>
                <w:color w:val="000000"/>
                <w:kern w:val="0"/>
                <w:sz w:val="21"/>
                <w:szCs w:val="21"/>
              </w:rPr>
              <w:t>175.28(4)</w:t>
            </w:r>
          </w:p>
        </w:tc>
        <w:tc>
          <w:tcPr>
            <w:tcW w:w="0" w:type="dxa"/>
            <w:vAlign w:val="center"/>
          </w:tcPr>
          <w:p w14:paraId="256AA70B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Cl5-B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1-Cl1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07972140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68.99(19)</w:t>
            </w:r>
          </w:p>
        </w:tc>
      </w:tr>
      <w:tr w14:paraId="262949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6853770A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1-Cl2</w:t>
            </w:r>
          </w:p>
        </w:tc>
        <w:tc>
          <w:tcPr>
            <w:tcW w:w="0" w:type="dxa"/>
            <w:vAlign w:val="center"/>
          </w:tcPr>
          <w:p w14:paraId="650AA614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174.38(12)</w:t>
            </w:r>
          </w:p>
        </w:tc>
        <w:tc>
          <w:tcPr>
            <w:tcW w:w="0" w:type="dxa"/>
            <w:vAlign w:val="center"/>
          </w:tcPr>
          <w:p w14:paraId="6492393C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Cl4-B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1-Cl2</w:t>
            </w:r>
          </w:p>
        </w:tc>
        <w:tc>
          <w:tcPr>
            <w:tcW w:w="0" w:type="dxa"/>
            <w:vAlign w:val="center"/>
          </w:tcPr>
          <w:p w14:paraId="58AAA92F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87.27(16)</w:t>
            </w:r>
          </w:p>
        </w:tc>
      </w:tr>
      <w:tr w14:paraId="09502F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18F9E833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464DB00A">
            <w:pPr>
              <w:spacing w:line="480" w:lineRule="auto"/>
              <w:jc w:val="both"/>
              <w:rPr>
                <w:rFonts w:cs="Times New Roman"/>
                <w:kern w:val="0"/>
                <w:sz w:val="21"/>
                <w:szCs w:val="21"/>
              </w:rPr>
            </w:pPr>
            <w:bookmarkStart w:id="12" w:name="OLE_LINK2"/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93.89(13)</w:t>
            </w:r>
            <w:bookmarkEnd w:id="12"/>
          </w:p>
        </w:tc>
        <w:tc>
          <w:tcPr>
            <w:tcW w:w="0" w:type="dxa"/>
            <w:vAlign w:val="center"/>
          </w:tcPr>
          <w:p w14:paraId="2D673C5C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Cl4-B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1-Cl3</w:t>
            </w:r>
          </w:p>
        </w:tc>
        <w:tc>
          <w:tcPr>
            <w:tcW w:w="0" w:type="dxa"/>
            <w:vAlign w:val="center"/>
          </w:tcPr>
          <w:p w14:paraId="6C836F42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88.29(16)</w:t>
            </w:r>
          </w:p>
        </w:tc>
      </w:tr>
      <w:tr w14:paraId="4E22E4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64285FA1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Cl3-B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7BE97FA6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93.89(13)</w:t>
            </w:r>
          </w:p>
        </w:tc>
        <w:tc>
          <w:tcPr>
            <w:tcW w:w="0" w:type="dxa"/>
            <w:vAlign w:val="center"/>
          </w:tcPr>
          <w:p w14:paraId="47D2ED2E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Cl4-B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1-Cl1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01E1CA84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87.9(2)</w:t>
            </w:r>
          </w:p>
        </w:tc>
      </w:tr>
      <w:tr w14:paraId="7EAE38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2BA0EA9C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  <w:vertAlign w:val="superscript"/>
              </w:rPr>
              <w:t>1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57552D13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108.3(2)</w:t>
            </w:r>
          </w:p>
        </w:tc>
        <w:tc>
          <w:tcPr>
            <w:tcW w:w="0" w:type="dxa"/>
            <w:vAlign w:val="center"/>
          </w:tcPr>
          <w:p w14:paraId="79AF19E6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Cl4-B</w:t>
            </w:r>
            <w:r>
              <w:rPr>
                <w:rFonts w:hint="eastAsia" w:eastAsia="等线" w:cs="Times New Roman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kern w:val="0"/>
                <w:sz w:val="21"/>
                <w:szCs w:val="21"/>
              </w:rPr>
              <w:t>1-Cl1</w:t>
            </w:r>
          </w:p>
        </w:tc>
        <w:tc>
          <w:tcPr>
            <w:tcW w:w="0" w:type="dxa"/>
            <w:vAlign w:val="center"/>
          </w:tcPr>
          <w:p w14:paraId="4D819141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163.46(19)</w:t>
            </w:r>
          </w:p>
        </w:tc>
      </w:tr>
      <w:tr w14:paraId="4EC3B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0" w:type="dxa"/>
            <w:vAlign w:val="center"/>
          </w:tcPr>
          <w:p w14:paraId="7CB8FC80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Cl5-B</w:t>
            </w:r>
            <w:r>
              <w:rPr>
                <w:rFonts w:hint="eastAsia" w:eastAsia="等线" w:cs="Times New Roman"/>
                <w:b w:val="0"/>
                <w:bCs w:val="0"/>
                <w:kern w:val="0"/>
                <w:sz w:val="21"/>
                <w:szCs w:val="21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1"/>
                <w:szCs w:val="21"/>
              </w:rPr>
              <w:t>1-Cl2</w:t>
            </w:r>
          </w:p>
        </w:tc>
        <w:tc>
          <w:tcPr>
            <w:tcW w:w="0" w:type="dxa"/>
            <w:vAlign w:val="center"/>
          </w:tcPr>
          <w:p w14:paraId="5FBBC198">
            <w:pPr>
              <w:widowControl/>
              <w:jc w:val="both"/>
              <w:rPr>
                <w:rFonts w:eastAsia="微软雅黑" w:cs="Times New Roman"/>
                <w:kern w:val="0"/>
                <w:sz w:val="21"/>
                <w:szCs w:val="21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</w:rPr>
              <w:t>88.59(15)</w:t>
            </w:r>
          </w:p>
        </w:tc>
        <w:tc>
          <w:tcPr>
            <w:tcW w:w="0" w:type="dxa"/>
            <w:vAlign w:val="center"/>
          </w:tcPr>
          <w:p w14:paraId="40FED13D">
            <w:pPr>
              <w:spacing w:line="480" w:lineRule="auto"/>
              <w:jc w:val="both"/>
              <w:rPr>
                <w:rFonts w:eastAsia="等线" w:cs="Times New Roman"/>
                <w:kern w:val="0"/>
                <w:sz w:val="21"/>
                <w:szCs w:val="21"/>
              </w:rPr>
            </w:pPr>
            <w:r>
              <w:rPr>
                <w:rFonts w:eastAsia="等线" w:cs="Times New Roman"/>
                <w:kern w:val="0"/>
                <w:sz w:val="21"/>
                <w:szCs w:val="21"/>
              </w:rPr>
              <w:t>Bi1-Cl1-Bi1</w:t>
            </w:r>
            <w:r>
              <w:rPr>
                <w:rFonts w:eastAsia="等线" w:cs="Times New Roman"/>
                <w:kern w:val="0"/>
                <w:sz w:val="21"/>
                <w:szCs w:val="21"/>
                <w:vertAlign w:val="superscript"/>
              </w:rPr>
              <w:t>1</w:t>
            </w:r>
          </w:p>
        </w:tc>
        <w:tc>
          <w:tcPr>
            <w:tcW w:w="0" w:type="dxa"/>
            <w:vAlign w:val="center"/>
          </w:tcPr>
          <w:p w14:paraId="0AADF604">
            <w:pPr>
              <w:spacing w:line="480" w:lineRule="auto"/>
              <w:jc w:val="both"/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</w:pPr>
            <w:r>
              <w:rPr>
                <w:rFonts w:eastAsia="微软雅黑" w:cs="Times New Roman"/>
                <w:kern w:val="0"/>
                <w:sz w:val="21"/>
                <w:szCs w:val="21"/>
                <w:lang w:bidi="ar"/>
              </w:rPr>
              <w:t>154.9(2)</w:t>
            </w:r>
          </w:p>
        </w:tc>
      </w:tr>
    </w:tbl>
    <w:p w14:paraId="49A95D73">
      <w:pPr>
        <w:jc w:val="both"/>
        <w:rPr>
          <w:b/>
          <w:bCs/>
        </w:rPr>
      </w:pPr>
    </w:p>
    <w:p w14:paraId="304034A6">
      <w:pPr>
        <w:jc w:val="both"/>
      </w:pPr>
      <w:r>
        <w:rPr>
          <w:b/>
          <w:bCs/>
        </w:rPr>
        <w:t>Table S5.</w:t>
      </w:r>
      <w:r>
        <w:t xml:space="preserve"> Some Literature-Reported </w:t>
      </w:r>
      <w:r>
        <w:rPr>
          <w:rFonts w:hint="eastAsia"/>
          <w:szCs w:val="24"/>
        </w:rPr>
        <w:t>d</w:t>
      </w:r>
      <w:r>
        <w:rPr>
          <w:szCs w:val="24"/>
        </w:rPr>
        <w:t>ark current drift</w:t>
      </w:r>
      <w:r>
        <w:t xml:space="preserve"> of Perovskite Single Crystals.</w:t>
      </w:r>
    </w:p>
    <w:tbl>
      <w:tblPr>
        <w:tblStyle w:val="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4"/>
        <w:gridCol w:w="2765"/>
        <w:gridCol w:w="2766"/>
      </w:tblGrid>
      <w:tr w14:paraId="2B558A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70" w:hRule="atLeast"/>
          <w:jc w:val="center"/>
        </w:trPr>
        <w:tc>
          <w:tcPr>
            <w:tcW w:w="2765" w:type="dxa"/>
            <w:vAlign w:val="center"/>
          </w:tcPr>
          <w:p w14:paraId="4718DD44">
            <w:pPr>
              <w:ind w:firstLine="843" w:firstLineChars="400"/>
              <w:jc w:val="both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M</w:t>
            </w:r>
            <w:r>
              <w:rPr>
                <w:b/>
                <w:bCs/>
              </w:rPr>
              <w:t>aterial</w:t>
            </w:r>
          </w:p>
        </w:tc>
        <w:tc>
          <w:tcPr>
            <w:tcW w:w="2765" w:type="dxa"/>
            <w:vAlign w:val="center"/>
          </w:tcPr>
          <w:p w14:paraId="47226D09">
            <w:pPr>
              <w:jc w:val="both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Dark current drift</w:t>
            </w:r>
          </w:p>
          <w:p w14:paraId="1FED5B1D">
            <w:pPr>
              <w:jc w:val="both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(</w:t>
            </w:r>
            <w:r>
              <w:rPr>
                <w:b/>
                <w:bCs/>
              </w:rPr>
              <w:t>nAcm</w:t>
            </w:r>
            <w:r>
              <w:rPr>
                <w:b/>
                <w:bCs/>
                <w:vertAlign w:val="superscript"/>
              </w:rPr>
              <w:t>-1</w:t>
            </w:r>
            <w:r>
              <w:rPr>
                <w:b/>
                <w:bCs/>
              </w:rPr>
              <w:t>s</w:t>
            </w:r>
            <w:r>
              <w:rPr>
                <w:b/>
                <w:bCs/>
                <w:vertAlign w:val="superscript"/>
              </w:rPr>
              <w:t>-1</w:t>
            </w:r>
            <w:r>
              <w:rPr>
                <w:b/>
                <w:bCs/>
              </w:rPr>
              <w:t>V</w:t>
            </w:r>
            <w:r>
              <w:rPr>
                <w:b/>
                <w:bCs/>
                <w:vertAlign w:val="superscript"/>
              </w:rPr>
              <w:t>-1</w:t>
            </w:r>
            <w:r>
              <w:rPr>
                <w:b/>
                <w:bCs/>
              </w:rPr>
              <w:t>)</w:t>
            </w:r>
          </w:p>
        </w:tc>
        <w:tc>
          <w:tcPr>
            <w:tcW w:w="2766" w:type="dxa"/>
            <w:vAlign w:val="center"/>
          </w:tcPr>
          <w:p w14:paraId="6FCD201A">
            <w:pPr>
              <w:jc w:val="both"/>
              <w:rPr>
                <w:b/>
                <w:bCs/>
              </w:rPr>
            </w:pPr>
            <w:r>
              <w:rPr>
                <w:rFonts w:eastAsia="等线"/>
                <w:b/>
                <w:bCs/>
                <w:sz w:val="24"/>
              </w:rPr>
              <w:t>Refs.</w:t>
            </w:r>
          </w:p>
        </w:tc>
      </w:tr>
      <w:tr w14:paraId="5EE090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atLeast"/>
          <w:jc w:val="center"/>
        </w:trPr>
        <w:tc>
          <w:tcPr>
            <w:tcW w:w="2765" w:type="dxa"/>
            <w:vAlign w:val="center"/>
          </w:tcPr>
          <w:p w14:paraId="0BC119F3">
            <w:pPr>
              <w:jc w:val="both"/>
              <w:rPr>
                <w:b/>
                <w:bCs/>
              </w:rPr>
            </w:pPr>
            <w:r>
              <w:t>(BZA)</w:t>
            </w:r>
            <w:r>
              <w:rPr>
                <w:vertAlign w:val="subscript"/>
              </w:rPr>
              <w:t>2</w:t>
            </w:r>
            <w:r>
              <w:t>(MA)Pb</w:t>
            </w:r>
            <w:r>
              <w:rPr>
                <w:vertAlign w:val="subscript"/>
              </w:rPr>
              <w:t>2</w:t>
            </w:r>
            <w:r>
              <w:t>Br</w:t>
            </w:r>
          </w:p>
        </w:tc>
        <w:tc>
          <w:tcPr>
            <w:tcW w:w="2765" w:type="dxa"/>
            <w:vAlign w:val="center"/>
          </w:tcPr>
          <w:p w14:paraId="0A0D2831">
            <w:pPr>
              <w:jc w:val="both"/>
              <w:rPr>
                <w:b/>
                <w:bCs/>
              </w:rPr>
            </w:pPr>
            <w:r>
              <w:rPr>
                <w:rFonts w:hint="eastAsia"/>
              </w:rPr>
              <w:t>3</w:t>
            </w:r>
            <w:r>
              <w:t>.9×10</w:t>
            </w:r>
            <w:r>
              <w:rPr>
                <w:vertAlign w:val="superscript"/>
              </w:rPr>
              <w:t>-6</w:t>
            </w:r>
          </w:p>
        </w:tc>
        <w:tc>
          <w:tcPr>
            <w:tcW w:w="2766" w:type="dxa"/>
            <w:vAlign w:val="center"/>
          </w:tcPr>
          <w:p w14:paraId="35CB9A05">
            <w:pPr>
              <w:jc w:val="both"/>
            </w:pPr>
            <w:r>
              <w:fldChar w:fldCharType="begin"/>
            </w:r>
            <w:r>
              <w:instrText xml:space="preserve"> ADDIN EN.CITE &lt;EndNote&gt;&lt;Cite&gt;&lt;Author&gt;Li&lt;/Author&gt;&lt;Year&gt;2024&lt;/Year&gt;&lt;RecNum&gt;41&lt;/RecNum&gt;&lt;DisplayText&gt;[1]&lt;/DisplayText&gt;&lt;record&gt;&lt;rec-number&gt;41&lt;/rec-number&gt;&lt;foreign-keys&gt;&lt;key app="EN" db-id="9zev2zax4sdxf3edr06502z9v2xd9p9af9zp" timestamp="1742280387"&gt;41&lt;/key&gt;&lt;/foreign-keys&gt;&lt;ref-type name="Journal Article"&gt;17&lt;/ref-type&gt;&lt;contributors&gt;&lt;authors&gt;&lt;author&gt;Li, Junlin&lt;/author&gt;&lt;author&gt;Zhu, Tingting&lt;/author&gt;&lt;author&gt;Ye, Huang&lt;/author&gt;&lt;author&gt;Guan, Qianwen&lt;/author&gt;&lt;author&gt;You, Shihai&lt;/author&gt;&lt;author&gt;Li, Ruiqing&lt;/author&gt;&lt;au</w:instrText>
            </w:r>
            <w:r>
              <w:rPr>
                <w:rFonts w:hint="eastAsia"/>
              </w:rPr>
              <w:instrText xml:space="preserve">thor&gt;Geng, Yaru&lt;/author&gt;&lt;author&gt;Luo, Junhua&lt;/author&gt;&lt;/authors&gt;&lt;/contributors&gt;&lt;titles&gt;&lt;title&gt;Achieving High Operating‐Temperature Self‐powered X‐Ray Detection in Multilayered Hybrid Perovskites through Arylamine Intercalation&lt;/title&gt;&lt;secondary-title&gt;Small&lt;</w:instrText>
            </w:r>
            <w:r>
              <w:instrText xml:space="preserve">/secondary-title&gt;&lt;/titles&gt;&lt;periodical&gt;&lt;full-title&gt;Small&lt;/full-title&gt;&lt;/periodical&gt;&lt;dates&gt;&lt;year&gt;2024&lt;/year&gt;&lt;/dates&gt;&lt;isbn&gt;1613-6810&amp;#xD;1613-6829&lt;/isbn&gt;&lt;urls&gt;&lt;/urls&gt;&lt;electronic-resource-num&gt;10.1002/smll.202401545&lt;/electronic-resource-num&gt;&lt;/record&gt;&lt;/Cite&gt;&lt;/EndNote&gt;</w:instrText>
            </w:r>
            <w:r>
              <w:fldChar w:fldCharType="separate"/>
            </w:r>
            <w:r>
              <w:t>[1]</w:t>
            </w:r>
            <w:r>
              <w:fldChar w:fldCharType="end"/>
            </w:r>
          </w:p>
        </w:tc>
      </w:tr>
      <w:tr w14:paraId="4030F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atLeast"/>
          <w:jc w:val="center"/>
        </w:trPr>
        <w:tc>
          <w:tcPr>
            <w:tcW w:w="2765" w:type="dxa"/>
            <w:vAlign w:val="center"/>
          </w:tcPr>
          <w:p w14:paraId="6820D4C7">
            <w:pPr>
              <w:jc w:val="both"/>
              <w:rPr>
                <w:b/>
                <w:bCs/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MhyPbBr</w:t>
            </w:r>
            <w:r>
              <w:rPr>
                <w:color w:val="000000" w:themeColor="text1"/>
                <w:vertAlign w:val="subscript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2765" w:type="dxa"/>
            <w:vAlign w:val="center"/>
          </w:tcPr>
          <w:p w14:paraId="4E8FC63C">
            <w:pPr>
              <w:jc w:val="both"/>
              <w:rPr>
                <w:b/>
                <w:bCs/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5.77×10</w:t>
            </w:r>
            <w:r>
              <w:rPr>
                <w:color w:val="000000" w:themeColor="text1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-5</w:t>
            </w:r>
          </w:p>
        </w:tc>
        <w:tc>
          <w:tcPr>
            <w:tcW w:w="2766" w:type="dxa"/>
            <w:vAlign w:val="center"/>
          </w:tcPr>
          <w:p w14:paraId="7CB4D3DE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ADDIN EN.CITE &lt;EndNote&gt;&lt;Cite&gt;&lt;Author&gt;Guan&lt;/Author&gt;&lt;Year&gt;2024&lt;/Year&gt;&lt;RecNum&gt;26&lt;/RecNum&gt;&lt;DisplayText&gt;[2]&lt;/DisplayText&gt;&lt;record&gt;&lt;rec-number&gt;26&lt;/rec-number&gt;&lt;foreign-keys&gt;&lt;key app="EN" db-id="9zev2zax4sdxf3edr06502z9v2xd9p9af9zp" timestamp="1727420955"&gt;26&lt;/key</w:instrText>
            </w:r>
            <w:r>
              <w:rPr>
                <w:rFonts w:hint="eastAsia"/>
                <w:b/>
                <w:bCs/>
              </w:rPr>
              <w:instrText xml:space="preserve">&gt;&lt;/foreign-keys&gt;&lt;ref-type name="Journal Article"&gt;17&lt;/ref-type&gt;&lt;contributors&gt;&lt;authors&gt;&lt;author&gt;Guan, Qianwen&lt;/author&gt;&lt;author&gt;You, Shihai&lt;/author&gt;&lt;author&gt;Zhu, Zeng‐Kui&lt;/author&gt;&lt;author&gt;Li, Ruiqing&lt;/author&gt;&lt;author&gt;Ye, Huang&lt;/author&gt;&lt;author&gt;Zhang, Chengshu&lt;/author&gt;&lt;author&gt;Li, Hang&lt;/author&gt;&lt;author&gt;Ji, Chengmin&lt;/author&gt;&lt;author&gt;Liu, Xitao&lt;/author&gt;&lt;author&gt;Luo, Junhua&lt;/author&gt;&lt;/authors&gt;&lt;/contributors&gt;&lt;titles&gt;&lt;title&gt;Three‐Dimensional Polar Perovskites for Highly Sensitive Self‐Driven X‐Ray Detection&lt;/title&gt;&lt;secondary</w:instrText>
            </w:r>
            <w:r>
              <w:rPr>
                <w:b/>
                <w:bCs/>
              </w:rPr>
              <w:instrText xml:space="preserve">-title&gt;Angewandte Chemie International Edition&lt;/secondary-title&gt;&lt;/titles&gt;&lt;periodical&gt;&lt;full-title&gt;Angewandte Chemie International Edition&lt;/full-title&gt;&lt;/periodical&gt;&lt;volume&gt;63&lt;/volume&gt;&lt;number&gt;11&lt;/number&gt;&lt;dates&gt;&lt;year&gt;2024&lt;/year&gt;&lt;/dates&gt;&lt;isbn&gt;1433-7851&amp;#xD;1521-3773&lt;/isbn&gt;&lt;urls&gt;&lt;/urls&gt;&lt;electronic-resource-num&gt;10.1002/anie.202320180&lt;/electronic-resource-num&gt;&lt;/record&gt;&lt;/Cite&gt;&lt;/EndNote&gt;</w:instrText>
            </w:r>
            <w:r>
              <w:rPr>
                <w:b/>
                <w:bCs/>
              </w:rPr>
              <w:fldChar w:fldCharType="separate"/>
            </w:r>
            <w:r>
              <w:t>[2]</w:t>
            </w:r>
            <w:r>
              <w:rPr>
                <w:b/>
                <w:bCs/>
              </w:rPr>
              <w:fldChar w:fldCharType="end"/>
            </w:r>
          </w:p>
        </w:tc>
      </w:tr>
      <w:tr w14:paraId="058A49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atLeast"/>
          <w:jc w:val="center"/>
        </w:trPr>
        <w:tc>
          <w:tcPr>
            <w:tcW w:w="2765" w:type="dxa"/>
            <w:vAlign w:val="center"/>
          </w:tcPr>
          <w:p w14:paraId="318CA815">
            <w:pPr>
              <w:jc w:val="both"/>
            </w:pPr>
            <w:r>
              <w:t>MAPbI</w:t>
            </w:r>
            <w:r>
              <w:rPr>
                <w:vertAlign w:val="subscript"/>
              </w:rPr>
              <w:t>3</w:t>
            </w:r>
            <w:r>
              <w:t>/(PEA)</w:t>
            </w:r>
            <w:r>
              <w:rPr>
                <w:vertAlign w:val="subscript"/>
              </w:rPr>
              <w:t>2</w:t>
            </w:r>
            <w:r>
              <w:t>PbBr</w:t>
            </w:r>
            <w:r>
              <w:rPr>
                <w:vertAlign w:val="subscript"/>
              </w:rPr>
              <w:t>4</w:t>
            </w:r>
            <w:r>
              <w:t>/MAPbI</w:t>
            </w:r>
            <w:r>
              <w:rPr>
                <w:vertAlign w:val="subscript"/>
              </w:rPr>
              <w:t>3</w:t>
            </w:r>
          </w:p>
        </w:tc>
        <w:tc>
          <w:tcPr>
            <w:tcW w:w="2765" w:type="dxa"/>
            <w:vAlign w:val="center"/>
          </w:tcPr>
          <w:p w14:paraId="7C18F64E">
            <w:pPr>
              <w:jc w:val="both"/>
              <w:rPr>
                <w:b/>
                <w:bCs/>
              </w:rPr>
            </w:pPr>
            <w:r>
              <w:t>2.5</w:t>
            </w:r>
            <w:bookmarkStart w:id="13" w:name="_Hlk202211916"/>
            <w:r>
              <w:t>×</w:t>
            </w:r>
            <w:bookmarkEnd w:id="13"/>
            <w:r>
              <w:t>10</w:t>
            </w:r>
            <w:r>
              <w:rPr>
                <w:vertAlign w:val="superscript"/>
              </w:rPr>
              <w:t>-9</w:t>
            </w:r>
          </w:p>
        </w:tc>
        <w:tc>
          <w:tcPr>
            <w:tcW w:w="2766" w:type="dxa"/>
            <w:vAlign w:val="center"/>
          </w:tcPr>
          <w:p w14:paraId="64AE15E1">
            <w:pPr>
              <w:jc w:val="both"/>
            </w:pPr>
            <w:r>
              <w:fldChar w:fldCharType="begin"/>
            </w:r>
            <w:r>
              <w:instrText xml:space="preserve"> ADDIN EN.CITE &lt;EndNote&gt;&lt;Cite&gt;&lt;Author&gt;Zhao&lt;/Author&gt;&lt;Year&gt;2024&lt;/Year&gt;&lt;RecNum&gt;20&lt;/RecNum&gt;&lt;DisplayText&gt;[3]&lt;/DisplayText&gt;&lt;record&gt;&lt;rec-number&gt;20&lt;/rec-number&gt;&lt;foreign-keys&gt;&lt;key app="EN" db-id="9zev2zax4sdxf3edr06502z9v2xd9p9af9zp" timestamp="1727251327"&gt;20&lt;/key&gt;&lt;/foreign-keys&gt;&lt;ref-type name="Journal Article"&gt;17&lt;/ref-type&gt;&lt;contributors&gt;&lt;authors&gt;&lt;author&gt;Zhao, Zeqin&lt;/author&gt;&lt;author&gt;Hao, Jinglu&lt;/author&gt;&lt;author&gt;Jia, Binxia&lt;/author&gt;&lt;author&gt;Chu, Depeng&lt;/author&gt;&lt;author&gt;Pi, Jiacheng&lt;/author&gt;&lt;author&gt;Zhang, Yunxia&lt;/author&gt;&lt;author&gt;Zai, Shuwan&lt;/author&gt;&lt;author&gt;Liang, Yuqian&lt;/author&gt;&lt;author&gt;Li, Yaohui&lt;/author&gt;&lt;author&gt;Feng, Ziyang&lt;/author&gt;&lt;author&gt;Zheng, Xiaokai&lt;/author&gt;&lt;author&gt;Wei, Mingyue&lt;/author&gt;&lt;author&gt;Zhao, Lei&lt;/author&gt;&lt;author&gt;Shi, Ruixin&lt;/author&gt;&lt;author&gt;Liu, Shengzhong Frank&lt;/author&gt;&lt;author&gt;Liu, Yucheng&lt;/author&gt;&lt;/authors&gt;&lt;/contributors&gt;&lt;titles&gt;&lt;title&gt;Epitaxial Welding of 3D and 2D Perovskite Single Crystals for Direct-Indirect Energy-Conversion X-ray Detection and Imaging&lt;/title&gt;&lt;secondary-title&gt;ACS Energy Letters&lt;/secondary-title&gt;&lt;/titles&gt;&lt;periodical&gt;&lt;full-title&gt;ACS Energy Letters&lt;/full-title&gt;&lt;/periodical&gt;&lt;pages&gt;2758-2766&lt;/pages&gt;&lt;volume&gt;9&lt;/volume&gt;&lt;number&gt;6&lt;/number&gt;&lt;section&gt;2758&lt;/section&gt;&lt;dates&gt;&lt;year&gt;2024&lt;/year&gt;&lt;/dates&gt;&lt;isbn&gt;2380-8195&amp;#xD;2380-8195&lt;/isbn&gt;&lt;urls&gt;&lt;/urls&gt;&lt;electronic-resource-num&gt;10.1021/acsenergylett.4c00590&lt;/electronic-resource-num&gt;&lt;/record&gt;&lt;/Cite&gt;&lt;/EndNote&gt;</w:instrText>
            </w:r>
            <w:r>
              <w:fldChar w:fldCharType="separate"/>
            </w:r>
            <w:r>
              <w:t>[3]</w:t>
            </w:r>
            <w:r>
              <w:fldChar w:fldCharType="end"/>
            </w:r>
          </w:p>
        </w:tc>
      </w:tr>
      <w:tr w14:paraId="0EBF3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atLeast"/>
          <w:jc w:val="center"/>
        </w:trPr>
        <w:tc>
          <w:tcPr>
            <w:tcW w:w="2765" w:type="dxa"/>
            <w:vAlign w:val="center"/>
          </w:tcPr>
          <w:p w14:paraId="25274262">
            <w:pPr>
              <w:jc w:val="both"/>
              <w:rPr>
                <w:b/>
                <w:bCs/>
              </w:rPr>
            </w:pPr>
            <w:r>
              <w:rPr>
                <w:rFonts w:cs="Times New Roman"/>
              </w:rPr>
              <w:t>(C</w:t>
            </w:r>
            <w:r>
              <w:rPr>
                <w:rFonts w:cs="Times New Roman"/>
                <w:vertAlign w:val="subscript"/>
              </w:rPr>
              <w:t>6</w:t>
            </w:r>
            <w:r>
              <w:rPr>
                <w:rFonts w:cs="Times New Roman"/>
              </w:rPr>
              <w:t>H</w:t>
            </w:r>
            <w:r>
              <w:rPr>
                <w:rFonts w:cs="Times New Roman"/>
                <w:vertAlign w:val="subscript"/>
              </w:rPr>
              <w:t>14</w:t>
            </w:r>
            <w:r>
              <w:rPr>
                <w:rFonts w:cs="Times New Roman"/>
              </w:rPr>
              <w:t>N)</w:t>
            </w:r>
            <w:r>
              <w:rPr>
                <w:rFonts w:cs="Times New Roman"/>
                <w:color w:val="000000" w:themeColor="text1"/>
                <w:shd w:val="clear" w:color="auto" w:fill="FFFFFF"/>
                <w:vertAlign w:val="subscript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cs="Times New Roman"/>
                <w:color w:val="000000" w:themeColor="text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Bi</w:t>
            </w:r>
            <w:r>
              <w:rPr>
                <w:rFonts w:cs="Times New Roman"/>
                <w:color w:val="000000" w:themeColor="text1"/>
                <w:shd w:val="clear" w:color="auto" w:fill="FFFFFF"/>
                <w:vertAlign w:val="subscript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cs="Times New Roman"/>
                <w:color w:val="000000" w:themeColor="text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</w:t>
            </w:r>
            <w:r>
              <w:rPr>
                <w:rFonts w:cs="Times New Roman"/>
                <w:color w:val="000000" w:themeColor="text1"/>
                <w:shd w:val="clear" w:color="auto" w:fill="FFFFFF"/>
                <w:vertAlign w:val="subscript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2765" w:type="dxa"/>
            <w:vAlign w:val="center"/>
          </w:tcPr>
          <w:p w14:paraId="6E2A720E">
            <w:pPr>
              <w:jc w:val="both"/>
              <w:rPr>
                <w:b/>
                <w:bCs/>
              </w:rPr>
            </w:pPr>
            <w:r>
              <w:rPr>
                <w:szCs w:val="24"/>
              </w:rPr>
              <w:t>2.16</w:t>
            </w:r>
            <w:r>
              <w:t>×</w:t>
            </w:r>
            <w:r>
              <w:rPr>
                <w:szCs w:val="24"/>
              </w:rPr>
              <w:t>10</w:t>
            </w:r>
            <w:r>
              <w:rPr>
                <w:rFonts w:eastAsia="MS Gothic"/>
                <w:szCs w:val="24"/>
              </w:rPr>
              <w:t>⁻</w:t>
            </w:r>
            <w:r>
              <w:rPr>
                <w:rFonts w:eastAsia="MS Gothic"/>
                <w:szCs w:val="24"/>
                <w:vertAlign w:val="superscript"/>
              </w:rPr>
              <w:t>8</w:t>
            </w:r>
          </w:p>
        </w:tc>
        <w:tc>
          <w:tcPr>
            <w:tcW w:w="2766" w:type="dxa"/>
            <w:vAlign w:val="center"/>
          </w:tcPr>
          <w:p w14:paraId="6D6675B9">
            <w:pPr>
              <w:jc w:val="both"/>
              <w:rPr>
                <w:b/>
                <w:bCs/>
              </w:rPr>
            </w:pPr>
            <w:r>
              <w:rPr>
                <w:rFonts w:eastAsia="等线"/>
                <w:sz w:val="24"/>
              </w:rPr>
              <w:t>This work</w:t>
            </w:r>
          </w:p>
        </w:tc>
      </w:tr>
    </w:tbl>
    <w:p w14:paraId="55CB68C2">
      <w:pPr>
        <w:jc w:val="both"/>
        <w:rPr>
          <w:b/>
          <w:bCs/>
        </w:rPr>
      </w:pPr>
    </w:p>
    <w:p w14:paraId="6E2AA082">
      <w:pPr>
        <w:jc w:val="both"/>
      </w:pPr>
      <w:r>
        <w:rPr>
          <w:b/>
          <w:bCs/>
        </w:rPr>
        <w:t>Table S6.</w:t>
      </w:r>
      <w:r>
        <w:t xml:space="preserve"> Some Literature-Reported Sensitivity and Detection Limits of Bismuth-Based Perovskite Single Crystals.</w:t>
      </w:r>
    </w:p>
    <w:tbl>
      <w:tblPr>
        <w:tblStyle w:val="17"/>
        <w:tblpPr w:leftFromText="180" w:rightFromText="180" w:vertAnchor="text" w:horzAnchor="page" w:tblpX="1807" w:tblpY="108"/>
        <w:tblOverlap w:val="never"/>
        <w:tblW w:w="4974" w:type="pct"/>
        <w:tblInd w:w="0" w:type="dxa"/>
        <w:tblBorders>
          <w:top w:val="single" w:color="7E7E7E" w:themeColor="text1" w:themeTint="80" w:sz="4" w:space="0"/>
          <w:left w:val="none" w:color="auto" w:sz="0" w:space="0"/>
          <w:bottom w:val="single" w:color="7E7E7E" w:themeColor="text1" w:themeTint="80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113" w:type="dxa"/>
          <w:left w:w="108" w:type="dxa"/>
          <w:bottom w:w="0" w:type="dxa"/>
          <w:right w:w="108" w:type="dxa"/>
        </w:tblCellMar>
      </w:tblPr>
      <w:tblGrid>
        <w:gridCol w:w="2731"/>
        <w:gridCol w:w="2253"/>
        <w:gridCol w:w="1693"/>
        <w:gridCol w:w="1802"/>
      </w:tblGrid>
      <w:tr w14:paraId="4DC7908B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986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75434A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4"/>
                <w:szCs w:val="20"/>
              </w:rPr>
            </w:pPr>
            <w:bookmarkStart w:id="14" w:name="_Hlk202211421"/>
            <w:r>
              <w:rPr>
                <w:rFonts w:cs="Times New Roman"/>
                <w:b/>
                <w:bCs/>
                <w:kern w:val="0"/>
                <w:sz w:val="24"/>
                <w:szCs w:val="20"/>
              </w:rPr>
              <w:t>Material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A33033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  <w:t>Sensitivity</w:t>
            </w:r>
          </w:p>
          <w:p w14:paraId="767CBE7C">
            <w:pPr>
              <w:spacing w:line="480" w:lineRule="auto"/>
              <w:jc w:val="both"/>
              <w:rPr>
                <w:rFonts w:cs="Times New Roman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b/>
                <w:bCs/>
                <w:kern w:val="0"/>
                <w:sz w:val="24"/>
                <w:szCs w:val="20"/>
              </w:rPr>
              <w:t>(</w:t>
            </w:r>
            <w:r>
              <w:rPr>
                <w:rFonts w:cs="Times New Roman"/>
                <w:b/>
                <w:bCs/>
                <w:color w:val="000000" w:themeColor="text1"/>
                <w:kern w:val="0"/>
                <w:szCs w:val="24"/>
                <w14:textFill>
                  <w14:solidFill>
                    <w14:schemeClr w14:val="tx1"/>
                  </w14:solidFill>
                </w14:textFill>
              </w:rPr>
              <w:t>μC Gy</w:t>
            </w:r>
            <w:r>
              <w:rPr>
                <w:rFonts w:eastAsia="MS Gothic" w:cs="Times New Roman"/>
                <w:b/>
                <w:bCs/>
                <w:color w:val="000000" w:themeColor="text1"/>
                <w:kern w:val="0"/>
                <w:szCs w:val="24"/>
                <w14:textFill>
                  <w14:solidFill>
                    <w14:schemeClr w14:val="tx1"/>
                  </w14:solidFill>
                </w14:textFill>
              </w:rPr>
              <w:t>⁻</w:t>
            </w:r>
            <w:r>
              <w:rPr>
                <w:rFonts w:cs="Times New Roman"/>
                <w:b/>
                <w:bCs/>
                <w:color w:val="000000" w:themeColor="text1"/>
                <w:kern w:val="0"/>
                <w:szCs w:val="24"/>
                <w14:textFill>
                  <w14:solidFill>
                    <w14:schemeClr w14:val="tx1"/>
                  </w14:solidFill>
                </w14:textFill>
              </w:rPr>
              <w:t>¹ cm</w:t>
            </w:r>
            <w:r>
              <w:rPr>
                <w:rFonts w:eastAsia="MS Gothic" w:cs="Times New Roman"/>
                <w:b/>
                <w:bCs/>
                <w:color w:val="000000" w:themeColor="text1"/>
                <w:kern w:val="0"/>
                <w:szCs w:val="24"/>
                <w14:textFill>
                  <w14:solidFill>
                    <w14:schemeClr w14:val="tx1"/>
                  </w14:solidFill>
                </w14:textFill>
              </w:rPr>
              <w:t>⁻</w:t>
            </w:r>
            <w:r>
              <w:rPr>
                <w:rFonts w:cs="Times New Roman"/>
                <w:b/>
                <w:bCs/>
                <w:color w:val="000000" w:themeColor="text1"/>
                <w:kern w:val="0"/>
                <w:szCs w:val="24"/>
                <w14:textFill>
                  <w14:solidFill>
                    <w14:schemeClr w14:val="tx1"/>
                  </w14:solidFill>
                </w14:textFill>
              </w:rPr>
              <w:t>²)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A49076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  <w:t>Detection limit</w:t>
            </w:r>
          </w:p>
          <w:p w14:paraId="0646CAA0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b/>
                <w:bCs/>
                <w:kern w:val="0"/>
                <w:sz w:val="24"/>
                <w:szCs w:val="20"/>
              </w:rPr>
              <w:t>(</w:t>
            </w:r>
            <w:r>
              <w:rPr>
                <w:rFonts w:cs="Times New Roman"/>
                <w:b/>
                <w:bCs/>
                <w:kern w:val="0"/>
                <w:sz w:val="20"/>
                <w:szCs w:val="20"/>
              </w:rPr>
              <w:t>nGy s⁻¹)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D801BD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  <w:t>Refs.</w:t>
            </w:r>
          </w:p>
        </w:tc>
      </w:tr>
      <w:tr w14:paraId="60E33B99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217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00F903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Rb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3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Bi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2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I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9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5DE419">
            <w:pPr>
              <w:spacing w:line="480" w:lineRule="auto"/>
              <w:jc w:val="both"/>
              <w:rPr>
                <w:rFonts w:cs="Times New Roman"/>
                <w:kern w:val="0"/>
                <w:sz w:val="24"/>
                <w:szCs w:val="20"/>
              </w:rPr>
            </w:pPr>
            <w:r>
              <w:rPr>
                <w:rFonts w:cs="Times New Roman"/>
                <w:kern w:val="0"/>
                <w:sz w:val="24"/>
                <w:szCs w:val="20"/>
              </w:rPr>
              <w:t xml:space="preserve"> 159.7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045E3C">
            <w:pPr>
              <w:spacing w:line="480" w:lineRule="auto"/>
              <w:jc w:val="both"/>
              <w:rPr>
                <w:rFonts w:cs="Times New Roman"/>
                <w:kern w:val="0"/>
                <w:sz w:val="24"/>
                <w:szCs w:val="20"/>
              </w:rPr>
            </w:pPr>
            <w:r>
              <w:rPr>
                <w:rFonts w:hint="eastAsia" w:cs="Times New Roman"/>
                <w:kern w:val="0"/>
                <w:sz w:val="24"/>
                <w:szCs w:val="20"/>
              </w:rPr>
              <w:t>8</w:t>
            </w:r>
            <w:r>
              <w:rPr>
                <w:rFonts w:cs="Times New Roman"/>
                <w:kern w:val="0"/>
                <w:sz w:val="24"/>
                <w:szCs w:val="20"/>
              </w:rPr>
              <w:t>.32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A004C1">
            <w:pPr>
              <w:spacing w:line="480" w:lineRule="auto"/>
              <w:jc w:val="both"/>
              <w:rPr>
                <w:rFonts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&lt;EndNote&gt;&lt;Cite&gt;&lt;Author&gt;Xia&lt;/Author&gt;&lt;Year&gt;2020&lt;/Year&gt;&lt;RecNum&gt;42&lt;/RecNum&gt;&lt;DisplayText&gt;[4]&lt;/DisplayText&gt;&lt;record&gt;&lt;rec-number&gt;42&lt;/rec-number&gt;&lt;foreign-keys&gt;&lt;key app="EN" db-id="9zev2zax4sdxf3edr06502z9v2xd9p9af9zp" timestamp="1742784815"&gt;42&lt;/key&gt;&lt;/foreign-keys&gt;&lt;ref-type name="Journal Article"&gt;17&lt;/ref-type&gt;&lt;contributors&gt;&lt;authors&gt;&lt;author&gt;Xia, Mengling&lt;/author&gt;&lt;author&gt;Yuan, Jun‐Hui&lt;/author&gt;&lt;author&gt;Niu, Guangda&lt;/author&gt;&lt;author&gt;Du, Xinyuan&lt;/author&gt;&lt;author&gt;Yin, Lixiao&lt;/author&gt;&lt;author&gt;Pan, Weicheng&lt;/author&gt;&lt;author&gt;Luo, Jiajun&lt;/author&gt;&lt;author&gt;Li, Zhigang&lt;/author&gt;&lt;author&gt;Zhao, Hongtao&lt;/author&gt;&lt;author&gt;Xue, Kan‐Hao&lt;/author&gt;&lt;author&gt;Miao, Xiangshui&lt;/author&gt;&lt;author&gt;Tang, Jiang&lt;/author&gt;&lt;/authors&gt;&lt;/contributors&gt;&lt;titles&gt;&lt;title&gt;Unveiling the Structural Descriptor of A3B2X9 Perovskite Derivatives toward X‐Ray Detectors with Low Detection Limit and High Stability&lt;/title&gt;&lt;secondary-title&gt;Advanced Functional Materials&lt;/secondary-title&gt;&lt;/titles&gt;&lt;periodical&gt;&lt;full-title&gt;Advanced Functional Materials&lt;/full-title&gt;&lt;/periodical&gt;&lt;volume&gt;30&lt;/volume&gt;&lt;number&gt;24&lt;/number&gt;&lt;dates&gt;&lt;year&gt;2020&lt;/year&gt;&lt;/dates&gt;&lt;isbn&gt;1616-301X&amp;#xD;1616-3028&lt;/isbn&gt;&lt;urls&gt;&lt;/urls&gt;&lt;electronic-resource-num&gt;10.1002/adfm.201910648&lt;/electronic-resource-num&gt;&lt;/record&gt;&lt;/Cite&gt;&lt;/EndNote&gt;</w:instrText>
            </w:r>
            <w:r>
              <w:rPr>
                <w:rFonts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cs="Times New Roman"/>
                <w:kern w:val="0"/>
                <w:sz w:val="24"/>
                <w:szCs w:val="20"/>
                <w:vertAlign w:val="superscript"/>
              </w:rPr>
              <w:t>[4]</w:t>
            </w:r>
            <w:r>
              <w:rPr>
                <w:rFonts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7EE98BD5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725479">
            <w:pPr>
              <w:spacing w:line="480" w:lineRule="auto"/>
              <w:jc w:val="both"/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(Gua)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3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Bi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2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</w:rPr>
              <w:t>I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9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1F4B0C">
            <w:pPr>
              <w:spacing w:line="480" w:lineRule="auto"/>
              <w:jc w:val="both"/>
              <w:rPr>
                <w:rFonts w:cs="Times New Roman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18.23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8EE1D4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2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37.54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7A4D05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&lt;EndNote&gt;&lt;Cite&gt;&lt;Author&gt;Xu&lt;/Author&gt;&lt;Year&gt;2022&lt;/Year&gt;&lt;RecNum&gt;12&lt;/RecNum&gt;&lt;DisplayText&gt;[5]&lt;/DisplayText&gt;&lt;record&gt;&lt;rec-number&gt;12&lt;/rec-number&gt;&lt;foreign-keys&gt;&lt;key app="EN" db-id="9zev2zax4sdxf3edr06502z9v2xd9p9af9zp" timestamp="1726801817"&gt;12&lt;/key&gt;&lt;/foreign-keys&gt;&lt;ref-type name="Journal Article"&gt;17&lt;/ref-type&gt;&lt;contributors&gt;&lt;authors&gt;&lt;author&gt;Xu, Yaxin&lt;/author&gt;&lt;author&gt;Hu, Jiarui&lt;/author&gt;&lt;author&gt;Xiao, Xingfu&lt;/author&gt;&lt;author&gt;He, Huanfeng&lt;/author&gt;&lt;author&gt;Tong, Guoliang&lt;/author&gt;&lt;author&gt;Chen, Junnian&lt;/author&gt;&lt;author&gt;He, Yunbin&lt;/author&gt;&lt;/authors&gt;&lt;/contributors&gt;&lt;titles&gt;&lt;title&gt;Evaporation crystallization of zero-dimensional guanidinium bismuth iodide perovskite single crystal for X-ray detection&lt;/title&gt;&lt;secondary-title&gt;Inorganic Chemistry Frontiers&lt;/secondary-title&gt;&lt;/titles&gt;&lt;periodical&gt;&lt;full-title&gt;Inorganic Chemistry Frontiers&lt;/full-title&gt;&lt;/periodical&gt;&lt;pages&gt;494-500&lt;/pages&gt;&lt;volume&gt;9&lt;/volume&gt;&lt;number&gt;3&lt;/number&gt;&lt;section&gt;494&lt;/section&gt;&lt;dates&gt;&lt;year&gt;2022&lt;/year&gt;&lt;/dates&gt;&lt;isbn&gt;2052-1553&lt;/isbn&gt;&lt;urls&gt;&lt;/urls&gt;&lt;electronic-resource-num&gt;10.1039/d1qi01049b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[5]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00746200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A67478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</w:pPr>
            <w:r>
              <w:rPr>
                <w:rFonts w:cs="Times New Roman"/>
                <w:b w:val="0"/>
                <w:bCs w:val="0"/>
                <w:color w:val="151515"/>
                <w:kern w:val="0"/>
                <w:sz w:val="24"/>
                <w:szCs w:val="24"/>
                <w:shd w:val="clear" w:color="auto" w:fill="FFFFFF"/>
              </w:rPr>
              <w:t>(FPEA)</w:t>
            </w:r>
            <w:r>
              <w:rPr>
                <w:rFonts w:cs="Times New Roman"/>
                <w:b w:val="0"/>
                <w:bCs w:val="0"/>
                <w:color w:val="151515"/>
                <w:kern w:val="0"/>
                <w:sz w:val="24"/>
                <w:szCs w:val="24"/>
                <w:shd w:val="clear" w:color="auto" w:fill="FFFFFF"/>
                <w:vertAlign w:val="subscript"/>
              </w:rPr>
              <w:t>4</w:t>
            </w:r>
            <w:r>
              <w:rPr>
                <w:rFonts w:cs="Times New Roman"/>
                <w:b w:val="0"/>
                <w:bCs w:val="0"/>
                <w:color w:val="151515"/>
                <w:kern w:val="0"/>
                <w:sz w:val="24"/>
                <w:szCs w:val="24"/>
                <w:shd w:val="clear" w:color="auto" w:fill="FFFFFF"/>
              </w:rPr>
              <w:t>AgBiBr</w:t>
            </w:r>
            <w:r>
              <w:rPr>
                <w:rFonts w:cs="Times New Roman"/>
                <w:b w:val="0"/>
                <w:bCs w:val="0"/>
                <w:color w:val="151515"/>
                <w:kern w:val="0"/>
                <w:sz w:val="24"/>
                <w:szCs w:val="24"/>
                <w:shd w:val="clear" w:color="auto" w:fill="FFFFFF"/>
                <w:vertAlign w:val="subscript"/>
              </w:rPr>
              <w:t>8</w:t>
            </w:r>
            <w:r>
              <w:rPr>
                <w:rFonts w:cs="Times New Roman"/>
                <w:b w:val="0"/>
                <w:bCs w:val="0"/>
                <w:color w:val="151515"/>
                <w:kern w:val="0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CF16CD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27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AAB64C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7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200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207D51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&lt;EndNote&gt;&lt;Cite&gt;&lt;Author&gt;Ge&lt;/Author&gt;&lt;Year&gt;2022&lt;/Year&gt;&lt;RecNum&gt;43&lt;/RecNum&gt;&lt;DisplayText&gt;[6]&lt;/DisplayText&gt;&lt;record&gt;&lt;rec-number&gt;43&lt;/rec-number&gt;&lt;foreign-keys&gt;&lt;key app="EN" db-id="9zev2zax4sdxf3edr06502z9v2xd9p9af9zp" timestamp="1742786935"&gt;43&lt;/key&gt;&lt;/foreign-keys&gt;&lt;ref-type name="Journal Article"&gt;17&lt;/ref-type&gt;&lt;contributors&gt;&lt;authors&gt;&lt;author&gt;Ge, Mingwei&lt;/author&gt;&lt;author&gt;Chen, Siqi&lt;/author&gt;&lt;author&gt;Fu, Xinliang&lt;/author&gt;&lt;author&gt;Feng, Yanxing&lt;/author&gt;&lt;author&gt;Wang, Di&lt;/author&gt;&lt;author&gt;Yuan, Mingjian&lt;/author&gt;&lt;/authors&gt;&lt;/contributors&gt;&lt;titles&gt;&lt;title&gt;Effects of Fluorinated Aromatic Spacer in Ag–Bi Double Perovskite for X-ray Detector&lt;/title&gt;&lt;secondary-title&gt;The Journal of Physical Chemistry C&lt;/secondary-title&gt;&lt;/titles&gt;&lt;periodical&gt;&lt;full-title&gt;The Journal of Physical Chemistry C&lt;/full-title&gt;&lt;/periodical&gt;&lt;pages&gt;19417-19423&lt;/pages&gt;&lt;volume&gt;126&lt;/volume&gt;&lt;number&gt;45&lt;/number&gt;&lt;section&gt;19417&lt;/section&gt;&lt;dates&gt;&lt;year&gt;2022&lt;/year&gt;&lt;/dates&gt;&lt;isbn&gt;1932-7447&amp;#xD;1932-7455&lt;/isbn&gt;&lt;urls&gt;&lt;/urls&gt;&lt;electronic-resource-num&gt;10.1021/acs.jpcc.2c05442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[6]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0AE42A83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E037C0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cs="Times New Roman"/>
                <w:b w:val="0"/>
                <w:bCs w:val="0"/>
                <w:kern w:val="0"/>
                <w:sz w:val="24"/>
                <w:szCs w:val="24"/>
              </w:rPr>
              <w:t>(DFPIP)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4"/>
              </w:rPr>
              <w:t>AgBiI</w:t>
            </w:r>
            <w:r>
              <w:rPr>
                <w:rFonts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8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C77880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188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668AE0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3130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EA7055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&lt;EndNote&gt;&lt;Cite&gt;&lt;Author&gt;Wang&lt;/Author&gt;&lt;Year&gt;2021&lt;/Year&gt;&lt;RecNum&gt;44&lt;/RecNum&gt;&lt;DisplayText&gt;[7]&lt;/DisplayText&gt;&lt;record&gt;&lt;rec-number&gt;44&lt;/rec-number&gt;&lt;foreign-keys&gt;&lt;key app="EN" db-id="9zev2zax4sdxf3edr06502z9v2xd9p9af9zp" timestamp="1742791270"&gt;44&lt;/key&gt;&lt;/foreign-keys&gt;&lt;ref-type name="Journal Article"&gt;17&lt;/ref-type&gt;&lt;contributors&gt;&lt;authors&gt;&lt;author&gt;Wang, Chang‐Feng&lt;/author&gt;&lt;author&gt;Li, Haojin&lt;/author&gt;&lt;author&gt;Li, Mao‐Guang&lt;/author&gt;&lt;author&gt;Cui, Yu&lt;/author&gt;&lt;author&gt;Song, Xin&lt;/author&gt;&lt;author&gt;Wang, Qin‐Wen&lt;/author&gt;&lt;author&gt;Jiang, Jia‐Ying&lt;/author&gt;&lt;author&gt;Hua, Miao‐Miao&lt;/author&gt;&lt;author&gt;Xu, Qi&lt;/author&gt;&lt;author&gt;Zhao, Kui&lt;/author&gt;&lt;author&gt;Ye, Heng‐Yun&lt;/author&gt;&lt;author&gt;Zhang, Yi&lt;/author&gt;&lt;/authors&gt;&lt;/contributors&gt;&lt;titles&gt;&lt;title&gt;Centimeter‐Sized Single Crystals of Two‐Dimensional Hybrid Iodide Double Perovskite (4,4‐Difluoropiperidinium)4AgBiI8 for High‐Temperature Ferroelectricity and Efficient X‐Ray Detection&lt;/title&gt;&lt;secondary-title&gt;Advanced Functional Materials&lt;/secondary-title&gt;&lt;/titles&gt;&lt;periodical&gt;&lt;full-title&gt;Advanced Functional Materials&lt;/full-title&gt;&lt;/periodical&gt;&lt;volume&gt;31&lt;/volume&gt;&lt;number&gt;13&lt;/number&gt;&lt;dates&gt;&lt;year&gt;2021&lt;/year&gt;&lt;/dates&gt;&lt;isbn&gt;1616-301X&amp;#xD;1616-3028&lt;/isbn&gt;&lt;urls&gt;&lt;/urls&gt;&lt;electronic-resource-num&gt;10.1002/adfm.202009457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[7]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0AB4C5EA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3F9334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Cs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3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Bi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2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Br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9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FF2F83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2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30.4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CE68F7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-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9DA44D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&lt;EndNote&gt;&lt;Cite&gt;&lt;Author&gt;Li&lt;/Author&gt;&lt;Year&gt;2021&lt;/Year&gt;&lt;RecNum&gt;45&lt;/RecNum&gt;&lt;DisplayText&gt;[8]&lt;/DisplayText&gt;&lt;record&gt;&lt;rec-number&gt;45&lt;/rec-number&gt;&lt;foreign-keys&gt;&lt;key app="EN" db-id="9zev2zax4sdxf3edr06502z9v2xd9p9af9zp" timestamp="1742791887"&gt;45&lt;/key&gt;&lt;/foreign-keys&gt;&lt;ref-type name="Journal Article"&gt;17&lt;/ref-type&gt;&lt;contributors&gt;&lt;authors&gt;&lt;author&gt;Li, Xiang&lt;/author&gt;&lt;author&gt;Du, Xinyuan&lt;/author&gt;&lt;author&gt;Zhang, Peng&lt;/author&gt;&lt;author&gt;Hua, Yunqiu&lt;/author&gt;&lt;author&gt;Liu, Lin&lt;/author&gt;&lt;author&gt;Niu, Guangda&lt;/author&gt;&lt;author&gt;Zhang, Guodong&lt;/author&gt;&lt;author&gt;Tang, Jiang&lt;/author&gt;&lt;author&gt;Tao, Xutang&lt;/author&gt;&lt;/authors&gt;&lt;/contributors&gt;&lt;titles&gt;&lt;title&gt;Lead-free halide perovskite Cs3Bi2Br9 single crystals for high-performance X-ray detection&lt;/title&gt;&lt;secondary-title&gt;Science China Materials&lt;/secondary-title&gt;&lt;/titles&gt;&lt;periodical&gt;&lt;full-title&gt;Science China Materials&lt;/full-title&gt;&lt;/periodical&gt;&lt;pages&gt;1427-1436&lt;/pages&gt;&lt;volume&gt;64&lt;/volume&gt;&lt;number&gt;6&lt;/number&gt;&lt;section&gt;1427&lt;/section&gt;&lt;dates&gt;&lt;year&gt;2021&lt;/year&gt;&lt;/dates&gt;&lt;isbn&gt;2095-8226&amp;#xD;2199-4501&lt;/isbn&gt;&lt;urls&gt;&lt;/urls&gt;&lt;electronic-resource-num&gt;10.1007/s40843-020-1553-8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[8]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123810E1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194E5D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(BA)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2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CsAgBiBr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7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E03401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4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.2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37EB9E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-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5703C2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&lt;EndNote&gt;&lt;Cite&gt;&lt;Author&gt;Xu&lt;/Author&gt;&lt;Year&gt;2019&lt;/Year&gt;&lt;RecNum&gt;46&lt;/RecNum&gt;&lt;DisplayText&gt;[9]&lt;/DisplayText&gt;&lt;record&gt;&lt;rec-number&gt;46&lt;/rec-number&gt;&lt;foreign-keys&gt;&lt;key app="EN" db-id="9zev2zax4sdxf3edr06502z9v2xd9p9af9zp" timestamp="1742793162"&gt;46&lt;/key&gt;&lt;/foreign-keys&gt;&lt;ref-type name="Journal Article"&gt;17&lt;/ref-type&gt;&lt;contributors&gt;&lt;authors&gt;&lt;author&gt;Xu, Zhiyun&lt;/author&gt;&lt;author&gt;Liu, Xin&lt;/author&gt;&lt;author&gt;Li, Yaobin&lt;/author&gt;&lt;author&gt;Liu, Xitao&lt;/author&gt;&lt;author&gt;Yang, Tao&lt;/author&gt;&lt;author&gt;Ji, Chengmin&lt;/author&gt;&lt;author&gt;Han, Shiguo&lt;/author&gt;&lt;author&gt;Xu, Yadong&lt;/author&gt;&lt;author&gt;Luo, Junhua&lt;/author&gt;&lt;author&gt;Sun, Zhihua&lt;/author&gt;&lt;/authors&gt;&lt;/contributors&gt;&lt;titles&gt;&lt;title&gt;Exploring Lead‐Free Hybrid Double Perovskite Crystals of (BA)2CsAgBiBr7 with Large Mobility‐Lifetime Product toward X‐Ray Detection&lt;/title&gt;&lt;secondary-title&gt;Angewandte Chemie International Edition&lt;/secondary-title&gt;&lt;/titles&gt;&lt;periodical&gt;&lt;full-title&gt;Angewandte Chemie International Edition&lt;/full-title&gt;&lt;/periodical&gt;&lt;pages&gt;15757-15761&lt;/pages&gt;&lt;volume&gt;58&lt;/volume&gt;&lt;number&gt;44&lt;/number&gt;&lt;section&gt;15757&lt;/section&gt;&lt;dates&gt;&lt;year&gt;2019&lt;/year&gt;&lt;/dates&gt;&lt;isbn&gt;1433-7851&amp;#xD;1521-3773&lt;/isbn&gt;&lt;urls&gt;&lt;/urls&gt;&lt;electronic-resource-num&gt;10.1002/anie.201909815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[9]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6001D10F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EC54B1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</w:pPr>
            <w:bookmarkStart w:id="15" w:name="OLE_LINK17"/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(CPA)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4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AgBiBr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8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79D2AF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0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.8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9448E2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-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BCE09D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begin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 ADDIN EN.CITE &lt;EndNote&gt;&lt;Cite&gt;&lt;Author&gt;Guo&lt;/Author&gt;&lt;Year&gt;2020&lt;/Year&gt;&lt;RecNum&gt;47&lt;/RecNum&gt;&lt;DisplayText&gt;[10]&lt;/DisplayText&gt;&lt;record&gt;&lt;rec-number&gt;47&lt;/rec-number&gt;&lt;foreign-keys&gt;&lt;key app="EN" db-id="9zev2zax4sdxf3edr06502z9v2xd9p9af9zp" timestamp="1742794015"&gt;47&lt;/key&gt;&lt;/foreign-keys&gt;&lt;ref-type name="Journal Article"&gt;17&lt;/ref-type&gt;&lt;contributors&gt;&lt;authors&gt;&lt;author&gt;Guo, Wuqian&lt;/author&gt;&lt;author&gt;Liu, Xitao&lt;/author&gt;&lt;author&gt;Han, Shiguo&lt;/author&gt;&lt;author&gt;Liu, Yi&lt;/author&gt;&lt;author&gt;Xu, Zhiyun&lt;/author&gt;&lt;author&gt;Hong, Maochun&lt;/author&gt;&lt;autho</w:instrText>
            </w:r>
            <w:r>
              <w:rPr>
                <w:rFonts w:hint="eastAsia" w:eastAsia="等线" w:cs="Times New Roman"/>
                <w:kern w:val="0"/>
                <w:sz w:val="24"/>
                <w:szCs w:val="20"/>
                <w:vertAlign w:val="superscript"/>
              </w:rPr>
              <w:instrText xml:space="preserve">r&gt;Luo, Junhua&lt;/author&gt;&lt;author&gt;Sun, Zhihua&lt;/author&gt;&lt;/authors&gt;&lt;/contributors&gt;&lt;titles&gt;&lt;title&gt;Room‐Temperature Ferroelectric Material Composed of a Two‐Dimensional Metal Halide Double Perovskite for X‐ray Detection&lt;/title&gt;&lt;secondary-title&gt;Angewandte Chemie In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instrText xml:space="preserve">ternational Edition&lt;/secondary-title&gt;&lt;/titles&gt;&lt;periodical&gt;&lt;full-title&gt;Angewandte Chemie International Edition&lt;/full-title&gt;&lt;/periodical&gt;&lt;pages&gt;13879-13884&lt;/pages&gt;&lt;volume&gt;59&lt;/volume&gt;&lt;number&gt;33&lt;/number&gt;&lt;section&gt;13879&lt;/section&gt;&lt;dates&gt;&lt;year&gt;2020&lt;/year&gt;&lt;/dates&gt;&lt;isbn&gt;1433-7851&amp;#xD;1521-3773&lt;/isbn&gt;&lt;urls&gt;&lt;/urls&gt;&lt;electronic-resource-num&gt;10.1002/anie.202004235&lt;/electronic-resource-num&gt;&lt;/record&gt;&lt;/Cite&gt;&lt;/EndNote&gt;</w:instrTex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separate"/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t>[10]</w:t>
            </w:r>
            <w:r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  <w:fldChar w:fldCharType="end"/>
            </w:r>
          </w:p>
        </w:tc>
      </w:tr>
      <w:tr w14:paraId="1728782C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BE071D">
            <w:pPr>
              <w:spacing w:line="480" w:lineRule="auto"/>
              <w:jc w:val="both"/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</w:pPr>
            <w:r>
              <w:rPr>
                <w:rFonts w:hint="eastAsia" w:eastAsia="等线" w:cs="Times New Roman"/>
                <w:b w:val="0"/>
                <w:bCs w:val="0"/>
                <w:kern w:val="0"/>
                <w:sz w:val="24"/>
                <w:szCs w:val="24"/>
              </w:rPr>
              <w:t>(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C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6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H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13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N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  <w:t>)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  <w:t>Bi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  <w:t>I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9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23B522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3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88.05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E8ABC6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7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9.18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129D46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This work</w:t>
            </w:r>
          </w:p>
        </w:tc>
      </w:tr>
      <w:tr w14:paraId="1FC3200A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96FF7D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b w:val="0"/>
                <w:bCs w:val="0"/>
                <w:kern w:val="0"/>
                <w:sz w:val="24"/>
                <w:szCs w:val="24"/>
              </w:rPr>
              <w:t>(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C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6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H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13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N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  <w:t>)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BiBr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5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4072B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1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78.85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23F5A2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2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47.96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9308BE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  <w:vertAlign w:val="superscript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This work</w:t>
            </w:r>
          </w:p>
        </w:tc>
      </w:tr>
      <w:bookmarkEnd w:id="15"/>
      <w:tr w14:paraId="048DEED8"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13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7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B0F042">
            <w:pPr>
              <w:spacing w:line="480" w:lineRule="auto"/>
              <w:jc w:val="both"/>
              <w:rPr>
                <w:rFonts w:eastAsia="等线" w:cs="Times New Roman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b w:val="0"/>
                <w:bCs w:val="0"/>
                <w:kern w:val="0"/>
                <w:sz w:val="24"/>
                <w:szCs w:val="24"/>
              </w:rPr>
              <w:t>(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C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6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H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vertAlign w:val="subscript"/>
                <w:lang w:bidi="ar"/>
              </w:rPr>
              <w:t>13</w:t>
            </w:r>
            <w:r>
              <w:rPr>
                <w:rFonts w:cs="Times New Roman"/>
                <w:b w:val="0"/>
                <w:bCs w:val="0"/>
                <w:color w:val="000000"/>
                <w:kern w:val="0"/>
                <w:sz w:val="24"/>
                <w:szCs w:val="24"/>
                <w:lang w:bidi="ar"/>
              </w:rPr>
              <w:t>N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</w:rPr>
              <w:t>)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</w:rPr>
              <w:t>BiCl</w:t>
            </w:r>
            <w:r>
              <w:rPr>
                <w:rFonts w:eastAsia="等线" w:cs="Times New Roman"/>
                <w:b w:val="0"/>
                <w:bCs w:val="0"/>
                <w:kern w:val="0"/>
                <w:sz w:val="24"/>
                <w:szCs w:val="20"/>
                <w:vertAlign w:val="subscript"/>
              </w:rPr>
              <w:t>5</w:t>
            </w:r>
          </w:p>
        </w:tc>
        <w:tc>
          <w:tcPr>
            <w:tcW w:w="2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FDD889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hint="eastAsia" w:eastAsia="等线" w:cs="Times New Roman"/>
                <w:kern w:val="0"/>
                <w:sz w:val="24"/>
                <w:szCs w:val="20"/>
              </w:rPr>
              <w:t>1</w:t>
            </w:r>
            <w:r>
              <w:rPr>
                <w:rFonts w:eastAsia="等线" w:cs="Times New Roman"/>
                <w:kern w:val="0"/>
                <w:sz w:val="24"/>
                <w:szCs w:val="20"/>
              </w:rPr>
              <w:t>20.58</w:t>
            </w:r>
          </w:p>
        </w:tc>
        <w:tc>
          <w:tcPr>
            <w:tcW w:w="1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68E154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bookmarkStart w:id="16" w:name="OLE_LINK19"/>
            <w:r>
              <w:rPr>
                <w:rFonts w:eastAsia="等线" w:cs="Times New Roman"/>
                <w:kern w:val="0"/>
                <w:sz w:val="24"/>
                <w:szCs w:val="20"/>
              </w:rPr>
              <w:t>2430</w:t>
            </w:r>
          </w:p>
        </w:tc>
        <w:tc>
          <w:tcPr>
            <w:tcW w:w="18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991A2C">
            <w:pPr>
              <w:spacing w:line="480" w:lineRule="auto"/>
              <w:jc w:val="both"/>
              <w:rPr>
                <w:rFonts w:eastAsia="等线" w:cs="Times New Roman"/>
                <w:kern w:val="0"/>
                <w:sz w:val="24"/>
                <w:szCs w:val="20"/>
              </w:rPr>
            </w:pPr>
            <w:r>
              <w:rPr>
                <w:rFonts w:eastAsia="等线" w:cs="Times New Roman"/>
                <w:kern w:val="0"/>
                <w:sz w:val="24"/>
                <w:szCs w:val="20"/>
              </w:rPr>
              <w:t>This work</w:t>
            </w:r>
            <w:bookmarkEnd w:id="16"/>
          </w:p>
        </w:tc>
      </w:tr>
      <w:bookmarkEnd w:id="14"/>
    </w:tbl>
    <w:p w14:paraId="4CEF49A7">
      <w:pPr>
        <w:jc w:val="both"/>
      </w:pPr>
    </w:p>
    <w:p w14:paraId="21CABCAA">
      <w:pPr>
        <w:jc w:val="both"/>
        <w:rPr>
          <w:rFonts w:hint="default" w:eastAsia="宋体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References</w:t>
      </w:r>
    </w:p>
    <w:p w14:paraId="4FE47574">
      <w:pPr>
        <w:pStyle w:val="20"/>
        <w:framePr w:wrap="around"/>
        <w:ind w:left="720" w:hanging="720"/>
        <w:jc w:val="both"/>
      </w:pPr>
      <w:r>
        <w:fldChar w:fldCharType="begin"/>
      </w:r>
      <w:r>
        <w:instrText xml:space="preserve"> ADDIN EN.REFLIST </w:instrText>
      </w:r>
      <w:r>
        <w:fldChar w:fldCharType="separate"/>
      </w:r>
      <w:r>
        <w:t>1.</w:t>
      </w:r>
      <w:r>
        <w:tab/>
      </w:r>
      <w:r>
        <w:t>J. Li, T. Zhu, H. Ye, Q. Guan, S. You, R. Li, Y. Geng, J. Luo, Small.</w:t>
      </w:r>
      <w:r>
        <w:rPr>
          <w:b/>
          <w:bCs/>
        </w:rPr>
        <w:t xml:space="preserve"> 21</w:t>
      </w:r>
      <w:r>
        <w:t>, 2401545 (2024) Doi:10.1002/smll.202401545</w:t>
      </w:r>
    </w:p>
    <w:p w14:paraId="52AC7398">
      <w:pPr>
        <w:pStyle w:val="20"/>
        <w:framePr w:wrap="around"/>
        <w:ind w:left="720" w:hanging="720"/>
        <w:jc w:val="both"/>
      </w:pPr>
      <w:r>
        <w:t>2.</w:t>
      </w:r>
      <w:r>
        <w:tab/>
      </w:r>
      <w:r>
        <w:t xml:space="preserve">Q. Guan, S. You, Z.K. Zhu, R. Li, H. Ye, C. Zhang, H. Li, C. Ji, X. Liu, J. Luo, </w:t>
      </w:r>
      <w:bookmarkStart w:id="17" w:name="_Hlk208563010"/>
      <w:r>
        <w:t>Angew. Chem. Int. Edit</w:t>
      </w:r>
      <w:bookmarkEnd w:id="17"/>
      <w:r>
        <w:t xml:space="preserve">. </w:t>
      </w:r>
      <w:r>
        <w:rPr>
          <w:b/>
          <w:bCs/>
        </w:rPr>
        <w:t>63</w:t>
      </w:r>
      <w:r>
        <w:t>, e202320180 (2024) Doi:10.1002/anie.202320180</w:t>
      </w:r>
    </w:p>
    <w:p w14:paraId="4AA67CED">
      <w:pPr>
        <w:pStyle w:val="20"/>
        <w:framePr w:wrap="around"/>
        <w:ind w:left="720" w:hanging="720"/>
        <w:jc w:val="both"/>
      </w:pPr>
      <w:r>
        <w:t>3.</w:t>
      </w:r>
      <w:r>
        <w:tab/>
      </w:r>
      <w:r>
        <w:t xml:space="preserve">Z. Zhao, J. Hao, B. Jia, D. Chu, J. Pi, Y. Zhang, S. Zai, Y. Liang, Y. Li, Z. Feng, X. Zheng, M. Wei, L. Zhao, R. Shi, S.F. Liu, Y. Liu, ACS Energy Lett. </w:t>
      </w:r>
      <w:r>
        <w:rPr>
          <w:b/>
          <w:bCs/>
        </w:rPr>
        <w:t>9</w:t>
      </w:r>
      <w:r>
        <w:t>, 2758-2766 (2024) Doi:10.1021/acsenergylett.4c00590</w:t>
      </w:r>
    </w:p>
    <w:p w14:paraId="2CA9B289">
      <w:pPr>
        <w:pStyle w:val="20"/>
        <w:framePr w:wrap="around"/>
        <w:ind w:left="720" w:hanging="720"/>
        <w:jc w:val="both"/>
      </w:pPr>
      <w:r>
        <w:t>4.</w:t>
      </w:r>
      <w:r>
        <w:tab/>
      </w:r>
      <w:r>
        <w:t xml:space="preserve">M. Xia, J.H. Yuan, G. Niu, X. Du, L. Yin, W. Pan, J. Luo, Z. Li, H. Zhao, K.H. Xue, X. Miao, J. Tang, Adv. Funct. Mater. </w:t>
      </w:r>
      <w:r>
        <w:rPr>
          <w:b/>
          <w:bCs/>
        </w:rPr>
        <w:t>30</w:t>
      </w:r>
      <w:r>
        <w:t>, 1910648 (2020) Doi:10.1002/adfm.201910648</w:t>
      </w:r>
    </w:p>
    <w:p w14:paraId="6D7E3947">
      <w:pPr>
        <w:pStyle w:val="20"/>
        <w:framePr w:wrap="around"/>
        <w:ind w:left="720" w:hanging="720"/>
        <w:jc w:val="both"/>
      </w:pPr>
      <w:r>
        <w:t>5.</w:t>
      </w:r>
      <w:r>
        <w:tab/>
      </w:r>
      <w:r>
        <w:t xml:space="preserve">Y. Xu, J. Hu, X. Xiao, H. He, G. Tong, J. Chen, Y. He, Inorg. Chem. Front. </w:t>
      </w:r>
      <w:r>
        <w:rPr>
          <w:b/>
          <w:bCs/>
        </w:rPr>
        <w:t>9</w:t>
      </w:r>
      <w:r>
        <w:t>, 494-500 (2022) Doi:10.1039/d1qi01049b</w:t>
      </w:r>
    </w:p>
    <w:p w14:paraId="1FE6B188">
      <w:pPr>
        <w:pStyle w:val="20"/>
        <w:framePr w:wrap="around"/>
        <w:ind w:left="720" w:hanging="720"/>
        <w:jc w:val="both"/>
      </w:pPr>
      <w:r>
        <w:t>6.</w:t>
      </w:r>
      <w:r>
        <w:tab/>
      </w:r>
      <w:r>
        <w:t xml:space="preserve">M. Ge, S. Chen, X. Fu, Y. Feng, D. Wang, M. Yuan, J. Phys. Chem. C. </w:t>
      </w:r>
      <w:r>
        <w:rPr>
          <w:b/>
          <w:bCs/>
        </w:rPr>
        <w:t>126</w:t>
      </w:r>
      <w:r>
        <w:t>, 19417-19423 (2022) Doi:10.1021/acs.jpcc.2c05442</w:t>
      </w:r>
    </w:p>
    <w:p w14:paraId="23402FF1">
      <w:pPr>
        <w:pStyle w:val="20"/>
        <w:framePr w:wrap="around"/>
        <w:ind w:left="720" w:hanging="720"/>
        <w:jc w:val="both"/>
      </w:pPr>
      <w:r>
        <w:t>7.</w:t>
      </w:r>
      <w:r>
        <w:tab/>
      </w:r>
      <w:r>
        <w:t xml:space="preserve">C.F. Wang, H. Li, M.G. Li, Y. Cui, X. Song, Q.W. Wang, J.Y. Jiang, M.M. Hua, Q. Xu, K. Zhao, H.Y. Ye, Y. Zhang, Adv. Funct. Mater. </w:t>
      </w:r>
      <w:r>
        <w:rPr>
          <w:b/>
          <w:bCs/>
        </w:rPr>
        <w:t>31</w:t>
      </w:r>
      <w:r>
        <w:t>, 2009457 (2021) Doi:10.1002/adfm.202009457</w:t>
      </w:r>
    </w:p>
    <w:p w14:paraId="60AD5B40">
      <w:pPr>
        <w:pStyle w:val="20"/>
        <w:framePr w:wrap="around"/>
        <w:ind w:left="720" w:hanging="720"/>
        <w:jc w:val="both"/>
      </w:pPr>
      <w:r>
        <w:t>8.</w:t>
      </w:r>
      <w:r>
        <w:tab/>
      </w:r>
      <w:r>
        <w:t xml:space="preserve">X. Li, X. Du, P. Zhang, Y. Hua, L. Liu, G. Niu, G. Zhang, J. Tang, X. Tao, Sci. China Mater. </w:t>
      </w:r>
      <w:r>
        <w:rPr>
          <w:b/>
          <w:bCs/>
        </w:rPr>
        <w:t>64</w:t>
      </w:r>
      <w:r>
        <w:t>, 1427-1436 (2021) Doi:10.1007/s40843-020-1553-8</w:t>
      </w:r>
    </w:p>
    <w:p w14:paraId="69E43F46">
      <w:pPr>
        <w:pStyle w:val="20"/>
        <w:framePr w:wrap="around"/>
        <w:ind w:left="720" w:hanging="720"/>
        <w:jc w:val="both"/>
      </w:pPr>
      <w:r>
        <w:t>9.</w:t>
      </w:r>
      <w:r>
        <w:tab/>
      </w:r>
      <w:r>
        <w:t xml:space="preserve">Z. Xu, X. Liu, Y. Li, X. Liu, T. Yang, C. Ji, S. Han, Y. Xu, J. Luo, Z. Sun, Angew. Chem. Int. Edit. </w:t>
      </w:r>
      <w:r>
        <w:rPr>
          <w:b/>
          <w:bCs/>
        </w:rPr>
        <w:t>58</w:t>
      </w:r>
      <w:r>
        <w:t>, 15757-15761 (2019) Doi:10.1002/anie.201909815</w:t>
      </w:r>
    </w:p>
    <w:p w14:paraId="5DFD02AF">
      <w:pPr>
        <w:pStyle w:val="20"/>
        <w:framePr w:wrap="around"/>
        <w:ind w:left="720" w:hanging="720"/>
        <w:jc w:val="both"/>
      </w:pPr>
      <w:r>
        <w:t>10.</w:t>
      </w:r>
      <w:r>
        <w:tab/>
      </w:r>
      <w:r>
        <w:t xml:space="preserve">W. Guo, X. Liu, S. Han, Y. Liu, Z. Xu, M. Hong, J. Luo, Z. Sun, Angew. Chem. Int. Edit. </w:t>
      </w:r>
      <w:r>
        <w:rPr>
          <w:b/>
          <w:bCs/>
        </w:rPr>
        <w:t>59</w:t>
      </w:r>
      <w:r>
        <w:t>, 13879-13884 (2020) Doi:10.1002/anie.202004235</w:t>
      </w:r>
    </w:p>
    <w:p w14:paraId="347242B1">
      <w:pPr>
        <w:jc w:val="both"/>
      </w:pPr>
      <w:r>
        <w:fldChar w:fldCharType="end"/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794861505"/>
      <w:docPartObj>
        <w:docPartGallery w:val="autotext"/>
      </w:docPartObj>
    </w:sdtPr>
    <w:sdtContent>
      <w:p w14:paraId="7C7F6753">
        <w:pPr>
          <w:pStyle w:val="5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B0F417F">
    <w:pPr>
      <w:pStyle w:val="5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9F6A74"/>
    <w:multiLevelType w:val="multilevel"/>
    <w:tmpl w:val="6F9F6A74"/>
    <w:lvl w:ilvl="0" w:tentative="0">
      <w:start w:val="5"/>
      <w:numFmt w:val="upperLetter"/>
      <w:suff w:val="nothing"/>
      <w:lvlText w:val="%1-"/>
      <w:lvlJc w:val="left"/>
      <w:pPr>
        <w:ind w:left="0" w:firstLine="0"/>
      </w:pPr>
      <w:rPr>
        <w:rFonts w:hint="default" w:ascii="Times New Roman" w:hAnsi="Times New Roman" w:cs="Times New Roman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J Materials Science Copy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zev2zax4sdxf3edr06502z9v2xd9p9af9zp&quot;&gt;My EndNote Library&lt;record-ids&gt;&lt;item&gt;12&lt;/item&gt;&lt;item&gt;20&lt;/item&gt;&lt;item&gt;26&lt;/item&gt;&lt;item&gt;41&lt;/item&gt;&lt;item&gt;42&lt;/item&gt;&lt;item&gt;43&lt;/item&gt;&lt;item&gt;44&lt;/item&gt;&lt;item&gt;45&lt;/item&gt;&lt;item&gt;46&lt;/item&gt;&lt;item&gt;47&lt;/item&gt;&lt;/record-ids&gt;&lt;/item&gt;&lt;/Libraries&gt;"/>
  </w:docVars>
  <w:rsids>
    <w:rsidRoot w:val="00D6552A"/>
    <w:rsid w:val="00024F68"/>
    <w:rsid w:val="000417E4"/>
    <w:rsid w:val="0008251B"/>
    <w:rsid w:val="000830E8"/>
    <w:rsid w:val="00093384"/>
    <w:rsid w:val="00095B77"/>
    <w:rsid w:val="000B0C81"/>
    <w:rsid w:val="000B1E30"/>
    <w:rsid w:val="000B3551"/>
    <w:rsid w:val="000C0EF4"/>
    <w:rsid w:val="00125FDE"/>
    <w:rsid w:val="001260F9"/>
    <w:rsid w:val="0013231B"/>
    <w:rsid w:val="00137F06"/>
    <w:rsid w:val="00150E4F"/>
    <w:rsid w:val="00154ABA"/>
    <w:rsid w:val="0016080C"/>
    <w:rsid w:val="00161296"/>
    <w:rsid w:val="00196E31"/>
    <w:rsid w:val="001C41C7"/>
    <w:rsid w:val="001E1A41"/>
    <w:rsid w:val="001F1DE4"/>
    <w:rsid w:val="001F7CC2"/>
    <w:rsid w:val="00213C94"/>
    <w:rsid w:val="002348A0"/>
    <w:rsid w:val="00245D39"/>
    <w:rsid w:val="00265D6A"/>
    <w:rsid w:val="00282272"/>
    <w:rsid w:val="002D64E9"/>
    <w:rsid w:val="002F4FE4"/>
    <w:rsid w:val="003052D2"/>
    <w:rsid w:val="00305DD3"/>
    <w:rsid w:val="0031016A"/>
    <w:rsid w:val="00316F70"/>
    <w:rsid w:val="003456FA"/>
    <w:rsid w:val="00363DF3"/>
    <w:rsid w:val="00367551"/>
    <w:rsid w:val="003B117D"/>
    <w:rsid w:val="003C5AEB"/>
    <w:rsid w:val="003E2C1E"/>
    <w:rsid w:val="003E7534"/>
    <w:rsid w:val="003F62FA"/>
    <w:rsid w:val="00402910"/>
    <w:rsid w:val="00415D1A"/>
    <w:rsid w:val="00415DB7"/>
    <w:rsid w:val="00415EEF"/>
    <w:rsid w:val="00470D1C"/>
    <w:rsid w:val="00490D53"/>
    <w:rsid w:val="00494E5B"/>
    <w:rsid w:val="00497318"/>
    <w:rsid w:val="004C0D97"/>
    <w:rsid w:val="004F5EE3"/>
    <w:rsid w:val="00501150"/>
    <w:rsid w:val="00510A2E"/>
    <w:rsid w:val="00531E61"/>
    <w:rsid w:val="005323A2"/>
    <w:rsid w:val="00543DE5"/>
    <w:rsid w:val="00554D45"/>
    <w:rsid w:val="005552ED"/>
    <w:rsid w:val="00571178"/>
    <w:rsid w:val="005747DF"/>
    <w:rsid w:val="00597E37"/>
    <w:rsid w:val="005A1194"/>
    <w:rsid w:val="005A1DA4"/>
    <w:rsid w:val="005B448F"/>
    <w:rsid w:val="005E01DA"/>
    <w:rsid w:val="005E3FB5"/>
    <w:rsid w:val="005F43F7"/>
    <w:rsid w:val="005F54AD"/>
    <w:rsid w:val="006026C8"/>
    <w:rsid w:val="00620FB9"/>
    <w:rsid w:val="00630B8B"/>
    <w:rsid w:val="00640C8E"/>
    <w:rsid w:val="00662BDD"/>
    <w:rsid w:val="00672666"/>
    <w:rsid w:val="00681386"/>
    <w:rsid w:val="006834BB"/>
    <w:rsid w:val="006840F0"/>
    <w:rsid w:val="006B267C"/>
    <w:rsid w:val="006B55DD"/>
    <w:rsid w:val="006B71CA"/>
    <w:rsid w:val="006E28D9"/>
    <w:rsid w:val="006F6790"/>
    <w:rsid w:val="0070420B"/>
    <w:rsid w:val="00715FEB"/>
    <w:rsid w:val="00733EE4"/>
    <w:rsid w:val="00734845"/>
    <w:rsid w:val="0077198B"/>
    <w:rsid w:val="00773357"/>
    <w:rsid w:val="00777BF8"/>
    <w:rsid w:val="00784D6E"/>
    <w:rsid w:val="00793D22"/>
    <w:rsid w:val="00796251"/>
    <w:rsid w:val="007A167A"/>
    <w:rsid w:val="007B10BE"/>
    <w:rsid w:val="007B1DB3"/>
    <w:rsid w:val="007B349A"/>
    <w:rsid w:val="007B43DE"/>
    <w:rsid w:val="007B4906"/>
    <w:rsid w:val="007B4ADA"/>
    <w:rsid w:val="007B4E8B"/>
    <w:rsid w:val="007C1B8B"/>
    <w:rsid w:val="007C2E75"/>
    <w:rsid w:val="007E2E9B"/>
    <w:rsid w:val="007F018D"/>
    <w:rsid w:val="007F368D"/>
    <w:rsid w:val="0081517D"/>
    <w:rsid w:val="00824DFB"/>
    <w:rsid w:val="00835A8C"/>
    <w:rsid w:val="008543A8"/>
    <w:rsid w:val="00862A98"/>
    <w:rsid w:val="00863716"/>
    <w:rsid w:val="0087109C"/>
    <w:rsid w:val="00893FF9"/>
    <w:rsid w:val="008B1480"/>
    <w:rsid w:val="008B3BAF"/>
    <w:rsid w:val="008E111D"/>
    <w:rsid w:val="008E583E"/>
    <w:rsid w:val="00902192"/>
    <w:rsid w:val="00933F03"/>
    <w:rsid w:val="00936960"/>
    <w:rsid w:val="00937036"/>
    <w:rsid w:val="00961A72"/>
    <w:rsid w:val="0096672D"/>
    <w:rsid w:val="00982B4C"/>
    <w:rsid w:val="0098668D"/>
    <w:rsid w:val="00986FBF"/>
    <w:rsid w:val="009A1696"/>
    <w:rsid w:val="009A5BC0"/>
    <w:rsid w:val="009C20EE"/>
    <w:rsid w:val="009D05A4"/>
    <w:rsid w:val="009D541D"/>
    <w:rsid w:val="009E76BC"/>
    <w:rsid w:val="00A069E4"/>
    <w:rsid w:val="00A101CB"/>
    <w:rsid w:val="00A179B1"/>
    <w:rsid w:val="00A44570"/>
    <w:rsid w:val="00A54DDB"/>
    <w:rsid w:val="00A564BA"/>
    <w:rsid w:val="00A72010"/>
    <w:rsid w:val="00A82AD4"/>
    <w:rsid w:val="00A85CC5"/>
    <w:rsid w:val="00AB5E89"/>
    <w:rsid w:val="00AC6DB5"/>
    <w:rsid w:val="00AD0ACF"/>
    <w:rsid w:val="00AF038D"/>
    <w:rsid w:val="00B003DB"/>
    <w:rsid w:val="00B01D33"/>
    <w:rsid w:val="00B13C6D"/>
    <w:rsid w:val="00B15194"/>
    <w:rsid w:val="00B216EA"/>
    <w:rsid w:val="00B25C90"/>
    <w:rsid w:val="00B266A5"/>
    <w:rsid w:val="00B5590A"/>
    <w:rsid w:val="00B72717"/>
    <w:rsid w:val="00B76711"/>
    <w:rsid w:val="00BF0039"/>
    <w:rsid w:val="00C0150B"/>
    <w:rsid w:val="00C04A8A"/>
    <w:rsid w:val="00C1417F"/>
    <w:rsid w:val="00C325C6"/>
    <w:rsid w:val="00C449E1"/>
    <w:rsid w:val="00C506D4"/>
    <w:rsid w:val="00C73269"/>
    <w:rsid w:val="00C811EA"/>
    <w:rsid w:val="00C9486B"/>
    <w:rsid w:val="00C94DCB"/>
    <w:rsid w:val="00C955F2"/>
    <w:rsid w:val="00CA25D6"/>
    <w:rsid w:val="00CA35ED"/>
    <w:rsid w:val="00CA6956"/>
    <w:rsid w:val="00CA79E5"/>
    <w:rsid w:val="00CB0C82"/>
    <w:rsid w:val="00CB4682"/>
    <w:rsid w:val="00CC0A22"/>
    <w:rsid w:val="00CC23BF"/>
    <w:rsid w:val="00CC3F84"/>
    <w:rsid w:val="00D039C9"/>
    <w:rsid w:val="00D04CBB"/>
    <w:rsid w:val="00D05454"/>
    <w:rsid w:val="00D061A6"/>
    <w:rsid w:val="00D07F99"/>
    <w:rsid w:val="00D459B4"/>
    <w:rsid w:val="00D51014"/>
    <w:rsid w:val="00D51A91"/>
    <w:rsid w:val="00D5244A"/>
    <w:rsid w:val="00D53669"/>
    <w:rsid w:val="00D53AB0"/>
    <w:rsid w:val="00D6552A"/>
    <w:rsid w:val="00D77E48"/>
    <w:rsid w:val="00D84FD4"/>
    <w:rsid w:val="00DD4D0E"/>
    <w:rsid w:val="00DD52EB"/>
    <w:rsid w:val="00DF01E6"/>
    <w:rsid w:val="00DF36B8"/>
    <w:rsid w:val="00E14036"/>
    <w:rsid w:val="00E16BF9"/>
    <w:rsid w:val="00E17B8F"/>
    <w:rsid w:val="00E23C88"/>
    <w:rsid w:val="00E42601"/>
    <w:rsid w:val="00E42E49"/>
    <w:rsid w:val="00E56D46"/>
    <w:rsid w:val="00E62412"/>
    <w:rsid w:val="00E71BA2"/>
    <w:rsid w:val="00E81EFC"/>
    <w:rsid w:val="00E8279C"/>
    <w:rsid w:val="00E955F8"/>
    <w:rsid w:val="00ED3D7A"/>
    <w:rsid w:val="00ED44B4"/>
    <w:rsid w:val="00ED5346"/>
    <w:rsid w:val="00EE0884"/>
    <w:rsid w:val="00EF7332"/>
    <w:rsid w:val="00F0428B"/>
    <w:rsid w:val="00F27340"/>
    <w:rsid w:val="00F3688F"/>
    <w:rsid w:val="00F3749B"/>
    <w:rsid w:val="00F452A7"/>
    <w:rsid w:val="00F46030"/>
    <w:rsid w:val="00F47CA6"/>
    <w:rsid w:val="00F81A92"/>
    <w:rsid w:val="00F8770C"/>
    <w:rsid w:val="00F95E68"/>
    <w:rsid w:val="00FB4ED9"/>
    <w:rsid w:val="00FC7261"/>
    <w:rsid w:val="00FC761B"/>
    <w:rsid w:val="00FD6857"/>
    <w:rsid w:val="00FE1E32"/>
    <w:rsid w:val="00FE372C"/>
    <w:rsid w:val="00FE3C4A"/>
    <w:rsid w:val="00FF495C"/>
    <w:rsid w:val="00FF50F4"/>
    <w:rsid w:val="00FF552F"/>
    <w:rsid w:val="00FF70B2"/>
    <w:rsid w:val="13197AE5"/>
    <w:rsid w:val="24266D16"/>
    <w:rsid w:val="2EC67F6E"/>
    <w:rsid w:val="4DA40F93"/>
    <w:rsid w:val="578A31A5"/>
    <w:rsid w:val="5D7734CC"/>
    <w:rsid w:val="5DA91CE4"/>
    <w:rsid w:val="628801F8"/>
    <w:rsid w:val="652A4208"/>
    <w:rsid w:val="6D812D26"/>
    <w:rsid w:val="6E702E21"/>
    <w:rsid w:val="6F2F210F"/>
    <w:rsid w:val="77F66600"/>
    <w:rsid w:val="7BB43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Times New Roman" w:hAnsi="Times New Roman" w:eastAsia="宋体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1"/>
    <w:link w:val="22"/>
    <w:qFormat/>
    <w:uiPriority w:val="9"/>
    <w:pPr>
      <w:widowControl/>
      <w:spacing w:before="100" w:beforeAutospacing="1" w:after="100" w:afterAutospacing="1"/>
      <w:outlineLvl w:val="2"/>
    </w:pPr>
    <w:rPr>
      <w:rFonts w:ascii="宋体" w:hAnsi="宋体" w:cs="宋体"/>
      <w:b/>
      <w:bCs/>
      <w:kern w:val="0"/>
      <w:sz w:val="27"/>
      <w:szCs w:val="27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23"/>
    <w:unhideWhenUsed/>
    <w:qFormat/>
    <w:uiPriority w:val="99"/>
  </w:style>
  <w:style w:type="paragraph" w:styleId="5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6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annotation subject"/>
    <w:basedOn w:val="4"/>
    <w:next w:val="4"/>
    <w:link w:val="24"/>
    <w:semiHidden/>
    <w:unhideWhenUsed/>
    <w:qFormat/>
    <w:uiPriority w:val="99"/>
    <w:rPr>
      <w:b/>
      <w:bCs/>
    </w:rPr>
  </w:style>
  <w:style w:type="table" w:styleId="9">
    <w:name w:val="Table Grid"/>
    <w:basedOn w:val="8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qFormat/>
    <w:uiPriority w:val="22"/>
    <w:rPr>
      <w:b/>
      <w:bCs/>
    </w:rPr>
  </w:style>
  <w:style w:type="character" w:styleId="12">
    <w:name w:val="Emphasis"/>
    <w:basedOn w:val="10"/>
    <w:qFormat/>
    <w:uiPriority w:val="20"/>
    <w:rPr>
      <w:i/>
      <w:iCs/>
    </w:rPr>
  </w:style>
  <w:style w:type="character" w:styleId="13">
    <w:name w:val="annotation reference"/>
    <w:basedOn w:val="10"/>
    <w:semiHidden/>
    <w:unhideWhenUsed/>
    <w:qFormat/>
    <w:uiPriority w:val="99"/>
    <w:rPr>
      <w:sz w:val="21"/>
      <w:szCs w:val="21"/>
    </w:rPr>
  </w:style>
  <w:style w:type="character" w:customStyle="1" w:styleId="14">
    <w:name w:val="页眉 字符"/>
    <w:basedOn w:val="10"/>
    <w:link w:val="6"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15">
    <w:name w:val="页脚 字符"/>
    <w:basedOn w:val="10"/>
    <w:link w:val="5"/>
    <w:uiPriority w:val="99"/>
    <w:rPr>
      <w:rFonts w:ascii="Times New Roman" w:hAnsi="Times New Roman" w:eastAsia="宋体"/>
      <w:sz w:val="18"/>
      <w:szCs w:val="18"/>
    </w:rPr>
  </w:style>
  <w:style w:type="table" w:customStyle="1" w:styleId="16">
    <w:name w:val="网格表 1 浅色1"/>
    <w:basedOn w:val="8"/>
    <w:uiPriority w:val="46"/>
    <w:tblPr>
      <w:tblBorders>
        <w:top w:val="single" w:color="999999" w:themeColor="text1" w:themeTint="66" w:sz="4" w:space="0"/>
        <w:left w:val="single" w:color="999999" w:themeColor="text1" w:themeTint="66" w:sz="4" w:space="0"/>
        <w:bottom w:val="single" w:color="999999" w:themeColor="text1" w:themeTint="66" w:sz="4" w:space="0"/>
        <w:right w:val="single" w:color="999999" w:themeColor="text1" w:themeTint="66" w:sz="4" w:space="0"/>
        <w:insideH w:val="single" w:color="999999" w:themeColor="text1" w:themeTint="66" w:sz="4" w:space="0"/>
        <w:insideV w:val="single" w:color="999999" w:themeColor="text1" w:themeTint="66" w:sz="4" w:space="0"/>
      </w:tblBorders>
    </w:tblPr>
    <w:tblStylePr w:type="firstRow">
      <w:rPr>
        <w:b/>
        <w:bCs/>
      </w:rPr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cPr>
        <w:tcBorders>
          <w:top w:val="double" w:color="666666" w:themeColor="tex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无格式表格 21"/>
    <w:basedOn w:val="8"/>
    <w:autoRedefine/>
    <w:qFormat/>
    <w:uiPriority w:val="42"/>
    <w:rPr>
      <w:rFonts w:ascii="Times New Roman" w:hAnsi="Times New Roman" w:eastAsia="宋体" w:cs="Times New Roman"/>
    </w:rPr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bC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2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1Horz">
      <w:tcPr>
        <w:tcBorders>
          <w:top w:val="single" w:color="7E7E7E" w:themeColor="text1" w:themeTint="80" w:sz="4" w:space="0"/>
          <w:bottom w:val="single" w:color="7E7E7E" w:themeColor="text1" w:themeTint="80" w:sz="4" w:space="0"/>
        </w:tcBorders>
      </w:tcPr>
    </w:tblStylePr>
  </w:style>
  <w:style w:type="paragraph" w:customStyle="1" w:styleId="18">
    <w:name w:val="EndNote Bibliography Title"/>
    <w:basedOn w:val="1"/>
    <w:link w:val="19"/>
    <w:uiPriority w:val="0"/>
    <w:pPr>
      <w:framePr w:hSpace="180" w:wrap="around" w:vAnchor="text" w:hAnchor="page" w:x="1807" w:y="108"/>
      <w:suppressOverlap/>
      <w:jc w:val="center"/>
    </w:pPr>
    <w:rPr>
      <w:rFonts w:cs="Times New Roman"/>
      <w:sz w:val="20"/>
    </w:rPr>
  </w:style>
  <w:style w:type="character" w:customStyle="1" w:styleId="19">
    <w:name w:val="EndNote Bibliography Title 字符"/>
    <w:basedOn w:val="10"/>
    <w:link w:val="18"/>
    <w:qFormat/>
    <w:uiPriority w:val="0"/>
    <w:rPr>
      <w:rFonts w:ascii="Times New Roman" w:hAnsi="Times New Roman" w:eastAsia="宋体" w:cs="Times New Roman"/>
      <w:kern w:val="2"/>
      <w:szCs w:val="22"/>
    </w:rPr>
  </w:style>
  <w:style w:type="paragraph" w:customStyle="1" w:styleId="20">
    <w:name w:val="EndNote Bibliography"/>
    <w:basedOn w:val="1"/>
    <w:link w:val="21"/>
    <w:qFormat/>
    <w:uiPriority w:val="0"/>
    <w:pPr>
      <w:framePr w:hSpace="180" w:wrap="around" w:vAnchor="text" w:hAnchor="page" w:x="1807" w:y="108"/>
      <w:suppressOverlap/>
    </w:pPr>
    <w:rPr>
      <w:rFonts w:cs="Times New Roman"/>
      <w:sz w:val="20"/>
    </w:rPr>
  </w:style>
  <w:style w:type="character" w:customStyle="1" w:styleId="21">
    <w:name w:val="EndNote Bibliography 字符"/>
    <w:basedOn w:val="10"/>
    <w:link w:val="20"/>
    <w:qFormat/>
    <w:uiPriority w:val="0"/>
    <w:rPr>
      <w:rFonts w:ascii="Times New Roman" w:hAnsi="Times New Roman" w:eastAsia="宋体" w:cs="Times New Roman"/>
      <w:kern w:val="2"/>
      <w:szCs w:val="22"/>
    </w:rPr>
  </w:style>
  <w:style w:type="character" w:customStyle="1" w:styleId="22">
    <w:name w:val="标题 3 字符"/>
    <w:basedOn w:val="10"/>
    <w:link w:val="3"/>
    <w:qFormat/>
    <w:uiPriority w:val="9"/>
    <w:rPr>
      <w:rFonts w:ascii="宋体" w:hAnsi="宋体" w:eastAsia="宋体" w:cs="宋体"/>
      <w:b/>
      <w:bCs/>
      <w:kern w:val="0"/>
      <w:sz w:val="27"/>
      <w:szCs w:val="27"/>
    </w:rPr>
  </w:style>
  <w:style w:type="character" w:customStyle="1" w:styleId="23">
    <w:name w:val="批注文字 字符"/>
    <w:basedOn w:val="10"/>
    <w:link w:val="4"/>
    <w:qFormat/>
    <w:uiPriority w:val="99"/>
    <w:rPr>
      <w:rFonts w:ascii="Times New Roman" w:hAnsi="Times New Roman" w:eastAsia="宋体"/>
    </w:rPr>
  </w:style>
  <w:style w:type="character" w:customStyle="1" w:styleId="24">
    <w:name w:val="批注主题 字符"/>
    <w:basedOn w:val="23"/>
    <w:link w:val="7"/>
    <w:semiHidden/>
    <w:qFormat/>
    <w:uiPriority w:val="99"/>
    <w:rPr>
      <w:rFonts w:ascii="Times New Roman" w:hAnsi="Times New Roman" w:eastAsia="宋体"/>
      <w:b/>
      <w:bCs/>
    </w:rPr>
  </w:style>
  <w:style w:type="paragraph" w:customStyle="1" w:styleId="25">
    <w:name w:val="修订1"/>
    <w:hidden/>
    <w:semiHidden/>
    <w:uiPriority w:val="99"/>
    <w:rPr>
      <w:rFonts w:ascii="Times New Roman" w:hAnsi="Times New Roman" w:eastAsia="宋体" w:cstheme="minorBidi"/>
      <w:kern w:val="2"/>
      <w:sz w:val="21"/>
      <w:szCs w:val="22"/>
      <w:lang w:val="en-US" w:eastAsia="zh-CN" w:bidi="ar-SA"/>
    </w:rPr>
  </w:style>
  <w:style w:type="character" w:customStyle="1" w:styleId="26">
    <w:name w:val="标题 1 字符"/>
    <w:basedOn w:val="10"/>
    <w:link w:val="2"/>
    <w:qFormat/>
    <w:uiPriority w:val="9"/>
    <w:rPr>
      <w:rFonts w:ascii="Times New Roman" w:hAnsi="Times New Roman" w:eastAsia="宋体"/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8" Type="http://schemas.openxmlformats.org/officeDocument/2006/relationships/image" Target="media/image4.tiff"/><Relationship Id="rId7" Type="http://schemas.openxmlformats.org/officeDocument/2006/relationships/image" Target="media/image3.tiff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tiff"/><Relationship Id="rId18" Type="http://schemas.openxmlformats.org/officeDocument/2006/relationships/image" Target="media/image14.tiff"/><Relationship Id="rId17" Type="http://schemas.openxmlformats.org/officeDocument/2006/relationships/image" Target="media/image13.tiff"/><Relationship Id="rId16" Type="http://schemas.openxmlformats.org/officeDocument/2006/relationships/image" Target="media/image12.tiff"/><Relationship Id="rId15" Type="http://schemas.openxmlformats.org/officeDocument/2006/relationships/image" Target="media/image11.tiff"/><Relationship Id="rId14" Type="http://schemas.openxmlformats.org/officeDocument/2006/relationships/image" Target="media/image10.tiff"/><Relationship Id="rId13" Type="http://schemas.openxmlformats.org/officeDocument/2006/relationships/image" Target="media/image9.tiff"/><Relationship Id="rId12" Type="http://schemas.openxmlformats.org/officeDocument/2006/relationships/image" Target="media/image8.tiff"/><Relationship Id="rId11" Type="http://schemas.openxmlformats.org/officeDocument/2006/relationships/image" Target="media/image7.tiff"/><Relationship Id="rId10" Type="http://schemas.openxmlformats.org/officeDocument/2006/relationships/image" Target="media/image6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74C8D2-02CB-42BE-902F-FA57B451C6D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</Pages>
  <Words>1157</Words>
  <Characters>6938</Characters>
  <Lines>142</Lines>
  <Paragraphs>40</Paragraphs>
  <TotalTime>1</TotalTime>
  <ScaleCrop>false</ScaleCrop>
  <LinksUpToDate>false</LinksUpToDate>
  <CharactersWithSpaces>7691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2025-07-22T08:27:00Z</dcterms:created>
  <dc:creator>张 华宇硕</dc:creator>
  <cp:lastModifiedBy>.</cp:lastModifiedBy>
  <dcterms:modified xsi:type="dcterms:W3CDTF">2025-09-12T13:27:46Z</dcterms:modified>
  <cp:revision>58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eyJoZGlkIjoiZjFmZWIzNDg2MmIzZjExOTIzMmViNTBmYTMwYTk0ZWYiLCJ1c2VySWQiOiI0NDE1NjIzNzIifQ==</vt:lpwstr>
  </property>
  <property fmtid="{D5CDD505-2E9C-101B-9397-08002B2CF9AE}" pid="3" name="KSOProductBuildVer">
    <vt:lpwstr>2052-12.1.0.22529</vt:lpwstr>
  </property>
  <property fmtid="{D5CDD505-2E9C-101B-9397-08002B2CF9AE}" pid="4" name="ICV">
    <vt:lpwstr>D34271317FD140FF8CE89536B9B7D4BA_12</vt:lpwstr>
  </property>
</Properties>
</file>