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506B" w14:textId="51743E8B" w:rsidR="00777BBA" w:rsidRDefault="00056C66" w:rsidP="008A30E3">
      <w:pPr>
        <w:pStyle w:val="Titre1"/>
        <w:jc w:val="center"/>
        <w:rPr>
          <w:rFonts w:ascii="Arial" w:hAnsi="Arial" w:cs="Arial"/>
          <w:b/>
          <w:i/>
          <w:color w:val="000000" w:themeColor="text1"/>
          <w:sz w:val="24"/>
          <w:szCs w:val="24"/>
        </w:rPr>
      </w:pPr>
      <w:r>
        <w:rPr>
          <w:rFonts w:ascii="Arial" w:hAnsi="Arial" w:cs="Arial"/>
          <w:b/>
          <w:i/>
          <w:color w:val="000000" w:themeColor="text1"/>
          <w:sz w:val="24"/>
          <w:szCs w:val="24"/>
        </w:rPr>
        <w:t>Long-term stability of ECoG signals measured with WIMAGINE implant</w:t>
      </w:r>
    </w:p>
    <w:p w14:paraId="73EE89B7" w14:textId="77777777" w:rsidR="008A30E3" w:rsidRPr="008A30E3" w:rsidRDefault="008A30E3" w:rsidP="008A30E3"/>
    <w:p w14:paraId="0B902029" w14:textId="0A8F6D35" w:rsidR="00A56F3A" w:rsidRDefault="00056C66" w:rsidP="00FC4F9D">
      <w:pPr>
        <w:tabs>
          <w:tab w:val="left" w:pos="5670"/>
        </w:tabs>
        <w:jc w:val="both"/>
        <w:rPr>
          <w:rFonts w:ascii="Arial" w:hAnsi="Arial" w:cs="Arial"/>
          <w:sz w:val="24"/>
          <w:szCs w:val="24"/>
        </w:rPr>
      </w:pPr>
      <w:r w:rsidRPr="00056C66">
        <w:rPr>
          <w:rFonts w:ascii="Arial" w:hAnsi="Arial" w:cs="Arial"/>
          <w:sz w:val="24"/>
          <w:szCs w:val="24"/>
        </w:rPr>
        <w:t xml:space="preserve">For a chronic </w:t>
      </w:r>
      <w:r w:rsidR="00E46E06">
        <w:rPr>
          <w:rFonts w:ascii="Arial" w:hAnsi="Arial" w:cs="Arial"/>
          <w:sz w:val="24"/>
          <w:szCs w:val="24"/>
        </w:rPr>
        <w:t>BCI</w:t>
      </w:r>
      <w:r w:rsidRPr="00056C66">
        <w:rPr>
          <w:rFonts w:ascii="Arial" w:hAnsi="Arial" w:cs="Arial"/>
          <w:sz w:val="24"/>
          <w:szCs w:val="24"/>
        </w:rPr>
        <w:t xml:space="preserve"> application, it is crucial to ensure the stability of the recorded signal. </w:t>
      </w:r>
      <w:r>
        <w:rPr>
          <w:rFonts w:ascii="Arial" w:hAnsi="Arial" w:cs="Arial"/>
          <w:sz w:val="24"/>
          <w:szCs w:val="24"/>
        </w:rPr>
        <w:t>In comparison to no</w:t>
      </w:r>
      <w:r w:rsidR="00BF7BEE">
        <w:rPr>
          <w:rFonts w:ascii="Arial" w:hAnsi="Arial" w:cs="Arial"/>
          <w:sz w:val="24"/>
          <w:szCs w:val="24"/>
        </w:rPr>
        <w:t xml:space="preserve">n-invasive techniques and microelectrode arrays, </w:t>
      </w:r>
      <w:r w:rsidR="00BF7BEE" w:rsidRPr="00056C66">
        <w:rPr>
          <w:rFonts w:ascii="Arial" w:hAnsi="Arial" w:cs="Arial"/>
          <w:sz w:val="24"/>
          <w:szCs w:val="24"/>
        </w:rPr>
        <w:t>ECoG recordings have shown promising potential in terms of signal longevity</w:t>
      </w:r>
      <w:r w:rsidR="00315454">
        <w:rPr>
          <w:rFonts w:ascii="Arial" w:hAnsi="Arial" w:cs="Arial"/>
          <w:sz w:val="24"/>
          <w:szCs w:val="24"/>
        </w:rPr>
        <w:fldChar w:fldCharType="begin"/>
      </w:r>
      <w:r w:rsidR="00315454">
        <w:rPr>
          <w:rFonts w:ascii="Arial" w:hAnsi="Arial" w:cs="Arial"/>
          <w:sz w:val="24"/>
          <w:szCs w:val="24"/>
        </w:rPr>
        <w:instrText xml:space="preserve"> ADDIN ZOTERO_ITEM CSL_CITATION {"citationID":"1YTKyZDX","properties":{"formattedCitation":"\\super 1,2\\nosupersub{}","plainCitation":"1,2","noteIndex":0},"citationItems":[{"id":831,"uris":["http://zotero.org/users/12055314/items/Z8KBCRDZ"],"itemData":{"id":831,"type":"article-journal","abstract":"Brain–machine interfaces (BMIs) employ the electrical activity generated by cortical neurons directly for controlling external devices and have been conceived as a means for restoring human cognitive or sensory-motor functions. The dominant approach in BMI research has been to decode motor variables based on single-unit activity (SUA). Unfortunately, this approach suffers from poor long-term stability and daily recalibration is normally required to maintain reliable performance. A possible alternative is BMIs based on electrocorticograms (ECoGs), which measure population activity and may provide more durable and stable recording. However, the level of long-term stability that ECoG-based decoding can offer remains unclear. Here we propose a novel ECoG-based decoding paradigm and show that we have successfully decoded hand positions and arm joint angles during an asynchronous food-reaching task in monkeys when explicit cues prompting the onset of movement were not required. Performance using our ECoG-based decoder was comparable to existing SUA-based systems while evincing far superior stability and durability. In addition, the same decoder could be used for months without any drift in accuracy or recalibration. These results were achieved by incorporating the spatiospectro-temporal integration of activity across multiple cortical areas to compensate for the lower fidelity of ECoG signals. These results show the feasibility of high-performance, chronic and versatile ECoG-based neuroprosthetic devices for real-life applications. This new method provides a stable platform for investigating cortical correlates for understanding motor control, sensory perception, and high-level cognitive processes.","container-title":"Frontiers in Neuroengineering","DOI":"10.3389/fneng.2010.00003","ISSN":"16626443","journalAbbreviation":"Front.Neuroeng.","language":"en","source":"DOI.org (Crossref)","title":"Long-term asynchronous decoding of arm motion using electrocorticographic signals in monkey","URL":"http://journal.frontiersin.org/article/10.3389/fneng.2010.00003/abstract","author":[{"literal":"Chao"}],"accessed":{"date-parts":[["2025",3,20]]},"issued":{"date-parts":[["2010"]]}}},{"id":830,"uris":["http://zotero.org/users/12055314/items/7UMFBB78"],"itemData":{"id":830,"type":"article-journal","abstract":"Objective: Subdural electrocorticography (ECoG) can provide a robust control signal for a brain–computer interface (BCI). However, the long-term recording properties of ECoG are poorly understood as most ECoG studies in the BCI ﬁeld have only used signals recorded for less than 28 days. We assessed human ECoG recordings over durations of many months to investigate changes to recording quality that occur with long-term implantation. Methods: We examined changes in signal properties over time from 15 ambulatory humans who had continuous subdural ECoG monitoring for 184–766 days. Results: Individual electrodes demonstrated varying changes in frequency power characteristics over time within individual patients and between patients. Group level analyses demonstrated that there were only small changes in effective signal bandwidth and spectral band power across months. High-gamma signals could be recorded throughout the study, though there was a decline in signal power for some electrodes. Conclusion: ECoG-based BCI systems can robustly record high-frequency activity over multiple years, albeit with marked intersubject variability. Signiﬁcance: Group level results demonstrated that ECoG is a promising modality for long-term BCI and neural prosthesis applications.","container-title":"IEEE Transactions on Biomedical Engineering","DOI":"10.1109/TBME.2017.2768442","ISSN":"0018-9294, 1558-2531","issue":"2","journalAbbreviation":"IEEE Trans. Biomed. Eng.","language":"en","license":"https://ieeexplore.ieee.org/Xplorehelp/downloads/license-information/IEEE.html","page":"344-352","source":"DOI.org (Crossref)","title":"Consistency of Long-Term Subdural Electrocorticography in Humans","volume":"65","author":[{"family":"Nurse","given":"Ewan S."},{"family":"John","given":"Sam E."},{"family":"Freestone","given":"Dean R."},{"family":"Oxley","given":"Thomas J."},{"family":"Ung","given":"Hoameng"},{"family":"Berkovic","given":"Samuel F."},{"family":"O'Brien","given":"Terence J."},{"family":"Cook","given":"Mark J."},{"family":"Grayden","given":"David B."}],"issued":{"date-parts":[["2018",2]]}}}],"schema":"https://github.com/citation-style-language/schema/raw/master/csl-citation.json"} </w:instrText>
      </w:r>
      <w:r w:rsidR="00315454">
        <w:rPr>
          <w:rFonts w:ascii="Arial" w:hAnsi="Arial" w:cs="Arial"/>
          <w:sz w:val="24"/>
          <w:szCs w:val="24"/>
        </w:rPr>
        <w:fldChar w:fldCharType="separate"/>
      </w:r>
      <w:r w:rsidR="00315454" w:rsidRPr="00315454">
        <w:rPr>
          <w:rFonts w:ascii="Arial" w:hAnsi="Arial" w:cs="Arial"/>
          <w:sz w:val="24"/>
          <w:szCs w:val="24"/>
          <w:vertAlign w:val="superscript"/>
        </w:rPr>
        <w:t>1,2</w:t>
      </w:r>
      <w:r w:rsidR="00315454">
        <w:rPr>
          <w:rFonts w:ascii="Arial" w:hAnsi="Arial" w:cs="Arial"/>
          <w:sz w:val="24"/>
          <w:szCs w:val="24"/>
        </w:rPr>
        <w:fldChar w:fldCharType="end"/>
      </w:r>
      <w:r w:rsidR="00BF7BEE">
        <w:rPr>
          <w:rFonts w:ascii="Arial" w:hAnsi="Arial" w:cs="Arial"/>
          <w:sz w:val="24"/>
          <w:szCs w:val="24"/>
        </w:rPr>
        <w:t xml:space="preserve">. </w:t>
      </w:r>
      <w:r w:rsidR="00B178F1">
        <w:rPr>
          <w:rFonts w:ascii="Arial" w:hAnsi="Arial" w:cs="Arial"/>
          <w:sz w:val="24"/>
          <w:szCs w:val="24"/>
        </w:rPr>
        <w:t xml:space="preserve">In particular, using epidural ECoG WIMAGINE implant, stability of the recordings </w:t>
      </w:r>
      <w:r w:rsidR="00320A56">
        <w:rPr>
          <w:rFonts w:ascii="Arial" w:hAnsi="Arial" w:cs="Arial"/>
          <w:sz w:val="24"/>
          <w:szCs w:val="24"/>
        </w:rPr>
        <w:t xml:space="preserve">over 3 years </w:t>
      </w:r>
      <w:r w:rsidR="00B178F1">
        <w:rPr>
          <w:rFonts w:ascii="Arial" w:hAnsi="Arial" w:cs="Arial"/>
          <w:sz w:val="24"/>
          <w:szCs w:val="24"/>
        </w:rPr>
        <w:t>have been demonstrated in 2021</w:t>
      </w:r>
      <w:r w:rsidR="00315454">
        <w:rPr>
          <w:rFonts w:ascii="Arial" w:hAnsi="Arial" w:cs="Arial"/>
          <w:sz w:val="24"/>
          <w:szCs w:val="24"/>
        </w:rPr>
        <w:fldChar w:fldCharType="begin"/>
      </w:r>
      <w:r w:rsidR="00315454">
        <w:rPr>
          <w:rFonts w:ascii="Arial" w:hAnsi="Arial" w:cs="Arial"/>
          <w:sz w:val="24"/>
          <w:szCs w:val="24"/>
        </w:rPr>
        <w:instrText xml:space="preserve"> ADDIN ZOTERO_ITEM CSL_CITATION {"citationID":"gCxWpVvp","properties":{"formattedCitation":"\\super 3\\nosupersub{}","plainCitation":"3","noteIndex":0},"citationItems":[{"id":50,"uris":["http://zotero.org/users/12055314/items/E6YSWQX9"],"itemData":{"id":50,"type":"article-journal","abstract":"Objective. The evaluation of the long-term stability of ElectroCorticoGram (ECoG) signals is an important scientific question as new implantable recording devices can be used for medical purposes such as Brain-Computer Interface (BCI) or brain monitoring. Approach. The long-term clinical validation of wireless implantable multi-channel acquisition system for generic interface with neurons (WIMAGINE), a wireless 64-channel epidural ECoG recorder was investigated. The WIMAGINE device was implanted in two quadriplegic patients within the context of a BCI protocol. This study focused on the ECoG signal stability in two patients bilaterally implanted in June 2017 (P1) and in November 2019 (P2). Methods. The ECoG signal was recorded at rest prior to each BCI session resulting in a 32 month and in a 14 month follow-up for P1 and P2 respectively. State-of-the-art signal evaluation metrics such as root mean square (RMS), the band power (BP), the signal to noise ratio (SNR), the effective bandwidth (EBW) and the spectral edge frequency (SEF) were used to evaluate stability of signal over the implantation time course. The time-frequency maps obtained from task-related motor activations were also studied to investigate the long-term selectivity of the electrodes. Main results. Based on temporal linear regressions, we report a limited decrease of the signal average level (RMS), spectral distribution (BP) and SNR, and a remarkable steadiness of the EBW and SEF. Time-frequency maps obtained during motor imagery, showed a high level of discrimination 1 month after surgery and also after 2 years. Conclusions. The WIMAGINE epidural device showed high stability over time. The signal evaluation metrics of two quadriplegic patients during 32 months and 14 months respectively provide strong evidence that this wireless implant is well-suited for long-term ECoG recording. Significance. These findings are relevant for the future of implantable BCIs, and could benefit other patients with spinal cord injury, amyotrophic lateral sclerosis, neuromuscular diseases or drug-resistant epilepsy.","container-title":"Journal of Neural Engineering","DOI":"10.1088/1741-2552/ac2003","ISSN":"1741-2560, 1741-2552","issue":"5","journalAbbreviation":"J. Neural Eng.","language":"en","page":"056026","source":"DOI.org (Crossref)","title":"Long-term stability of the chronic epidural wireless recorder WIMAGINE in tetraplegic patients","volume":"18","author":[{"family":"Larzabal","given":"Christelle"},{"family":"Bonnet","given":"Stéphane"},{"family":"Costecalde","given":"Thomas"},{"family":"Auboiroux","given":"Vincent"},{"family":"Charvet","given":"Guillaume"},{"family":"Chabardes","given":"Stéphan"},{"family":"Aksenova","given":"Tetiana"},{"family":"Sauter-Starace","given":"Fabien"}],"issued":{"date-parts":[["2021",10,1]]}}}],"schema":"https://github.com/citation-style-language/schema/raw/master/csl-citation.json"} </w:instrText>
      </w:r>
      <w:r w:rsidR="00315454">
        <w:rPr>
          <w:rFonts w:ascii="Arial" w:hAnsi="Arial" w:cs="Arial"/>
          <w:sz w:val="24"/>
          <w:szCs w:val="24"/>
        </w:rPr>
        <w:fldChar w:fldCharType="separate"/>
      </w:r>
      <w:r w:rsidR="00315454" w:rsidRPr="00315454">
        <w:rPr>
          <w:rFonts w:ascii="Arial" w:hAnsi="Arial" w:cs="Arial"/>
          <w:sz w:val="24"/>
          <w:szCs w:val="24"/>
          <w:vertAlign w:val="superscript"/>
        </w:rPr>
        <w:t>3</w:t>
      </w:r>
      <w:r w:rsidR="00315454">
        <w:rPr>
          <w:rFonts w:ascii="Arial" w:hAnsi="Arial" w:cs="Arial"/>
          <w:sz w:val="24"/>
          <w:szCs w:val="24"/>
        </w:rPr>
        <w:fldChar w:fldCharType="end"/>
      </w:r>
      <w:r w:rsidR="00B178F1">
        <w:rPr>
          <w:rFonts w:ascii="Arial" w:hAnsi="Arial" w:cs="Arial"/>
          <w:sz w:val="24"/>
          <w:szCs w:val="24"/>
        </w:rPr>
        <w:t xml:space="preserve"> </w:t>
      </w:r>
      <w:r w:rsidR="00320A56">
        <w:rPr>
          <w:rFonts w:ascii="Arial" w:hAnsi="Arial" w:cs="Arial"/>
          <w:sz w:val="24"/>
          <w:szCs w:val="24"/>
        </w:rPr>
        <w:t xml:space="preserve">in </w:t>
      </w:r>
      <w:r w:rsidR="00B178F1">
        <w:rPr>
          <w:rFonts w:ascii="Arial" w:hAnsi="Arial" w:cs="Arial"/>
          <w:sz w:val="24"/>
          <w:szCs w:val="24"/>
        </w:rPr>
        <w:t>the same patients who used the BCI-sFES neuroprosthesis</w:t>
      </w:r>
      <w:r w:rsidR="00320A56">
        <w:rPr>
          <w:rFonts w:ascii="Arial" w:hAnsi="Arial" w:cs="Arial"/>
          <w:sz w:val="24"/>
          <w:szCs w:val="24"/>
        </w:rPr>
        <w:t xml:space="preserve"> in the current study</w:t>
      </w:r>
      <w:r w:rsidR="00B178F1">
        <w:rPr>
          <w:rFonts w:ascii="Arial" w:hAnsi="Arial" w:cs="Arial"/>
          <w:sz w:val="24"/>
          <w:szCs w:val="24"/>
        </w:rPr>
        <w:t xml:space="preserve">. </w:t>
      </w:r>
      <w:r w:rsidR="00B178F1" w:rsidRPr="00B178F1">
        <w:rPr>
          <w:rFonts w:ascii="Arial" w:hAnsi="Arial" w:cs="Arial"/>
          <w:sz w:val="24"/>
          <w:szCs w:val="24"/>
        </w:rPr>
        <w:t xml:space="preserve">As </w:t>
      </w:r>
      <w:r w:rsidR="00B178F1">
        <w:rPr>
          <w:rFonts w:ascii="Arial" w:hAnsi="Arial" w:cs="Arial"/>
          <w:sz w:val="24"/>
          <w:szCs w:val="24"/>
        </w:rPr>
        <w:t>they</w:t>
      </w:r>
      <w:r w:rsidR="00B178F1" w:rsidRPr="00B178F1">
        <w:rPr>
          <w:rFonts w:ascii="Arial" w:hAnsi="Arial" w:cs="Arial"/>
          <w:sz w:val="24"/>
          <w:szCs w:val="24"/>
        </w:rPr>
        <w:t xml:space="preserve"> were</w:t>
      </w:r>
      <w:r w:rsidR="00B178F1">
        <w:rPr>
          <w:rFonts w:ascii="Arial" w:hAnsi="Arial" w:cs="Arial"/>
          <w:sz w:val="24"/>
          <w:szCs w:val="24"/>
        </w:rPr>
        <w:t xml:space="preserve"> </w:t>
      </w:r>
      <w:r w:rsidR="00B178F1" w:rsidRPr="00B178F1">
        <w:rPr>
          <w:rFonts w:ascii="Arial" w:hAnsi="Arial" w:cs="Arial"/>
          <w:sz w:val="24"/>
          <w:szCs w:val="24"/>
        </w:rPr>
        <w:t>implanted in 2017 and 2019</w:t>
      </w:r>
      <w:r w:rsidR="00320A56" w:rsidRPr="00320A56">
        <w:rPr>
          <w:rFonts w:ascii="Arial" w:hAnsi="Arial" w:cs="Arial"/>
          <w:sz w:val="24"/>
          <w:szCs w:val="24"/>
        </w:rPr>
        <w:t xml:space="preserve"> </w:t>
      </w:r>
      <w:r w:rsidR="00320A56">
        <w:rPr>
          <w:rFonts w:ascii="Arial" w:hAnsi="Arial" w:cs="Arial"/>
          <w:sz w:val="24"/>
          <w:szCs w:val="24"/>
        </w:rPr>
        <w:t>respectively</w:t>
      </w:r>
      <w:r w:rsidR="00B178F1" w:rsidRPr="00B178F1">
        <w:rPr>
          <w:rFonts w:ascii="Arial" w:hAnsi="Arial" w:cs="Arial"/>
          <w:sz w:val="24"/>
          <w:szCs w:val="24"/>
        </w:rPr>
        <w:t xml:space="preserve">, </w:t>
      </w:r>
      <w:r w:rsidR="00A56F3A">
        <w:rPr>
          <w:rFonts w:ascii="Arial" w:hAnsi="Arial" w:cs="Arial"/>
          <w:sz w:val="24"/>
          <w:szCs w:val="24"/>
        </w:rPr>
        <w:t>it is now possible to</w:t>
      </w:r>
      <w:r w:rsidR="00B178F1" w:rsidRPr="00B178F1">
        <w:rPr>
          <w:rFonts w:ascii="Arial" w:hAnsi="Arial" w:cs="Arial"/>
          <w:sz w:val="24"/>
          <w:szCs w:val="24"/>
        </w:rPr>
        <w:t xml:space="preserve"> </w:t>
      </w:r>
      <w:r w:rsidR="00B178F1">
        <w:rPr>
          <w:rFonts w:ascii="Arial" w:hAnsi="Arial" w:cs="Arial"/>
          <w:sz w:val="24"/>
          <w:szCs w:val="24"/>
        </w:rPr>
        <w:t>assess</w:t>
      </w:r>
      <w:r w:rsidR="00B178F1" w:rsidRPr="00B178F1">
        <w:rPr>
          <w:rFonts w:ascii="Arial" w:hAnsi="Arial" w:cs="Arial"/>
          <w:sz w:val="24"/>
          <w:szCs w:val="24"/>
        </w:rPr>
        <w:t xml:space="preserve"> the quality of signals from</w:t>
      </w:r>
      <w:r w:rsidR="00B178F1">
        <w:rPr>
          <w:rFonts w:ascii="Arial" w:hAnsi="Arial" w:cs="Arial"/>
          <w:sz w:val="24"/>
          <w:szCs w:val="24"/>
        </w:rPr>
        <w:t xml:space="preserve"> </w:t>
      </w:r>
      <w:r w:rsidR="00B178F1" w:rsidRPr="00B178F1">
        <w:rPr>
          <w:rFonts w:ascii="Arial" w:hAnsi="Arial" w:cs="Arial"/>
          <w:sz w:val="24"/>
          <w:szCs w:val="24"/>
        </w:rPr>
        <w:t>WIMAGINE</w:t>
      </w:r>
      <w:r w:rsidR="00B178F1">
        <w:rPr>
          <w:rFonts w:ascii="Arial" w:hAnsi="Arial" w:cs="Arial"/>
          <w:sz w:val="24"/>
          <w:szCs w:val="24"/>
        </w:rPr>
        <w:t xml:space="preserve"> </w:t>
      </w:r>
      <w:r w:rsidR="00320A56">
        <w:rPr>
          <w:rFonts w:ascii="Arial" w:hAnsi="Arial" w:cs="Arial"/>
          <w:sz w:val="24"/>
          <w:szCs w:val="24"/>
        </w:rPr>
        <w:t xml:space="preserve">recording device </w:t>
      </w:r>
      <w:r w:rsidR="00B178F1">
        <w:rPr>
          <w:rFonts w:ascii="Arial" w:hAnsi="Arial" w:cs="Arial"/>
          <w:sz w:val="24"/>
          <w:szCs w:val="24"/>
        </w:rPr>
        <w:t xml:space="preserve">in tetraplegic patients </w:t>
      </w:r>
      <w:r w:rsidR="00A56F3A">
        <w:rPr>
          <w:rFonts w:ascii="Arial" w:hAnsi="Arial" w:cs="Arial"/>
          <w:sz w:val="24"/>
          <w:szCs w:val="24"/>
        </w:rPr>
        <w:t>over</w:t>
      </w:r>
      <w:r w:rsidR="00B178F1">
        <w:rPr>
          <w:rFonts w:ascii="Arial" w:hAnsi="Arial" w:cs="Arial"/>
          <w:sz w:val="24"/>
          <w:szCs w:val="24"/>
        </w:rPr>
        <w:t xml:space="preserve"> </w:t>
      </w:r>
      <w:r w:rsidR="00265967">
        <w:rPr>
          <w:rFonts w:ascii="Arial" w:hAnsi="Arial" w:cs="Arial"/>
          <w:sz w:val="24"/>
          <w:szCs w:val="24"/>
        </w:rPr>
        <w:t>7- and 5-years</w:t>
      </w:r>
      <w:r w:rsidR="00B178F1">
        <w:rPr>
          <w:rFonts w:ascii="Arial" w:hAnsi="Arial" w:cs="Arial"/>
          <w:sz w:val="24"/>
          <w:szCs w:val="24"/>
        </w:rPr>
        <w:t xml:space="preserve"> post-implantation</w:t>
      </w:r>
      <w:r w:rsidR="00B178F1" w:rsidRPr="00B178F1">
        <w:rPr>
          <w:rFonts w:ascii="Arial" w:hAnsi="Arial" w:cs="Arial"/>
          <w:sz w:val="24"/>
          <w:szCs w:val="24"/>
        </w:rPr>
        <w:t>.</w:t>
      </w:r>
      <w:r w:rsidR="00320A56">
        <w:rPr>
          <w:rFonts w:ascii="Arial" w:hAnsi="Arial" w:cs="Arial"/>
          <w:sz w:val="24"/>
          <w:szCs w:val="24"/>
        </w:rPr>
        <w:t xml:space="preserve"> </w:t>
      </w:r>
    </w:p>
    <w:p w14:paraId="5130D62D" w14:textId="5318A65C" w:rsidR="00FC4F9D" w:rsidRDefault="00A56F3A" w:rsidP="00FC4F9D">
      <w:pPr>
        <w:tabs>
          <w:tab w:val="left" w:pos="5670"/>
        </w:tabs>
        <w:jc w:val="both"/>
        <w:rPr>
          <w:rFonts w:ascii="Arial" w:hAnsi="Arial" w:cs="Arial"/>
          <w:sz w:val="24"/>
          <w:szCs w:val="24"/>
        </w:rPr>
      </w:pPr>
      <w:r w:rsidRPr="00A56F3A">
        <w:rPr>
          <w:rFonts w:ascii="Arial" w:hAnsi="Arial" w:cs="Arial"/>
          <w:sz w:val="24"/>
          <w:szCs w:val="24"/>
        </w:rPr>
        <w:t>The ECoG signal stability was assessed</w:t>
      </w:r>
      <w:r w:rsidR="003311B1">
        <w:rPr>
          <w:rFonts w:ascii="Arial" w:hAnsi="Arial" w:cs="Arial"/>
          <w:sz w:val="24"/>
          <w:szCs w:val="24"/>
        </w:rPr>
        <w:t xml:space="preserve"> </w:t>
      </w:r>
      <w:r w:rsidR="00AA7DD3">
        <w:rPr>
          <w:rFonts w:ascii="Arial" w:hAnsi="Arial" w:cs="Arial"/>
          <w:sz w:val="24"/>
          <w:szCs w:val="24"/>
        </w:rPr>
        <w:t>for</w:t>
      </w:r>
      <w:r w:rsidR="003311B1">
        <w:rPr>
          <w:rFonts w:ascii="Arial" w:hAnsi="Arial" w:cs="Arial"/>
          <w:sz w:val="24"/>
          <w:szCs w:val="24"/>
        </w:rPr>
        <w:t xml:space="preserve"> each implant</w:t>
      </w:r>
      <w:r w:rsidRPr="00A56F3A">
        <w:rPr>
          <w:rFonts w:ascii="Arial" w:hAnsi="Arial" w:cs="Arial"/>
          <w:sz w:val="24"/>
          <w:szCs w:val="24"/>
        </w:rPr>
        <w:t xml:space="preserve"> </w:t>
      </w:r>
      <w:r>
        <w:rPr>
          <w:rFonts w:ascii="Arial" w:hAnsi="Arial" w:cs="Arial"/>
          <w:sz w:val="24"/>
          <w:szCs w:val="24"/>
        </w:rPr>
        <w:t xml:space="preserve">from resting </w:t>
      </w:r>
      <w:r w:rsidR="00AF6A0E">
        <w:rPr>
          <w:rFonts w:ascii="Arial" w:hAnsi="Arial" w:cs="Arial"/>
          <w:sz w:val="24"/>
          <w:szCs w:val="24"/>
        </w:rPr>
        <w:t xml:space="preserve">state </w:t>
      </w:r>
      <w:r>
        <w:rPr>
          <w:rFonts w:ascii="Arial" w:hAnsi="Arial" w:cs="Arial"/>
          <w:sz w:val="24"/>
          <w:szCs w:val="24"/>
        </w:rPr>
        <w:t xml:space="preserve">recordings acquired </w:t>
      </w:r>
      <w:r w:rsidR="00E46E06">
        <w:rPr>
          <w:rFonts w:ascii="Arial" w:hAnsi="Arial" w:cs="Arial"/>
          <w:sz w:val="24"/>
          <w:szCs w:val="24"/>
        </w:rPr>
        <w:t xml:space="preserve">since the implantation </w:t>
      </w:r>
      <w:r>
        <w:rPr>
          <w:rFonts w:ascii="Arial" w:hAnsi="Arial" w:cs="Arial"/>
          <w:sz w:val="24"/>
          <w:szCs w:val="24"/>
        </w:rPr>
        <w:t>before</w:t>
      </w:r>
      <w:r w:rsidR="00315454">
        <w:rPr>
          <w:rFonts w:ascii="Arial" w:hAnsi="Arial" w:cs="Arial"/>
          <w:sz w:val="24"/>
          <w:szCs w:val="24"/>
        </w:rPr>
        <w:t xml:space="preserve"> each</w:t>
      </w:r>
      <w:r>
        <w:rPr>
          <w:rFonts w:ascii="Arial" w:hAnsi="Arial" w:cs="Arial"/>
          <w:sz w:val="24"/>
          <w:szCs w:val="24"/>
        </w:rPr>
        <w:t xml:space="preserve"> BCI session</w:t>
      </w:r>
      <w:r w:rsidR="00BE6739">
        <w:rPr>
          <w:rFonts w:ascii="Arial" w:hAnsi="Arial" w:cs="Arial"/>
          <w:sz w:val="24"/>
          <w:szCs w:val="24"/>
        </w:rPr>
        <w:t>.</w:t>
      </w:r>
      <w:r>
        <w:rPr>
          <w:rFonts w:ascii="Arial" w:hAnsi="Arial" w:cs="Arial"/>
          <w:sz w:val="24"/>
          <w:szCs w:val="24"/>
        </w:rPr>
        <w:t xml:space="preserve"> </w:t>
      </w:r>
      <w:r w:rsidR="00AA7DD3" w:rsidRPr="00AA7DD3">
        <w:rPr>
          <w:rFonts w:ascii="Arial" w:hAnsi="Arial" w:cs="Arial"/>
          <w:sz w:val="24"/>
          <w:szCs w:val="24"/>
        </w:rPr>
        <w:t xml:space="preserve">To analyze the ECoG signal stability </w:t>
      </w:r>
      <w:r w:rsidR="00AA7DD3">
        <w:rPr>
          <w:rFonts w:ascii="Arial" w:hAnsi="Arial" w:cs="Arial"/>
          <w:sz w:val="24"/>
          <w:szCs w:val="24"/>
        </w:rPr>
        <w:t>over</w:t>
      </w:r>
      <w:r w:rsidR="00AA7DD3" w:rsidRPr="00AA7DD3">
        <w:rPr>
          <w:rFonts w:ascii="Arial" w:hAnsi="Arial" w:cs="Arial"/>
          <w:sz w:val="24"/>
          <w:szCs w:val="24"/>
        </w:rPr>
        <w:t xml:space="preserve"> the 64 electrodes of each implant</w:t>
      </w:r>
      <w:r w:rsidR="00AA7DD3">
        <w:rPr>
          <w:rFonts w:ascii="Arial" w:hAnsi="Arial" w:cs="Arial"/>
          <w:sz w:val="24"/>
          <w:szCs w:val="24"/>
        </w:rPr>
        <w:t>, sessions</w:t>
      </w:r>
      <w:r w:rsidR="00AA7DD3" w:rsidRPr="00AA7DD3">
        <w:rPr>
          <w:rFonts w:ascii="Arial" w:hAnsi="Arial" w:cs="Arial"/>
          <w:sz w:val="24"/>
          <w:szCs w:val="24"/>
        </w:rPr>
        <w:t xml:space="preserve"> obtained from </w:t>
      </w:r>
      <w:r w:rsidR="00AA7DD3">
        <w:rPr>
          <w:rFonts w:ascii="Arial" w:hAnsi="Arial" w:cs="Arial"/>
          <w:sz w:val="24"/>
          <w:szCs w:val="24"/>
        </w:rPr>
        <w:t>two sessions with acquisition of 32 electrodes each were pooled together</w:t>
      </w:r>
      <w:r w:rsidR="00AA7DD3" w:rsidRPr="00AA7DD3">
        <w:rPr>
          <w:rFonts w:ascii="Arial" w:hAnsi="Arial" w:cs="Arial"/>
          <w:sz w:val="24"/>
          <w:szCs w:val="24"/>
        </w:rPr>
        <w:t>.</w:t>
      </w:r>
      <w:r w:rsidR="00AA7DD3">
        <w:rPr>
          <w:rFonts w:ascii="Arial" w:hAnsi="Arial" w:cs="Arial"/>
          <w:sz w:val="24"/>
          <w:szCs w:val="24"/>
        </w:rPr>
        <w:t xml:space="preserve"> </w:t>
      </w:r>
      <w:r w:rsidR="003E7B3E">
        <w:rPr>
          <w:rFonts w:ascii="Arial" w:hAnsi="Arial" w:cs="Arial"/>
          <w:sz w:val="24"/>
          <w:szCs w:val="24"/>
        </w:rPr>
        <w:t>Root mean square (RMS)</w:t>
      </w:r>
      <w:r w:rsidR="003E7B3E">
        <w:rPr>
          <w:rFonts w:ascii="Arial" w:hAnsi="Arial" w:cs="Arial"/>
          <w:sz w:val="24"/>
          <w:szCs w:val="24"/>
        </w:rPr>
        <w:t xml:space="preserve"> </w:t>
      </w:r>
      <w:r w:rsidR="003E7B3E">
        <w:rPr>
          <w:rFonts w:ascii="Arial" w:hAnsi="Arial" w:cs="Arial"/>
          <w:sz w:val="24"/>
          <w:szCs w:val="24"/>
        </w:rPr>
        <w:t xml:space="preserve">value of the </w:t>
      </w:r>
      <w:r>
        <w:rPr>
          <w:rFonts w:ascii="Arial" w:hAnsi="Arial" w:cs="Arial"/>
          <w:sz w:val="24"/>
          <w:szCs w:val="24"/>
        </w:rPr>
        <w:t xml:space="preserve">signal over the </w:t>
      </w:r>
      <w:r w:rsidRPr="00A56F3A">
        <w:rPr>
          <w:rFonts w:ascii="Arial" w:hAnsi="Arial" w:cs="Arial"/>
          <w:sz w:val="24"/>
          <w:szCs w:val="24"/>
        </w:rPr>
        <w:t>whole frequency range (0.5–292 Hz)</w:t>
      </w:r>
      <w:r w:rsidR="00BE6739">
        <w:rPr>
          <w:rFonts w:ascii="Arial" w:hAnsi="Arial" w:cs="Arial"/>
          <w:sz w:val="24"/>
          <w:szCs w:val="24"/>
        </w:rPr>
        <w:t xml:space="preserve"> was calculated, as well as t</w:t>
      </w:r>
      <w:r>
        <w:rPr>
          <w:rFonts w:ascii="Arial" w:hAnsi="Arial" w:cs="Arial"/>
          <w:sz w:val="24"/>
          <w:szCs w:val="24"/>
        </w:rPr>
        <w:t>he band-power (BP) f</w:t>
      </w:r>
      <w:r w:rsidRPr="00A56F3A">
        <w:rPr>
          <w:rFonts w:ascii="Arial" w:hAnsi="Arial" w:cs="Arial"/>
          <w:sz w:val="24"/>
          <w:szCs w:val="24"/>
        </w:rPr>
        <w:t>or four frequency bands: 0.5–10 Hz, 10–40 Hz, 40–100 Hz and 100–200 Hz</w:t>
      </w:r>
      <w:r w:rsidR="00BE6739">
        <w:rPr>
          <w:rFonts w:ascii="Arial" w:hAnsi="Arial" w:cs="Arial"/>
          <w:sz w:val="24"/>
          <w:szCs w:val="24"/>
        </w:rPr>
        <w:t xml:space="preserve">. </w:t>
      </w:r>
      <w:r w:rsidR="00AA7DD3" w:rsidRPr="00AA7DD3">
        <w:rPr>
          <w:rFonts w:ascii="Arial" w:hAnsi="Arial" w:cs="Arial"/>
          <w:sz w:val="24"/>
          <w:szCs w:val="24"/>
        </w:rPr>
        <w:t xml:space="preserve">To compensate for their different frequency bandwidths, BPs were normalized before being converted in </w:t>
      </w:r>
      <w:proofErr w:type="spellStart"/>
      <w:r w:rsidR="00AA7DD3" w:rsidRPr="00AA7DD3">
        <w:rPr>
          <w:rFonts w:ascii="Arial" w:hAnsi="Arial" w:cs="Arial"/>
          <w:sz w:val="24"/>
          <w:szCs w:val="24"/>
        </w:rPr>
        <w:t>dB</w:t>
      </w:r>
      <w:r w:rsidR="00AA7DD3">
        <w:rPr>
          <w:rFonts w:ascii="Arial" w:hAnsi="Arial" w:cs="Arial"/>
          <w:sz w:val="24"/>
          <w:szCs w:val="24"/>
        </w:rPr>
        <w:t>.</w:t>
      </w:r>
      <w:proofErr w:type="spellEnd"/>
      <w:r w:rsidR="00AA7DD3">
        <w:rPr>
          <w:rFonts w:ascii="Arial" w:hAnsi="Arial" w:cs="Arial"/>
          <w:sz w:val="24"/>
          <w:szCs w:val="24"/>
        </w:rPr>
        <w:t xml:space="preserve"> </w:t>
      </w:r>
      <w:r w:rsidR="00BE6739">
        <w:rPr>
          <w:rFonts w:ascii="Arial" w:hAnsi="Arial" w:cs="Arial"/>
          <w:sz w:val="24"/>
          <w:szCs w:val="24"/>
        </w:rPr>
        <w:t>T</w:t>
      </w:r>
      <w:r>
        <w:rPr>
          <w:rFonts w:ascii="Arial" w:hAnsi="Arial" w:cs="Arial"/>
          <w:sz w:val="24"/>
          <w:szCs w:val="24"/>
        </w:rPr>
        <w:t>he signal-to-noise ratio</w:t>
      </w:r>
      <w:r w:rsidR="00BE6739">
        <w:rPr>
          <w:rFonts w:ascii="Arial" w:hAnsi="Arial" w:cs="Arial"/>
          <w:sz w:val="24"/>
          <w:szCs w:val="24"/>
        </w:rPr>
        <w:t>,</w:t>
      </w:r>
      <w:r>
        <w:rPr>
          <w:rFonts w:ascii="Arial" w:hAnsi="Arial" w:cs="Arial"/>
          <w:sz w:val="24"/>
          <w:szCs w:val="24"/>
        </w:rPr>
        <w:t xml:space="preserve"> defined as</w:t>
      </w:r>
      <w:r w:rsidR="00BE6739">
        <w:rPr>
          <w:rFonts w:ascii="Arial" w:hAnsi="Arial" w:cs="Arial"/>
          <w:sz w:val="24"/>
          <w:szCs w:val="24"/>
        </w:rPr>
        <w:t xml:space="preserve"> the ratio of the power in the 0.5–292 Hz normalized by the power in the noise band (250–260</w:t>
      </w:r>
      <w:r w:rsidR="00E46E06">
        <w:rPr>
          <w:rFonts w:ascii="Arial" w:hAnsi="Arial" w:cs="Arial"/>
          <w:sz w:val="24"/>
          <w:szCs w:val="24"/>
        </w:rPr>
        <w:t> </w:t>
      </w:r>
      <w:r w:rsidR="00BE6739">
        <w:rPr>
          <w:rFonts w:ascii="Arial" w:hAnsi="Arial" w:cs="Arial"/>
          <w:sz w:val="24"/>
          <w:szCs w:val="24"/>
        </w:rPr>
        <w:t>Hz)</w:t>
      </w:r>
      <w:r w:rsidR="00E46E06">
        <w:rPr>
          <w:rFonts w:ascii="Arial" w:hAnsi="Arial" w:cs="Arial"/>
          <w:sz w:val="24"/>
          <w:szCs w:val="24"/>
        </w:rPr>
        <w:t>, was also computed</w:t>
      </w:r>
      <w:r w:rsidR="00AA7DD3">
        <w:rPr>
          <w:rFonts w:ascii="Arial" w:hAnsi="Arial" w:cs="Arial"/>
          <w:sz w:val="24"/>
          <w:szCs w:val="24"/>
        </w:rPr>
        <w:t xml:space="preserve"> and converted in </w:t>
      </w:r>
      <w:proofErr w:type="spellStart"/>
      <w:r w:rsidR="00AA7DD3">
        <w:rPr>
          <w:rFonts w:ascii="Arial" w:hAnsi="Arial" w:cs="Arial"/>
          <w:sz w:val="24"/>
          <w:szCs w:val="24"/>
        </w:rPr>
        <w:t>dB</w:t>
      </w:r>
      <w:r w:rsidR="00BE6739">
        <w:rPr>
          <w:rFonts w:ascii="Arial" w:hAnsi="Arial" w:cs="Arial"/>
          <w:sz w:val="24"/>
          <w:szCs w:val="24"/>
        </w:rPr>
        <w:t>.</w:t>
      </w:r>
      <w:proofErr w:type="spellEnd"/>
      <w:r w:rsidR="00BE6739">
        <w:rPr>
          <w:rFonts w:ascii="Arial" w:hAnsi="Arial" w:cs="Arial"/>
          <w:sz w:val="24"/>
          <w:szCs w:val="24"/>
        </w:rPr>
        <w:t xml:space="preserve"> </w:t>
      </w:r>
      <w:r w:rsidR="00E46E06">
        <w:rPr>
          <w:rFonts w:ascii="Arial" w:hAnsi="Arial" w:cs="Arial"/>
          <w:sz w:val="24"/>
          <w:szCs w:val="24"/>
        </w:rPr>
        <w:t>Finally,</w:t>
      </w:r>
      <w:r w:rsidR="00BE6739">
        <w:rPr>
          <w:rFonts w:ascii="Arial" w:hAnsi="Arial" w:cs="Arial"/>
          <w:sz w:val="24"/>
          <w:szCs w:val="24"/>
        </w:rPr>
        <w:t xml:space="preserve"> the</w:t>
      </w:r>
      <w:r w:rsidRPr="00A56F3A">
        <w:rPr>
          <w:rFonts w:ascii="Arial" w:hAnsi="Arial" w:cs="Arial"/>
          <w:sz w:val="24"/>
          <w:szCs w:val="24"/>
        </w:rPr>
        <w:t xml:space="preserve"> </w:t>
      </w:r>
      <w:r w:rsidR="00BE6739">
        <w:rPr>
          <w:rFonts w:ascii="Arial" w:hAnsi="Arial" w:cs="Arial"/>
          <w:sz w:val="24"/>
          <w:szCs w:val="24"/>
        </w:rPr>
        <w:t>effective bandwidth (</w:t>
      </w:r>
      <w:r w:rsidRPr="00A56F3A">
        <w:rPr>
          <w:rFonts w:ascii="Arial" w:hAnsi="Arial" w:cs="Arial"/>
          <w:sz w:val="24"/>
          <w:szCs w:val="24"/>
        </w:rPr>
        <w:t>E</w:t>
      </w:r>
      <w:r w:rsidR="00A935C0">
        <w:rPr>
          <w:rFonts w:ascii="Arial" w:hAnsi="Arial" w:cs="Arial"/>
          <w:sz w:val="24"/>
          <w:szCs w:val="24"/>
        </w:rPr>
        <w:t>FF</w:t>
      </w:r>
      <w:r w:rsidRPr="00A56F3A">
        <w:rPr>
          <w:rFonts w:ascii="Arial" w:hAnsi="Arial" w:cs="Arial"/>
          <w:sz w:val="24"/>
          <w:szCs w:val="24"/>
        </w:rPr>
        <w:t>BW</w:t>
      </w:r>
      <w:r w:rsidR="00BE6739">
        <w:rPr>
          <w:rFonts w:ascii="Arial" w:hAnsi="Arial" w:cs="Arial"/>
          <w:sz w:val="24"/>
          <w:szCs w:val="24"/>
        </w:rPr>
        <w:t xml:space="preserve">) was assessed </w:t>
      </w:r>
      <w:r w:rsidR="00BE6739" w:rsidRPr="00BE6739">
        <w:rPr>
          <w:rFonts w:ascii="Arial" w:hAnsi="Arial" w:cs="Arial"/>
          <w:sz w:val="24"/>
          <w:szCs w:val="24"/>
        </w:rPr>
        <w:t>to evaluate the potenti</w:t>
      </w:r>
      <w:r w:rsidR="00E46E06">
        <w:rPr>
          <w:rFonts w:ascii="Arial" w:hAnsi="Arial" w:cs="Arial"/>
          <w:sz w:val="24"/>
          <w:szCs w:val="24"/>
        </w:rPr>
        <w:t>al cut down of high frequencies.</w:t>
      </w:r>
      <w:r w:rsidR="00B178F1">
        <w:rPr>
          <w:rFonts w:ascii="Arial" w:hAnsi="Arial" w:cs="Arial"/>
          <w:sz w:val="24"/>
          <w:szCs w:val="24"/>
        </w:rPr>
        <w:t xml:space="preserve"> </w:t>
      </w:r>
      <w:r w:rsidR="00E46E06">
        <w:rPr>
          <w:rFonts w:ascii="Arial" w:hAnsi="Arial" w:cs="Arial"/>
          <w:sz w:val="24"/>
          <w:szCs w:val="24"/>
        </w:rPr>
        <w:t>More d</w:t>
      </w:r>
      <w:r w:rsidR="00B178F1">
        <w:rPr>
          <w:rFonts w:ascii="Arial" w:hAnsi="Arial" w:cs="Arial"/>
          <w:sz w:val="24"/>
          <w:szCs w:val="24"/>
        </w:rPr>
        <w:t xml:space="preserve">etails and formulas for these calculations </w:t>
      </w:r>
      <w:r w:rsidR="00315454">
        <w:rPr>
          <w:rFonts w:ascii="Arial" w:hAnsi="Arial" w:cs="Arial"/>
          <w:sz w:val="24"/>
          <w:szCs w:val="24"/>
        </w:rPr>
        <w:t>are available in original study</w:t>
      </w:r>
      <w:r w:rsidR="00315454">
        <w:rPr>
          <w:rFonts w:ascii="Arial" w:hAnsi="Arial" w:cs="Arial"/>
          <w:sz w:val="24"/>
          <w:szCs w:val="24"/>
        </w:rPr>
        <w:fldChar w:fldCharType="begin"/>
      </w:r>
      <w:r w:rsidR="00315454">
        <w:rPr>
          <w:rFonts w:ascii="Arial" w:hAnsi="Arial" w:cs="Arial"/>
          <w:sz w:val="24"/>
          <w:szCs w:val="24"/>
        </w:rPr>
        <w:instrText xml:space="preserve"> ADDIN ZOTERO_ITEM CSL_CITATION {"citationID":"qwTmRFSN","properties":{"formattedCitation":"\\super 3\\nosupersub{}","plainCitation":"3","noteIndex":0},"citationItems":[{"id":50,"uris":["http://zotero.org/users/12055314/items/E6YSWQX9"],"itemData":{"id":50,"type":"article-journal","abstract":"Objective. The evaluation of the long-term stability of ElectroCorticoGram (ECoG) signals is an important scientific question as new implantable recording devices can be used for medical purposes such as Brain-Computer Interface (BCI) or brain monitoring. Approach. The long-term clinical validation of wireless implantable multi-channel acquisition system for generic interface with neurons (WIMAGINE), a wireless 64-channel epidural ECoG recorder was investigated. The WIMAGINE device was implanted in two quadriplegic patients within the context of a BCI protocol. This study focused on the ECoG signal stability in two patients bilaterally implanted in June 2017 (P1) and in November 2019 (P2). Methods. The ECoG signal was recorded at rest prior to each BCI session resulting in a 32 month and in a 14 month follow-up for P1 and P2 respectively. State-of-the-art signal evaluation metrics such as root mean square (RMS), the band power (BP), the signal to noise ratio (SNR), the effective bandwidth (EBW) and the spectral edge frequency (SEF) were used to evaluate stability of signal over the implantation time course. The time-frequency maps obtained from task-related motor activations were also studied to investigate the long-term selectivity of the electrodes. Main results. Based on temporal linear regressions, we report a limited decrease of the signal average level (RMS), spectral distribution (BP) and SNR, and a remarkable steadiness of the EBW and SEF. Time-frequency maps obtained during motor imagery, showed a high level of discrimination 1 month after surgery and also after 2 years. Conclusions. The WIMAGINE epidural device showed high stability over time. The signal evaluation metrics of two quadriplegic patients during 32 months and 14 months respectively provide strong evidence that this wireless implant is well-suited for long-term ECoG recording. Significance. These findings are relevant for the future of implantable BCIs, and could benefit other patients with spinal cord injury, amyotrophic lateral sclerosis, neuromuscular diseases or drug-resistant epilepsy.","container-title":"Journal of Neural Engineering","DOI":"10.1088/1741-2552/ac2003","ISSN":"1741-2560, 1741-2552","issue":"5","journalAbbreviation":"J. Neural Eng.","language":"en","page":"056026","source":"DOI.org (Crossref)","title":"Long-term stability of the chronic epidural wireless recorder WIMAGINE in tetraplegic patients","volume":"18","author":[{"family":"Larzabal","given":"Christelle"},{"family":"Bonnet","given":"Stéphane"},{"family":"Costecalde","given":"Thomas"},{"family":"Auboiroux","given":"Vincent"},{"family":"Charvet","given":"Guillaume"},{"family":"Chabardes","given":"Stéphan"},{"family":"Aksenova","given":"Tetiana"},{"family":"Sauter-Starace","given":"Fabien"}],"issued":{"date-parts":[["2021",10,1]]}}}],"schema":"https://github.com/citation-style-language/schema/raw/master/csl-citation.json"} </w:instrText>
      </w:r>
      <w:r w:rsidR="00315454">
        <w:rPr>
          <w:rFonts w:ascii="Arial" w:hAnsi="Arial" w:cs="Arial"/>
          <w:sz w:val="24"/>
          <w:szCs w:val="24"/>
        </w:rPr>
        <w:fldChar w:fldCharType="separate"/>
      </w:r>
      <w:r w:rsidR="00315454" w:rsidRPr="00315454">
        <w:rPr>
          <w:rFonts w:ascii="Arial" w:hAnsi="Arial" w:cs="Arial"/>
          <w:sz w:val="24"/>
          <w:szCs w:val="24"/>
          <w:vertAlign w:val="superscript"/>
        </w:rPr>
        <w:t>3</w:t>
      </w:r>
      <w:r w:rsidR="00315454">
        <w:rPr>
          <w:rFonts w:ascii="Arial" w:hAnsi="Arial" w:cs="Arial"/>
          <w:sz w:val="24"/>
          <w:szCs w:val="24"/>
        </w:rPr>
        <w:fldChar w:fldCharType="end"/>
      </w:r>
      <w:r w:rsidR="00B178F1">
        <w:rPr>
          <w:rFonts w:ascii="Arial" w:hAnsi="Arial" w:cs="Arial"/>
          <w:sz w:val="24"/>
          <w:szCs w:val="24"/>
        </w:rPr>
        <w:t>.</w:t>
      </w:r>
      <w:r w:rsidR="00315454">
        <w:rPr>
          <w:rFonts w:ascii="Arial" w:hAnsi="Arial" w:cs="Arial"/>
          <w:sz w:val="24"/>
          <w:szCs w:val="24"/>
        </w:rPr>
        <w:t xml:space="preserve"> </w:t>
      </w:r>
      <w:r w:rsidR="00315454" w:rsidRPr="00315454">
        <w:rPr>
          <w:rFonts w:ascii="Arial" w:hAnsi="Arial" w:cs="Arial"/>
          <w:sz w:val="24"/>
          <w:szCs w:val="24"/>
        </w:rPr>
        <w:t>To assess changes throughout the clinical trial,</w:t>
      </w:r>
      <w:r w:rsidR="00315454">
        <w:rPr>
          <w:rFonts w:ascii="Arial" w:hAnsi="Arial" w:cs="Arial"/>
          <w:sz w:val="24"/>
          <w:szCs w:val="24"/>
        </w:rPr>
        <w:t xml:space="preserve"> linear regressions of the signal stability indicators </w:t>
      </w:r>
      <w:r w:rsidR="00B771C8">
        <w:rPr>
          <w:rFonts w:ascii="Arial" w:hAnsi="Arial" w:cs="Arial"/>
          <w:sz w:val="24"/>
          <w:szCs w:val="24"/>
        </w:rPr>
        <w:t>were performed o</w:t>
      </w:r>
      <w:r w:rsidR="00315454">
        <w:rPr>
          <w:rFonts w:ascii="Arial" w:hAnsi="Arial" w:cs="Arial"/>
          <w:sz w:val="24"/>
          <w:szCs w:val="24"/>
        </w:rPr>
        <w:t xml:space="preserve">ver three </w:t>
      </w:r>
      <w:r w:rsidR="00B771C8">
        <w:rPr>
          <w:rFonts w:ascii="Arial" w:hAnsi="Arial" w:cs="Arial"/>
          <w:sz w:val="24"/>
          <w:szCs w:val="24"/>
        </w:rPr>
        <w:t xml:space="preserve">post-implantation </w:t>
      </w:r>
      <w:r w:rsidR="00315454">
        <w:rPr>
          <w:rFonts w:ascii="Arial" w:hAnsi="Arial" w:cs="Arial"/>
          <w:sz w:val="24"/>
          <w:szCs w:val="24"/>
        </w:rPr>
        <w:t xml:space="preserve">periods: </w:t>
      </w:r>
      <w:r w:rsidR="00841416">
        <w:rPr>
          <w:rFonts w:ascii="Arial" w:hAnsi="Arial" w:cs="Arial"/>
          <w:sz w:val="24"/>
          <w:szCs w:val="24"/>
        </w:rPr>
        <w:t>from 0 to 365 days</w:t>
      </w:r>
      <w:r w:rsidR="00315454">
        <w:rPr>
          <w:rFonts w:ascii="Arial" w:hAnsi="Arial" w:cs="Arial"/>
          <w:sz w:val="24"/>
          <w:szCs w:val="24"/>
        </w:rPr>
        <w:t xml:space="preserve">, </w:t>
      </w:r>
      <w:r w:rsidR="00841416">
        <w:rPr>
          <w:rFonts w:ascii="Arial" w:hAnsi="Arial" w:cs="Arial"/>
          <w:sz w:val="24"/>
          <w:szCs w:val="24"/>
        </w:rPr>
        <w:t xml:space="preserve">from 365 to 1000 days </w:t>
      </w:r>
      <w:r w:rsidR="00315454">
        <w:rPr>
          <w:rFonts w:ascii="Arial" w:hAnsi="Arial" w:cs="Arial"/>
          <w:sz w:val="24"/>
          <w:szCs w:val="24"/>
        </w:rPr>
        <w:t xml:space="preserve">and from </w:t>
      </w:r>
      <w:r w:rsidR="00841416">
        <w:rPr>
          <w:rFonts w:ascii="Arial" w:hAnsi="Arial" w:cs="Arial"/>
          <w:sz w:val="24"/>
          <w:szCs w:val="24"/>
        </w:rPr>
        <w:t>1000 days to the last recording</w:t>
      </w:r>
      <w:r w:rsidR="00315454">
        <w:rPr>
          <w:rFonts w:ascii="Arial" w:hAnsi="Arial" w:cs="Arial"/>
          <w:sz w:val="24"/>
          <w:szCs w:val="24"/>
        </w:rPr>
        <w:t>.</w:t>
      </w:r>
      <w:r w:rsidR="00B771C8" w:rsidRPr="00B771C8">
        <w:rPr>
          <w:rFonts w:ascii="Arial" w:hAnsi="Arial" w:cs="Arial"/>
          <w:sz w:val="24"/>
          <w:szCs w:val="24"/>
        </w:rPr>
        <w:t xml:space="preserve"> </w:t>
      </w:r>
      <w:r w:rsidR="00841416">
        <w:rPr>
          <w:rFonts w:ascii="Arial" w:hAnsi="Arial" w:cs="Arial"/>
          <w:sz w:val="24"/>
          <w:szCs w:val="24"/>
        </w:rPr>
        <w:t>Statistical significance</w:t>
      </w:r>
      <w:r w:rsidR="00A935C0">
        <w:rPr>
          <w:rFonts w:ascii="Arial" w:hAnsi="Arial" w:cs="Arial"/>
          <w:sz w:val="24"/>
          <w:szCs w:val="24"/>
        </w:rPr>
        <w:t>s</w:t>
      </w:r>
      <w:r w:rsidR="00841416">
        <w:rPr>
          <w:rFonts w:ascii="Arial" w:hAnsi="Arial" w:cs="Arial"/>
          <w:sz w:val="24"/>
          <w:szCs w:val="24"/>
        </w:rPr>
        <w:t xml:space="preserve"> of the regressions </w:t>
      </w:r>
      <w:r w:rsidR="00A935C0">
        <w:rPr>
          <w:rFonts w:ascii="Arial" w:hAnsi="Arial" w:cs="Arial"/>
          <w:sz w:val="24"/>
          <w:szCs w:val="24"/>
        </w:rPr>
        <w:t xml:space="preserve">were assessed by p-value calculated using a t-distribution with n-2 degrees of freedom (n being the number of samples). </w:t>
      </w:r>
      <w:r w:rsidR="00B771C8">
        <w:rPr>
          <w:rFonts w:ascii="Arial" w:hAnsi="Arial" w:cs="Arial"/>
          <w:sz w:val="24"/>
          <w:szCs w:val="24"/>
        </w:rPr>
        <w:t xml:space="preserve">Results are presented </w:t>
      </w:r>
      <w:r w:rsidR="00B771C8" w:rsidRPr="003E7B3E">
        <w:rPr>
          <w:rFonts w:ascii="Arial" w:hAnsi="Arial" w:cs="Arial"/>
          <w:sz w:val="24"/>
          <w:szCs w:val="24"/>
        </w:rPr>
        <w:t>in</w:t>
      </w:r>
      <w:r w:rsidR="003E7B3E" w:rsidRPr="003E7B3E">
        <w:rPr>
          <w:rFonts w:ascii="Arial" w:hAnsi="Arial" w:cs="Arial"/>
          <w:sz w:val="24"/>
          <w:szCs w:val="24"/>
        </w:rPr>
        <w:t xml:space="preserve"> </w:t>
      </w:r>
      <w:r w:rsidR="003E7B3E" w:rsidRPr="003E7B3E">
        <w:rPr>
          <w:rFonts w:ascii="Arial" w:hAnsi="Arial" w:cs="Arial"/>
          <w:sz w:val="24"/>
          <w:szCs w:val="24"/>
        </w:rPr>
        <w:fldChar w:fldCharType="begin"/>
      </w:r>
      <w:r w:rsidR="003E7B3E" w:rsidRPr="003E7B3E">
        <w:rPr>
          <w:rFonts w:ascii="Arial" w:hAnsi="Arial" w:cs="Arial"/>
          <w:sz w:val="24"/>
          <w:szCs w:val="24"/>
        </w:rPr>
        <w:instrText xml:space="preserve"> REF _Ref206423970 \h </w:instrText>
      </w:r>
      <w:r w:rsidR="003E7B3E" w:rsidRPr="003E7B3E">
        <w:rPr>
          <w:rFonts w:ascii="Arial" w:hAnsi="Arial" w:cs="Arial"/>
          <w:sz w:val="24"/>
          <w:szCs w:val="24"/>
        </w:rPr>
      </w:r>
      <w:r w:rsidR="003E7B3E" w:rsidRPr="003E7B3E">
        <w:rPr>
          <w:rFonts w:ascii="Arial" w:hAnsi="Arial" w:cs="Arial"/>
          <w:sz w:val="24"/>
          <w:szCs w:val="24"/>
        </w:rPr>
        <w:instrText xml:space="preserve"> \* MERGEFORMAT </w:instrText>
      </w:r>
      <w:r w:rsidR="003E7B3E" w:rsidRPr="003E7B3E">
        <w:rPr>
          <w:rFonts w:ascii="Arial" w:hAnsi="Arial" w:cs="Arial"/>
          <w:sz w:val="24"/>
          <w:szCs w:val="24"/>
        </w:rPr>
        <w:fldChar w:fldCharType="separate"/>
      </w:r>
      <w:r w:rsidR="003E7B3E" w:rsidRPr="003E7B3E">
        <w:rPr>
          <w:rFonts w:ascii="Arial" w:hAnsi="Arial" w:cs="Arial"/>
          <w:color w:val="000000" w:themeColor="text1"/>
          <w:sz w:val="24"/>
          <w:szCs w:val="24"/>
        </w:rPr>
        <w:t>Supplementary figure 4.1</w:t>
      </w:r>
      <w:r w:rsidR="003E7B3E" w:rsidRPr="003E7B3E">
        <w:rPr>
          <w:rFonts w:ascii="Arial" w:hAnsi="Arial" w:cs="Arial"/>
          <w:sz w:val="24"/>
          <w:szCs w:val="24"/>
        </w:rPr>
        <w:fldChar w:fldCharType="end"/>
      </w:r>
      <w:r w:rsidR="00B771C8" w:rsidRPr="003E7B3E">
        <w:rPr>
          <w:rFonts w:ascii="Arial" w:hAnsi="Arial" w:cs="Arial"/>
          <w:sz w:val="24"/>
          <w:szCs w:val="24"/>
        </w:rPr>
        <w:t>.</w:t>
      </w:r>
    </w:p>
    <w:p w14:paraId="3DE7035D" w14:textId="597D3C12" w:rsidR="00D778C4" w:rsidRDefault="00212DE2" w:rsidP="00212DE2">
      <w:pPr>
        <w:tabs>
          <w:tab w:val="left" w:pos="5670"/>
        </w:tabs>
        <w:jc w:val="both"/>
        <w:rPr>
          <w:rFonts w:ascii="Arial" w:hAnsi="Arial" w:cs="Arial"/>
          <w:sz w:val="24"/>
          <w:szCs w:val="24"/>
        </w:rPr>
      </w:pPr>
      <w:r w:rsidRPr="00B771C8">
        <w:rPr>
          <w:rFonts w:ascii="Arial" w:hAnsi="Arial" w:cs="Arial"/>
          <w:sz w:val="24"/>
          <w:szCs w:val="24"/>
        </w:rPr>
        <w:t xml:space="preserve">For </w:t>
      </w:r>
      <w:r w:rsidR="00430563">
        <w:rPr>
          <w:rFonts w:ascii="Arial" w:hAnsi="Arial" w:cs="Arial"/>
          <w:sz w:val="24"/>
          <w:szCs w:val="24"/>
        </w:rPr>
        <w:t>p</w:t>
      </w:r>
      <w:r w:rsidRPr="00B771C8">
        <w:rPr>
          <w:rFonts w:ascii="Arial" w:hAnsi="Arial" w:cs="Arial"/>
          <w:sz w:val="24"/>
          <w:szCs w:val="24"/>
        </w:rPr>
        <w:t xml:space="preserve">atient 1, the mean RMS over 7 years was 16.7 </w:t>
      </w:r>
      <w:proofErr w:type="spellStart"/>
      <w:r w:rsidRPr="00B771C8">
        <w:rPr>
          <w:rFonts w:ascii="Arial" w:hAnsi="Arial" w:cs="Arial"/>
          <w:sz w:val="24"/>
          <w:szCs w:val="24"/>
        </w:rPr>
        <w:t>μVrms</w:t>
      </w:r>
      <w:proofErr w:type="spellEnd"/>
      <w:r w:rsidRPr="00B771C8">
        <w:rPr>
          <w:rFonts w:ascii="Arial" w:hAnsi="Arial" w:cs="Arial"/>
          <w:sz w:val="24"/>
          <w:szCs w:val="24"/>
        </w:rPr>
        <w:t xml:space="preserve"> (SD = 3.2) and 14.7 </w:t>
      </w:r>
      <w:proofErr w:type="spellStart"/>
      <w:r w:rsidRPr="00B771C8">
        <w:rPr>
          <w:rFonts w:ascii="Arial" w:hAnsi="Arial" w:cs="Arial"/>
          <w:sz w:val="24"/>
          <w:szCs w:val="24"/>
        </w:rPr>
        <w:t>μVrms</w:t>
      </w:r>
      <w:proofErr w:type="spellEnd"/>
      <w:r w:rsidRPr="00B771C8">
        <w:rPr>
          <w:rFonts w:ascii="Arial" w:hAnsi="Arial" w:cs="Arial"/>
          <w:sz w:val="24"/>
          <w:szCs w:val="24"/>
        </w:rPr>
        <w:t xml:space="preserve"> (SD = 4.1) for the left and right implant respectively. In addition, for the first year, the RMS values increased for </w:t>
      </w:r>
      <w:r w:rsidR="00430563">
        <w:rPr>
          <w:rFonts w:ascii="Arial" w:hAnsi="Arial" w:cs="Arial"/>
          <w:sz w:val="24"/>
          <w:szCs w:val="24"/>
        </w:rPr>
        <w:t>p</w:t>
      </w:r>
      <w:r>
        <w:rPr>
          <w:rFonts w:ascii="Arial" w:hAnsi="Arial" w:cs="Arial"/>
          <w:sz w:val="24"/>
          <w:szCs w:val="24"/>
        </w:rPr>
        <w:t xml:space="preserve">atient </w:t>
      </w:r>
      <w:r w:rsidRPr="00B771C8">
        <w:rPr>
          <w:rFonts w:ascii="Arial" w:hAnsi="Arial" w:cs="Arial"/>
          <w:sz w:val="24"/>
          <w:szCs w:val="24"/>
        </w:rPr>
        <w:t>1 with a slope of 0.0122 µV/day for the left implant and 0.0059 µV/day for the right implant</w:t>
      </w:r>
      <w:r w:rsidR="00A935C0">
        <w:rPr>
          <w:rFonts w:ascii="Arial" w:hAnsi="Arial" w:cs="Arial"/>
          <w:sz w:val="24"/>
          <w:szCs w:val="24"/>
        </w:rPr>
        <w:t xml:space="preserve"> (p &lt; 0.001)</w:t>
      </w:r>
      <w:r w:rsidRPr="00B771C8">
        <w:rPr>
          <w:rFonts w:ascii="Arial" w:hAnsi="Arial" w:cs="Arial"/>
          <w:sz w:val="24"/>
          <w:szCs w:val="24"/>
        </w:rPr>
        <w:t xml:space="preserve">. </w:t>
      </w:r>
      <w:r w:rsidR="00A935C0">
        <w:rPr>
          <w:rFonts w:ascii="Arial" w:hAnsi="Arial" w:cs="Arial"/>
          <w:sz w:val="24"/>
          <w:szCs w:val="24"/>
        </w:rPr>
        <w:t>During</w:t>
      </w:r>
      <w:r w:rsidRPr="00E63E41">
        <w:rPr>
          <w:rFonts w:ascii="Arial" w:hAnsi="Arial" w:cs="Arial"/>
          <w:sz w:val="24"/>
          <w:szCs w:val="24"/>
        </w:rPr>
        <w:t xml:space="preserve"> the second </w:t>
      </w:r>
      <w:r w:rsidR="00A935C0">
        <w:rPr>
          <w:rFonts w:ascii="Arial" w:hAnsi="Arial" w:cs="Arial"/>
          <w:sz w:val="24"/>
          <w:szCs w:val="24"/>
        </w:rPr>
        <w:t>period</w:t>
      </w:r>
      <w:r w:rsidRPr="00E63E41">
        <w:rPr>
          <w:rFonts w:ascii="Arial" w:hAnsi="Arial" w:cs="Arial"/>
          <w:sz w:val="24"/>
          <w:szCs w:val="24"/>
        </w:rPr>
        <w:t>, the RMS values decreased with a slope of −0.0</w:t>
      </w:r>
      <w:r w:rsidR="00A935C0">
        <w:rPr>
          <w:rFonts w:ascii="Arial" w:hAnsi="Arial" w:cs="Arial"/>
          <w:sz w:val="24"/>
          <w:szCs w:val="24"/>
        </w:rPr>
        <w:t>081</w:t>
      </w:r>
      <w:r w:rsidRPr="00E63E41">
        <w:rPr>
          <w:rFonts w:ascii="Arial" w:hAnsi="Arial" w:cs="Arial"/>
          <w:sz w:val="24"/>
          <w:szCs w:val="24"/>
        </w:rPr>
        <w:t xml:space="preserve"> µV/day and −0.0</w:t>
      </w:r>
      <w:r w:rsidR="00A935C0">
        <w:rPr>
          <w:rFonts w:ascii="Arial" w:hAnsi="Arial" w:cs="Arial"/>
          <w:sz w:val="24"/>
          <w:szCs w:val="24"/>
        </w:rPr>
        <w:t>066</w:t>
      </w:r>
      <w:r w:rsidRPr="00E63E41">
        <w:rPr>
          <w:rFonts w:ascii="Arial" w:hAnsi="Arial" w:cs="Arial"/>
          <w:sz w:val="24"/>
          <w:szCs w:val="24"/>
        </w:rPr>
        <w:t xml:space="preserve"> µV/day for the left and right implant of </w:t>
      </w:r>
      <w:r w:rsidR="00430563">
        <w:rPr>
          <w:rFonts w:ascii="Arial" w:hAnsi="Arial" w:cs="Arial"/>
          <w:sz w:val="24"/>
          <w:szCs w:val="24"/>
        </w:rPr>
        <w:t>p</w:t>
      </w:r>
      <w:r w:rsidRPr="00E63E41">
        <w:rPr>
          <w:rFonts w:ascii="Arial" w:hAnsi="Arial" w:cs="Arial"/>
          <w:sz w:val="24"/>
          <w:szCs w:val="24"/>
        </w:rPr>
        <w:t xml:space="preserve">atient 1 respectively. </w:t>
      </w:r>
      <w:r>
        <w:rPr>
          <w:rFonts w:ascii="Arial" w:hAnsi="Arial" w:cs="Arial"/>
          <w:sz w:val="24"/>
          <w:szCs w:val="24"/>
        </w:rPr>
        <w:t xml:space="preserve">Although fewer points were acquired for </w:t>
      </w:r>
      <w:r w:rsidR="00430563">
        <w:rPr>
          <w:rFonts w:ascii="Arial" w:hAnsi="Arial" w:cs="Arial"/>
          <w:sz w:val="24"/>
          <w:szCs w:val="24"/>
        </w:rPr>
        <w:t>p</w:t>
      </w:r>
      <w:r>
        <w:rPr>
          <w:rFonts w:ascii="Arial" w:hAnsi="Arial" w:cs="Arial"/>
          <w:sz w:val="24"/>
          <w:szCs w:val="24"/>
        </w:rPr>
        <w:t>atient 1 after the third ye</w:t>
      </w:r>
      <w:r w:rsidRPr="001E6999">
        <w:rPr>
          <w:rFonts w:ascii="Arial" w:hAnsi="Arial" w:cs="Arial"/>
          <w:sz w:val="24"/>
          <w:szCs w:val="24"/>
        </w:rPr>
        <w:t xml:space="preserve">ar, </w:t>
      </w:r>
      <w:r w:rsidRPr="00D778C4">
        <w:rPr>
          <w:rFonts w:ascii="Arial" w:hAnsi="Arial" w:cs="Arial"/>
          <w:sz w:val="24"/>
          <w:szCs w:val="24"/>
        </w:rPr>
        <w:t xml:space="preserve">stability of the RMS can be observed from the beginning of the third </w:t>
      </w:r>
      <w:r w:rsidR="00A935C0" w:rsidRPr="00D778C4">
        <w:rPr>
          <w:rFonts w:ascii="Arial" w:hAnsi="Arial" w:cs="Arial"/>
          <w:sz w:val="24"/>
          <w:szCs w:val="24"/>
        </w:rPr>
        <w:t>period</w:t>
      </w:r>
      <w:r w:rsidRPr="00D778C4">
        <w:rPr>
          <w:rFonts w:ascii="Arial" w:hAnsi="Arial" w:cs="Arial"/>
          <w:sz w:val="24"/>
          <w:szCs w:val="24"/>
        </w:rPr>
        <w:t xml:space="preserve"> (slope of </w:t>
      </w:r>
      <w:r w:rsidR="00A935C0" w:rsidRPr="00D778C4">
        <w:rPr>
          <w:rFonts w:ascii="Arial" w:hAnsi="Arial" w:cs="Arial"/>
          <w:sz w:val="24"/>
          <w:szCs w:val="24"/>
        </w:rPr>
        <w:t>-</w:t>
      </w:r>
      <w:r w:rsidRPr="00D778C4">
        <w:rPr>
          <w:rFonts w:ascii="Arial" w:hAnsi="Arial" w:cs="Arial"/>
          <w:sz w:val="24"/>
          <w:szCs w:val="24"/>
        </w:rPr>
        <w:t>0.001</w:t>
      </w:r>
      <w:r w:rsidR="00A935C0" w:rsidRPr="00D778C4">
        <w:rPr>
          <w:rFonts w:ascii="Arial" w:hAnsi="Arial" w:cs="Arial"/>
          <w:sz w:val="24"/>
          <w:szCs w:val="24"/>
        </w:rPr>
        <w:t>9</w:t>
      </w:r>
      <w:r w:rsidRPr="00D778C4">
        <w:rPr>
          <w:rFonts w:ascii="Arial" w:hAnsi="Arial" w:cs="Arial"/>
          <w:sz w:val="24"/>
          <w:szCs w:val="24"/>
        </w:rPr>
        <w:t xml:space="preserve"> µV/day and -0.00</w:t>
      </w:r>
      <w:r w:rsidR="00A935C0" w:rsidRPr="00D778C4">
        <w:rPr>
          <w:rFonts w:ascii="Arial" w:hAnsi="Arial" w:cs="Arial"/>
          <w:sz w:val="24"/>
          <w:szCs w:val="24"/>
        </w:rPr>
        <w:t>24</w:t>
      </w:r>
      <w:r w:rsidRPr="00D778C4">
        <w:rPr>
          <w:rFonts w:ascii="Arial" w:hAnsi="Arial" w:cs="Arial"/>
          <w:sz w:val="24"/>
          <w:szCs w:val="24"/>
        </w:rPr>
        <w:t xml:space="preserve"> µV/day for the left and right implant respectively</w:t>
      </w:r>
      <w:r w:rsidR="00A935C0" w:rsidRPr="00D778C4">
        <w:rPr>
          <w:rFonts w:ascii="Arial" w:hAnsi="Arial" w:cs="Arial"/>
          <w:sz w:val="24"/>
          <w:szCs w:val="24"/>
        </w:rPr>
        <w:t>, p &gt; 0.1</w:t>
      </w:r>
      <w:r w:rsidRPr="00D778C4">
        <w:rPr>
          <w:rFonts w:ascii="Arial" w:hAnsi="Arial" w:cs="Arial"/>
          <w:sz w:val="24"/>
          <w:szCs w:val="24"/>
        </w:rPr>
        <w:t xml:space="preserve">). For </w:t>
      </w:r>
      <w:r w:rsidR="00430563" w:rsidRPr="00D778C4">
        <w:rPr>
          <w:rFonts w:ascii="Arial" w:hAnsi="Arial" w:cs="Arial"/>
          <w:sz w:val="24"/>
          <w:szCs w:val="24"/>
        </w:rPr>
        <w:t>p</w:t>
      </w:r>
      <w:r w:rsidRPr="00D778C4">
        <w:rPr>
          <w:rFonts w:ascii="Arial" w:hAnsi="Arial" w:cs="Arial"/>
          <w:sz w:val="24"/>
          <w:szCs w:val="24"/>
        </w:rPr>
        <w:t>atient 2, the mean RMS over the 5 years follow-up was 7.9 </w:t>
      </w:r>
      <w:proofErr w:type="spellStart"/>
      <w:r w:rsidRPr="00D778C4">
        <w:rPr>
          <w:rFonts w:ascii="Arial" w:hAnsi="Arial" w:cs="Arial"/>
          <w:sz w:val="24"/>
          <w:szCs w:val="24"/>
        </w:rPr>
        <w:t>μVrms</w:t>
      </w:r>
      <w:proofErr w:type="spellEnd"/>
      <w:r w:rsidRPr="00D778C4">
        <w:rPr>
          <w:rFonts w:ascii="Arial" w:hAnsi="Arial" w:cs="Arial"/>
          <w:sz w:val="24"/>
          <w:szCs w:val="24"/>
        </w:rPr>
        <w:t xml:space="preserve"> for the left implant. </w:t>
      </w:r>
      <w:r w:rsidR="00D778C4" w:rsidRPr="00D778C4">
        <w:rPr>
          <w:rFonts w:ascii="Arial" w:hAnsi="Arial" w:cs="Arial"/>
          <w:sz w:val="24"/>
          <w:szCs w:val="24"/>
        </w:rPr>
        <w:t>Variations over the course of the clinical trial were less pronounced, with significant slow increase in the second period and slow decrease during the third one (0.0008 and -0.0014 dB/day respectively, p &lt; 0.01).</w:t>
      </w:r>
    </w:p>
    <w:p w14:paraId="70857C42" w14:textId="77777777" w:rsidR="00212DE2" w:rsidRDefault="00212DE2" w:rsidP="00212DE2">
      <w:pPr>
        <w:tabs>
          <w:tab w:val="left" w:pos="5670"/>
        </w:tabs>
        <w:jc w:val="both"/>
        <w:rPr>
          <w:rFonts w:ascii="Arial" w:hAnsi="Arial" w:cs="Arial"/>
          <w:color w:val="FF0000"/>
          <w:sz w:val="24"/>
          <w:szCs w:val="24"/>
        </w:rPr>
      </w:pPr>
    </w:p>
    <w:p w14:paraId="4C8226A8" w14:textId="77777777" w:rsidR="00212DE2" w:rsidRDefault="00212DE2" w:rsidP="00FC4F9D">
      <w:pPr>
        <w:tabs>
          <w:tab w:val="left" w:pos="5670"/>
        </w:tabs>
        <w:jc w:val="both"/>
        <w:rPr>
          <w:rFonts w:ascii="Arial" w:hAnsi="Arial" w:cs="Arial"/>
          <w:sz w:val="24"/>
          <w:szCs w:val="24"/>
        </w:rPr>
      </w:pPr>
    </w:p>
    <w:p w14:paraId="179DB286" w14:textId="55C94CF1" w:rsidR="00212DE2" w:rsidRDefault="00841416" w:rsidP="00212DE2">
      <w:pPr>
        <w:keepNext/>
        <w:tabs>
          <w:tab w:val="left" w:pos="5670"/>
        </w:tabs>
        <w:jc w:val="both"/>
      </w:pPr>
      <w:r w:rsidRPr="00841416">
        <w:rPr>
          <w:noProof/>
        </w:rPr>
        <w:lastRenderedPageBreak/>
        <w:drawing>
          <wp:inline distT="0" distB="0" distL="0" distR="0" wp14:anchorId="2699A3BA" wp14:editId="117D25A7">
            <wp:extent cx="5760720" cy="5315585"/>
            <wp:effectExtent l="0" t="0" r="0" b="0"/>
            <wp:docPr id="4" name="Image 3">
              <a:extLst xmlns:a="http://schemas.openxmlformats.org/drawingml/2006/main">
                <a:ext uri="{FF2B5EF4-FFF2-40B4-BE49-F238E27FC236}">
                  <a16:creationId xmlns:a16="http://schemas.microsoft.com/office/drawing/2014/main" id="{CCA0B46C-794F-49F9-BD61-41C55FCA5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CCA0B46C-794F-49F9-BD61-41C55FCA5022}"/>
                        </a:ext>
                      </a:extLst>
                    </pic:cNvPr>
                    <pic:cNvPicPr>
                      <a:picLocks noChangeAspect="1"/>
                    </pic:cNvPicPr>
                  </pic:nvPicPr>
                  <pic:blipFill>
                    <a:blip r:embed="rId6"/>
                    <a:stretch>
                      <a:fillRect/>
                    </a:stretch>
                  </pic:blipFill>
                  <pic:spPr>
                    <a:xfrm>
                      <a:off x="0" y="0"/>
                      <a:ext cx="5760720" cy="5315585"/>
                    </a:xfrm>
                    <a:prstGeom prst="rect">
                      <a:avLst/>
                    </a:prstGeom>
                  </pic:spPr>
                </pic:pic>
              </a:graphicData>
            </a:graphic>
          </wp:inline>
        </w:drawing>
      </w:r>
    </w:p>
    <w:p w14:paraId="3EF2648E" w14:textId="601B0ED8" w:rsidR="00315454" w:rsidRPr="00AA7DD3" w:rsidRDefault="003E7B3E" w:rsidP="00212DE2">
      <w:pPr>
        <w:pStyle w:val="Lgende"/>
        <w:jc w:val="both"/>
        <w:rPr>
          <w:rFonts w:ascii="Arial" w:hAnsi="Arial" w:cs="Arial"/>
          <w:color w:val="000000" w:themeColor="text1"/>
          <w:sz w:val="16"/>
          <w:szCs w:val="16"/>
        </w:rPr>
      </w:pPr>
      <w:bookmarkStart w:id="0" w:name="_Ref206423970"/>
      <w:r>
        <w:rPr>
          <w:rFonts w:ascii="Arial" w:hAnsi="Arial" w:cs="Arial"/>
          <w:b/>
          <w:bCs/>
          <w:color w:val="000000" w:themeColor="text1"/>
          <w:sz w:val="16"/>
          <w:szCs w:val="16"/>
        </w:rPr>
        <w:t>Supplementary f</w:t>
      </w:r>
      <w:r w:rsidRPr="00AA7DD3">
        <w:rPr>
          <w:rFonts w:ascii="Arial" w:hAnsi="Arial" w:cs="Arial"/>
          <w:b/>
          <w:bCs/>
          <w:color w:val="000000" w:themeColor="text1"/>
          <w:sz w:val="16"/>
          <w:szCs w:val="16"/>
        </w:rPr>
        <w:t xml:space="preserve">igure </w:t>
      </w:r>
      <w:r>
        <w:rPr>
          <w:rFonts w:ascii="Arial" w:hAnsi="Arial" w:cs="Arial"/>
          <w:b/>
          <w:bCs/>
          <w:color w:val="000000" w:themeColor="text1"/>
          <w:sz w:val="16"/>
          <w:szCs w:val="16"/>
        </w:rPr>
        <w:t>4.</w:t>
      </w:r>
      <w:r w:rsidR="00212DE2" w:rsidRPr="00AA7DD3">
        <w:rPr>
          <w:rFonts w:ascii="Arial" w:hAnsi="Arial" w:cs="Arial"/>
          <w:b/>
          <w:bCs/>
          <w:color w:val="000000" w:themeColor="text1"/>
          <w:sz w:val="16"/>
          <w:szCs w:val="16"/>
        </w:rPr>
        <w:fldChar w:fldCharType="begin"/>
      </w:r>
      <w:r w:rsidR="00212DE2" w:rsidRPr="00AA7DD3">
        <w:rPr>
          <w:rFonts w:ascii="Arial" w:hAnsi="Arial" w:cs="Arial"/>
          <w:b/>
          <w:bCs/>
          <w:color w:val="000000" w:themeColor="text1"/>
          <w:sz w:val="16"/>
          <w:szCs w:val="16"/>
        </w:rPr>
        <w:instrText xml:space="preserve"> SEQ Figure \* ARABIC </w:instrText>
      </w:r>
      <w:r w:rsidR="00212DE2" w:rsidRPr="00AA7DD3">
        <w:rPr>
          <w:rFonts w:ascii="Arial" w:hAnsi="Arial" w:cs="Arial"/>
          <w:b/>
          <w:bCs/>
          <w:color w:val="000000" w:themeColor="text1"/>
          <w:sz w:val="16"/>
          <w:szCs w:val="16"/>
        </w:rPr>
        <w:fldChar w:fldCharType="separate"/>
      </w:r>
      <w:r w:rsidR="00212DE2" w:rsidRPr="00AA7DD3">
        <w:rPr>
          <w:rFonts w:ascii="Arial" w:hAnsi="Arial" w:cs="Arial"/>
          <w:b/>
          <w:bCs/>
          <w:color w:val="000000" w:themeColor="text1"/>
          <w:sz w:val="16"/>
          <w:szCs w:val="16"/>
        </w:rPr>
        <w:t>1</w:t>
      </w:r>
      <w:r w:rsidR="00212DE2" w:rsidRPr="00AA7DD3">
        <w:rPr>
          <w:rFonts w:ascii="Arial" w:hAnsi="Arial" w:cs="Arial"/>
          <w:b/>
          <w:bCs/>
          <w:color w:val="000000" w:themeColor="text1"/>
          <w:sz w:val="16"/>
          <w:szCs w:val="16"/>
        </w:rPr>
        <w:fldChar w:fldCharType="end"/>
      </w:r>
      <w:bookmarkEnd w:id="0"/>
      <w:r w:rsidR="00212DE2" w:rsidRPr="00AA7DD3">
        <w:rPr>
          <w:rFonts w:ascii="Arial" w:hAnsi="Arial" w:cs="Arial"/>
          <w:b/>
          <w:bCs/>
          <w:color w:val="000000" w:themeColor="text1"/>
          <w:sz w:val="16"/>
          <w:szCs w:val="16"/>
        </w:rPr>
        <w:t xml:space="preserve">: </w:t>
      </w:r>
      <w:r w:rsidR="00212DE2" w:rsidRPr="00AA7DD3">
        <w:rPr>
          <w:rFonts w:ascii="Arial" w:hAnsi="Arial" w:cs="Arial"/>
          <w:color w:val="000000" w:themeColor="text1"/>
          <w:sz w:val="16"/>
          <w:szCs w:val="16"/>
        </w:rPr>
        <w:t xml:space="preserve">Signal stability indicators </w:t>
      </w:r>
      <w:r w:rsidR="007F1996">
        <w:rPr>
          <w:rFonts w:ascii="Arial" w:hAnsi="Arial" w:cs="Arial"/>
          <w:color w:val="000000" w:themeColor="text1"/>
          <w:sz w:val="16"/>
          <w:szCs w:val="16"/>
        </w:rPr>
        <w:t xml:space="preserve">over the course of the clinical trial </w:t>
      </w:r>
      <w:r w:rsidR="00212DE2" w:rsidRPr="00AA7DD3">
        <w:rPr>
          <w:rFonts w:ascii="Arial" w:hAnsi="Arial" w:cs="Arial"/>
          <w:color w:val="000000" w:themeColor="text1"/>
          <w:sz w:val="16"/>
          <w:szCs w:val="16"/>
        </w:rPr>
        <w:t xml:space="preserve">for patient 1 (a.) and 2 (b.). </w:t>
      </w:r>
      <w:r w:rsidR="007F1996">
        <w:rPr>
          <w:rFonts w:ascii="Arial" w:hAnsi="Arial" w:cs="Arial"/>
          <w:color w:val="000000" w:themeColor="text1"/>
          <w:sz w:val="16"/>
          <w:szCs w:val="16"/>
        </w:rPr>
        <w:t xml:space="preserve">First line represents the RMS value of the signal in µV, second line the normalized SNR in dB, third line the BP of the different bands of interest in dB and fourth line the EFFBW of the signal in Hz. </w:t>
      </w:r>
      <w:r w:rsidR="00212DE2" w:rsidRPr="00AA7DD3">
        <w:rPr>
          <w:rFonts w:ascii="Arial" w:hAnsi="Arial" w:cs="Arial"/>
          <w:color w:val="000000" w:themeColor="text1"/>
          <w:sz w:val="16"/>
          <w:szCs w:val="16"/>
        </w:rPr>
        <w:t xml:space="preserve">Color points represent the values at each session as average + standard deviation over the 64 electrodes. Black dotted lines are the regression lines for the three considered periods, first year, </w:t>
      </w:r>
      <w:r w:rsidR="007F1996">
        <w:rPr>
          <w:rFonts w:ascii="Arial" w:hAnsi="Arial" w:cs="Arial"/>
          <w:color w:val="000000" w:themeColor="text1"/>
          <w:sz w:val="16"/>
          <w:szCs w:val="16"/>
        </w:rPr>
        <w:t xml:space="preserve">between 365 and 1000 days </w:t>
      </w:r>
      <w:r w:rsidR="00212DE2" w:rsidRPr="00AA7DD3">
        <w:rPr>
          <w:rFonts w:ascii="Arial" w:hAnsi="Arial" w:cs="Arial"/>
          <w:color w:val="000000" w:themeColor="text1"/>
          <w:sz w:val="16"/>
          <w:szCs w:val="16"/>
        </w:rPr>
        <w:t xml:space="preserve">and from </w:t>
      </w:r>
      <w:r w:rsidR="007F1996">
        <w:rPr>
          <w:rFonts w:ascii="Arial" w:hAnsi="Arial" w:cs="Arial"/>
          <w:color w:val="000000" w:themeColor="text1"/>
          <w:sz w:val="16"/>
          <w:szCs w:val="16"/>
        </w:rPr>
        <w:t>1000 days</w:t>
      </w:r>
      <w:r w:rsidR="00212DE2" w:rsidRPr="00AA7DD3">
        <w:rPr>
          <w:rFonts w:ascii="Arial" w:hAnsi="Arial" w:cs="Arial"/>
          <w:color w:val="000000" w:themeColor="text1"/>
          <w:sz w:val="16"/>
          <w:szCs w:val="16"/>
        </w:rPr>
        <w:t xml:space="preserve"> onward post-implantation.</w:t>
      </w:r>
    </w:p>
    <w:p w14:paraId="7ED3E744" w14:textId="2BE77A85" w:rsidR="001E6999" w:rsidRDefault="001A1D88" w:rsidP="001E6999">
      <w:pPr>
        <w:tabs>
          <w:tab w:val="left" w:pos="5670"/>
        </w:tabs>
        <w:jc w:val="both"/>
        <w:rPr>
          <w:rFonts w:ascii="Arial" w:hAnsi="Arial" w:cs="Arial"/>
          <w:color w:val="FF0000"/>
          <w:sz w:val="24"/>
          <w:szCs w:val="24"/>
        </w:rPr>
      </w:pPr>
      <w:r w:rsidRPr="001E6999">
        <w:rPr>
          <w:rFonts w:ascii="Arial" w:hAnsi="Arial" w:cs="Arial"/>
          <w:sz w:val="24"/>
          <w:szCs w:val="24"/>
        </w:rPr>
        <w:t>Regarding SNR</w:t>
      </w:r>
      <w:r w:rsidR="001E6999" w:rsidRPr="001E6999">
        <w:rPr>
          <w:rFonts w:ascii="Arial" w:hAnsi="Arial" w:cs="Arial"/>
          <w:sz w:val="24"/>
          <w:szCs w:val="24"/>
        </w:rPr>
        <w:t xml:space="preserve"> for patient 1</w:t>
      </w:r>
      <w:r w:rsidRPr="001E6999">
        <w:rPr>
          <w:rFonts w:ascii="Arial" w:hAnsi="Arial" w:cs="Arial"/>
          <w:sz w:val="24"/>
          <w:szCs w:val="24"/>
        </w:rPr>
        <w:t xml:space="preserve">, </w:t>
      </w:r>
      <w:r w:rsidR="001E6999" w:rsidRPr="001E6999">
        <w:rPr>
          <w:rFonts w:ascii="Arial" w:hAnsi="Arial" w:cs="Arial"/>
          <w:sz w:val="24"/>
          <w:szCs w:val="24"/>
        </w:rPr>
        <w:t xml:space="preserve">mean values were equal to 51.1 and 49.5 dB </w:t>
      </w:r>
      <w:r w:rsidR="008A6B96" w:rsidRPr="001E6999">
        <w:rPr>
          <w:rFonts w:ascii="Arial" w:hAnsi="Arial" w:cs="Arial"/>
          <w:sz w:val="24"/>
          <w:szCs w:val="24"/>
        </w:rPr>
        <w:t>for left and right implant</w:t>
      </w:r>
      <w:r w:rsidR="008A6B96">
        <w:rPr>
          <w:rFonts w:ascii="Arial" w:hAnsi="Arial" w:cs="Arial"/>
          <w:sz w:val="24"/>
          <w:szCs w:val="24"/>
        </w:rPr>
        <w:t>s</w:t>
      </w:r>
      <w:r w:rsidR="008A6B96" w:rsidRPr="001E6999">
        <w:rPr>
          <w:rFonts w:ascii="Arial" w:hAnsi="Arial" w:cs="Arial"/>
          <w:sz w:val="24"/>
          <w:szCs w:val="24"/>
        </w:rPr>
        <w:t xml:space="preserve"> </w:t>
      </w:r>
      <w:r w:rsidR="008A6B96">
        <w:rPr>
          <w:rFonts w:ascii="Arial" w:hAnsi="Arial" w:cs="Arial"/>
          <w:sz w:val="24"/>
          <w:szCs w:val="24"/>
        </w:rPr>
        <w:t xml:space="preserve">respectively </w:t>
      </w:r>
      <w:r w:rsidR="001E6999" w:rsidRPr="001E6999">
        <w:rPr>
          <w:rFonts w:ascii="Arial" w:hAnsi="Arial" w:cs="Arial"/>
          <w:sz w:val="24"/>
          <w:szCs w:val="24"/>
        </w:rPr>
        <w:t>over the seven years. I</w:t>
      </w:r>
      <w:r w:rsidRPr="001E6999">
        <w:rPr>
          <w:rFonts w:ascii="Arial" w:hAnsi="Arial" w:cs="Arial"/>
          <w:sz w:val="24"/>
          <w:szCs w:val="24"/>
        </w:rPr>
        <w:t xml:space="preserve">t </w:t>
      </w:r>
      <w:r w:rsidR="00E76D38" w:rsidRPr="001E6999">
        <w:rPr>
          <w:rFonts w:ascii="Arial" w:hAnsi="Arial" w:cs="Arial"/>
          <w:sz w:val="24"/>
          <w:szCs w:val="24"/>
        </w:rPr>
        <w:t>followed the same slopes than RMS</w:t>
      </w:r>
      <w:r w:rsidR="00026D5A" w:rsidRPr="001E6999">
        <w:rPr>
          <w:rFonts w:ascii="Arial" w:hAnsi="Arial" w:cs="Arial"/>
          <w:sz w:val="24"/>
          <w:szCs w:val="24"/>
        </w:rPr>
        <w:t xml:space="preserve"> </w:t>
      </w:r>
      <w:r w:rsidRPr="001E6999">
        <w:rPr>
          <w:rFonts w:ascii="Arial" w:hAnsi="Arial" w:cs="Arial"/>
          <w:sz w:val="24"/>
          <w:szCs w:val="24"/>
        </w:rPr>
        <w:t xml:space="preserve">for the first two </w:t>
      </w:r>
      <w:r w:rsidR="00A935C0">
        <w:rPr>
          <w:rFonts w:ascii="Arial" w:hAnsi="Arial" w:cs="Arial"/>
          <w:sz w:val="24"/>
          <w:szCs w:val="24"/>
        </w:rPr>
        <w:t>periods</w:t>
      </w:r>
      <w:r w:rsidRPr="001E6999">
        <w:rPr>
          <w:rFonts w:ascii="Arial" w:hAnsi="Arial" w:cs="Arial"/>
          <w:sz w:val="24"/>
          <w:szCs w:val="24"/>
        </w:rPr>
        <w:t xml:space="preserve"> </w:t>
      </w:r>
      <w:r w:rsidR="00E76D38" w:rsidRPr="001E6999">
        <w:rPr>
          <w:rFonts w:ascii="Arial" w:hAnsi="Arial" w:cs="Arial"/>
          <w:sz w:val="24"/>
          <w:szCs w:val="24"/>
        </w:rPr>
        <w:t xml:space="preserve">with </w:t>
      </w:r>
      <w:r w:rsidRPr="001E6999">
        <w:rPr>
          <w:rFonts w:ascii="Arial" w:hAnsi="Arial" w:cs="Arial"/>
          <w:sz w:val="24"/>
          <w:szCs w:val="24"/>
        </w:rPr>
        <w:t>slopes of</w:t>
      </w:r>
      <w:r w:rsidR="00E76D38" w:rsidRPr="001E6999">
        <w:rPr>
          <w:rFonts w:ascii="Arial" w:hAnsi="Arial" w:cs="Arial"/>
          <w:sz w:val="24"/>
          <w:szCs w:val="24"/>
        </w:rPr>
        <w:t xml:space="preserve"> </w:t>
      </w:r>
      <w:r w:rsidRPr="001E6999">
        <w:rPr>
          <w:rFonts w:ascii="Arial" w:hAnsi="Arial" w:cs="Arial"/>
          <w:sz w:val="24"/>
          <w:szCs w:val="24"/>
        </w:rPr>
        <w:t>0.00</w:t>
      </w:r>
      <w:r w:rsidR="00A935C0">
        <w:rPr>
          <w:rFonts w:ascii="Arial" w:hAnsi="Arial" w:cs="Arial"/>
          <w:sz w:val="24"/>
          <w:szCs w:val="24"/>
        </w:rPr>
        <w:t>69</w:t>
      </w:r>
      <w:r w:rsidRPr="001E6999">
        <w:rPr>
          <w:rFonts w:ascii="Arial" w:hAnsi="Arial" w:cs="Arial"/>
          <w:sz w:val="24"/>
          <w:szCs w:val="24"/>
        </w:rPr>
        <w:t xml:space="preserve"> and 0.00</w:t>
      </w:r>
      <w:r w:rsidR="00A935C0">
        <w:rPr>
          <w:rFonts w:ascii="Arial" w:hAnsi="Arial" w:cs="Arial"/>
          <w:sz w:val="24"/>
          <w:szCs w:val="24"/>
        </w:rPr>
        <w:t>35</w:t>
      </w:r>
      <w:r w:rsidRPr="001E6999">
        <w:rPr>
          <w:rFonts w:ascii="Arial" w:hAnsi="Arial" w:cs="Arial"/>
          <w:sz w:val="24"/>
          <w:szCs w:val="24"/>
        </w:rPr>
        <w:t xml:space="preserve"> dB/day</w:t>
      </w:r>
      <w:r w:rsidR="00E76D38" w:rsidRPr="001E6999">
        <w:rPr>
          <w:rFonts w:ascii="Arial" w:hAnsi="Arial" w:cs="Arial"/>
          <w:sz w:val="24"/>
          <w:szCs w:val="24"/>
        </w:rPr>
        <w:t xml:space="preserve"> for</w:t>
      </w:r>
      <w:r w:rsidRPr="001E6999">
        <w:rPr>
          <w:rFonts w:ascii="Arial" w:hAnsi="Arial" w:cs="Arial"/>
          <w:sz w:val="24"/>
          <w:szCs w:val="24"/>
        </w:rPr>
        <w:t xml:space="preserve"> left and right implant</w:t>
      </w:r>
      <w:r w:rsidR="001E6999">
        <w:rPr>
          <w:rFonts w:ascii="Arial" w:hAnsi="Arial" w:cs="Arial"/>
          <w:sz w:val="24"/>
          <w:szCs w:val="24"/>
        </w:rPr>
        <w:t>s</w:t>
      </w:r>
      <w:r w:rsidRPr="001E6999">
        <w:rPr>
          <w:rFonts w:ascii="Arial" w:hAnsi="Arial" w:cs="Arial"/>
          <w:sz w:val="24"/>
          <w:szCs w:val="24"/>
        </w:rPr>
        <w:t xml:space="preserve"> during</w:t>
      </w:r>
      <w:r w:rsidR="00E76D38" w:rsidRPr="001E6999">
        <w:rPr>
          <w:rFonts w:ascii="Arial" w:hAnsi="Arial" w:cs="Arial"/>
          <w:sz w:val="24"/>
          <w:szCs w:val="24"/>
        </w:rPr>
        <w:t xml:space="preserve"> </w:t>
      </w:r>
      <w:r w:rsidRPr="001E6999">
        <w:rPr>
          <w:rFonts w:ascii="Arial" w:hAnsi="Arial" w:cs="Arial"/>
          <w:sz w:val="24"/>
          <w:szCs w:val="24"/>
        </w:rPr>
        <w:t>first year</w:t>
      </w:r>
      <w:r w:rsidR="00E76D38" w:rsidRPr="001E6999">
        <w:rPr>
          <w:rFonts w:ascii="Arial" w:hAnsi="Arial" w:cs="Arial"/>
          <w:sz w:val="24"/>
          <w:szCs w:val="24"/>
        </w:rPr>
        <w:t xml:space="preserve"> and</w:t>
      </w:r>
      <w:r w:rsidRPr="001E6999">
        <w:rPr>
          <w:rFonts w:ascii="Arial" w:hAnsi="Arial" w:cs="Arial"/>
          <w:sz w:val="24"/>
          <w:szCs w:val="24"/>
        </w:rPr>
        <w:t xml:space="preserve"> -</w:t>
      </w:r>
      <w:r w:rsidR="001E6999" w:rsidRPr="001E6999">
        <w:rPr>
          <w:rFonts w:ascii="Arial" w:hAnsi="Arial" w:cs="Arial"/>
          <w:sz w:val="24"/>
          <w:szCs w:val="24"/>
        </w:rPr>
        <w:t>0</w:t>
      </w:r>
      <w:r w:rsidRPr="001E6999">
        <w:rPr>
          <w:rFonts w:ascii="Arial" w:hAnsi="Arial" w:cs="Arial"/>
          <w:sz w:val="24"/>
          <w:szCs w:val="24"/>
        </w:rPr>
        <w:t>.00</w:t>
      </w:r>
      <w:r w:rsidR="00637768">
        <w:rPr>
          <w:rFonts w:ascii="Arial" w:hAnsi="Arial" w:cs="Arial"/>
          <w:sz w:val="24"/>
          <w:szCs w:val="24"/>
        </w:rPr>
        <w:t>44</w:t>
      </w:r>
      <w:r w:rsidRPr="001E6999">
        <w:rPr>
          <w:rFonts w:ascii="Arial" w:hAnsi="Arial" w:cs="Arial"/>
          <w:sz w:val="24"/>
          <w:szCs w:val="24"/>
        </w:rPr>
        <w:t xml:space="preserve"> and -0.0</w:t>
      </w:r>
      <w:r w:rsidR="00637768">
        <w:rPr>
          <w:rFonts w:ascii="Arial" w:hAnsi="Arial" w:cs="Arial"/>
          <w:sz w:val="24"/>
          <w:szCs w:val="24"/>
        </w:rPr>
        <w:t>066</w:t>
      </w:r>
      <w:r w:rsidRPr="001E6999">
        <w:rPr>
          <w:rFonts w:ascii="Arial" w:hAnsi="Arial" w:cs="Arial"/>
          <w:sz w:val="24"/>
          <w:szCs w:val="24"/>
        </w:rPr>
        <w:t xml:space="preserve"> dB/day for left and </w:t>
      </w:r>
      <w:r w:rsidRPr="002C412A">
        <w:rPr>
          <w:rFonts w:ascii="Arial" w:hAnsi="Arial" w:cs="Arial"/>
          <w:sz w:val="24"/>
          <w:szCs w:val="24"/>
        </w:rPr>
        <w:t xml:space="preserve">right implant </w:t>
      </w:r>
      <w:r w:rsidRPr="00D778C4">
        <w:rPr>
          <w:rFonts w:ascii="Arial" w:hAnsi="Arial" w:cs="Arial"/>
          <w:sz w:val="24"/>
          <w:szCs w:val="24"/>
        </w:rPr>
        <w:t xml:space="preserve">during second </w:t>
      </w:r>
      <w:r w:rsidR="00637768" w:rsidRPr="00D778C4">
        <w:rPr>
          <w:rFonts w:ascii="Arial" w:hAnsi="Arial" w:cs="Arial"/>
          <w:sz w:val="24"/>
          <w:szCs w:val="24"/>
        </w:rPr>
        <w:t>period (p &lt; 0.001)</w:t>
      </w:r>
      <w:r w:rsidRPr="00D778C4">
        <w:rPr>
          <w:rFonts w:ascii="Arial" w:hAnsi="Arial" w:cs="Arial"/>
          <w:sz w:val="24"/>
          <w:szCs w:val="24"/>
        </w:rPr>
        <w:t xml:space="preserve">. </w:t>
      </w:r>
      <w:r w:rsidR="008A6B96" w:rsidRPr="00D778C4">
        <w:rPr>
          <w:rFonts w:ascii="Arial" w:hAnsi="Arial" w:cs="Arial"/>
          <w:sz w:val="24"/>
          <w:szCs w:val="24"/>
        </w:rPr>
        <w:t>After</w:t>
      </w:r>
      <w:r w:rsidRPr="00D778C4">
        <w:rPr>
          <w:rFonts w:ascii="Arial" w:hAnsi="Arial" w:cs="Arial"/>
          <w:sz w:val="24"/>
          <w:szCs w:val="24"/>
        </w:rPr>
        <w:t xml:space="preserve"> </w:t>
      </w:r>
      <w:r w:rsidR="008A6B96" w:rsidRPr="00D778C4">
        <w:rPr>
          <w:rFonts w:ascii="Arial" w:hAnsi="Arial" w:cs="Arial"/>
          <w:sz w:val="24"/>
          <w:szCs w:val="24"/>
        </w:rPr>
        <w:t>1000 days</w:t>
      </w:r>
      <w:r w:rsidRPr="00D778C4">
        <w:rPr>
          <w:rFonts w:ascii="Arial" w:hAnsi="Arial" w:cs="Arial"/>
          <w:sz w:val="24"/>
          <w:szCs w:val="24"/>
        </w:rPr>
        <w:t xml:space="preserve">, </w:t>
      </w:r>
      <w:r w:rsidR="008A6B96" w:rsidRPr="00D778C4">
        <w:rPr>
          <w:rFonts w:ascii="Arial" w:hAnsi="Arial" w:cs="Arial"/>
          <w:sz w:val="24"/>
          <w:szCs w:val="24"/>
        </w:rPr>
        <w:t>SNR stabilized</w:t>
      </w:r>
      <w:r w:rsidRPr="00D778C4">
        <w:rPr>
          <w:rFonts w:ascii="Arial" w:hAnsi="Arial" w:cs="Arial"/>
          <w:sz w:val="24"/>
          <w:szCs w:val="24"/>
        </w:rPr>
        <w:t xml:space="preserve"> </w:t>
      </w:r>
      <w:r w:rsidR="008A6B96" w:rsidRPr="00D778C4">
        <w:rPr>
          <w:rFonts w:ascii="Arial" w:hAnsi="Arial" w:cs="Arial"/>
          <w:sz w:val="24"/>
          <w:szCs w:val="24"/>
        </w:rPr>
        <w:t>(slope of -0.0010 µV/day and -0.0014 dB/day for the left and right implant respectively, p &gt; 0.1)</w:t>
      </w:r>
      <w:r w:rsidRPr="00D778C4">
        <w:rPr>
          <w:rFonts w:ascii="Arial" w:hAnsi="Arial" w:cs="Arial"/>
          <w:sz w:val="24"/>
          <w:szCs w:val="24"/>
        </w:rPr>
        <w:t xml:space="preserve">. </w:t>
      </w:r>
      <w:r w:rsidR="001E6999" w:rsidRPr="00D778C4">
        <w:rPr>
          <w:rFonts w:ascii="Arial" w:hAnsi="Arial" w:cs="Arial"/>
          <w:sz w:val="24"/>
          <w:szCs w:val="24"/>
        </w:rPr>
        <w:t xml:space="preserve">For </w:t>
      </w:r>
      <w:r w:rsidR="00430563" w:rsidRPr="00D778C4">
        <w:rPr>
          <w:rFonts w:ascii="Arial" w:hAnsi="Arial" w:cs="Arial"/>
          <w:sz w:val="24"/>
          <w:szCs w:val="24"/>
        </w:rPr>
        <w:t>p</w:t>
      </w:r>
      <w:r w:rsidR="001E6999" w:rsidRPr="00D778C4">
        <w:rPr>
          <w:rFonts w:ascii="Arial" w:hAnsi="Arial" w:cs="Arial"/>
          <w:sz w:val="24"/>
          <w:szCs w:val="24"/>
        </w:rPr>
        <w:t>atient 2</w:t>
      </w:r>
      <w:r w:rsidR="002C412A" w:rsidRPr="00D778C4">
        <w:rPr>
          <w:rFonts w:ascii="Arial" w:hAnsi="Arial" w:cs="Arial"/>
          <w:sz w:val="24"/>
          <w:szCs w:val="24"/>
        </w:rPr>
        <w:t xml:space="preserve">, mean SNR was 44.5 dB with </w:t>
      </w:r>
      <w:r w:rsidR="00D778C4" w:rsidRPr="00D778C4">
        <w:rPr>
          <w:rFonts w:ascii="Arial" w:hAnsi="Arial" w:cs="Arial"/>
          <w:sz w:val="24"/>
          <w:szCs w:val="24"/>
        </w:rPr>
        <w:t xml:space="preserve">significant slow decrease during the third </w:t>
      </w:r>
      <w:r w:rsidR="00D778C4">
        <w:rPr>
          <w:rFonts w:ascii="Arial" w:hAnsi="Arial" w:cs="Arial"/>
          <w:sz w:val="24"/>
          <w:szCs w:val="24"/>
        </w:rPr>
        <w:t>period of recording</w:t>
      </w:r>
      <w:r w:rsidR="00D778C4" w:rsidRPr="00D778C4">
        <w:rPr>
          <w:rFonts w:ascii="Arial" w:hAnsi="Arial" w:cs="Arial"/>
          <w:sz w:val="24"/>
          <w:szCs w:val="24"/>
        </w:rPr>
        <w:t xml:space="preserve"> </w:t>
      </w:r>
      <w:r w:rsidR="002C412A" w:rsidRPr="00D778C4">
        <w:rPr>
          <w:rFonts w:ascii="Arial" w:hAnsi="Arial" w:cs="Arial"/>
          <w:sz w:val="24"/>
          <w:szCs w:val="24"/>
        </w:rPr>
        <w:t>(-0.001</w:t>
      </w:r>
      <w:r w:rsidR="00D778C4">
        <w:rPr>
          <w:rFonts w:ascii="Arial" w:hAnsi="Arial" w:cs="Arial"/>
          <w:sz w:val="24"/>
          <w:szCs w:val="24"/>
        </w:rPr>
        <w:t>6</w:t>
      </w:r>
      <w:r w:rsidR="002C412A" w:rsidRPr="00D778C4">
        <w:rPr>
          <w:rFonts w:ascii="Arial" w:hAnsi="Arial" w:cs="Arial"/>
          <w:sz w:val="24"/>
          <w:szCs w:val="24"/>
        </w:rPr>
        <w:t xml:space="preserve"> dB/day</w:t>
      </w:r>
      <w:r w:rsidR="00D778C4" w:rsidRPr="00D778C4">
        <w:rPr>
          <w:rFonts w:ascii="Arial" w:hAnsi="Arial" w:cs="Arial"/>
          <w:sz w:val="24"/>
          <w:szCs w:val="24"/>
        </w:rPr>
        <w:t>, p &lt; 0.01</w:t>
      </w:r>
      <w:r w:rsidR="002C412A" w:rsidRPr="00D778C4">
        <w:rPr>
          <w:rFonts w:ascii="Arial" w:hAnsi="Arial" w:cs="Arial"/>
          <w:sz w:val="24"/>
          <w:szCs w:val="24"/>
        </w:rPr>
        <w:t>).</w:t>
      </w:r>
    </w:p>
    <w:p w14:paraId="3D9E32C2" w14:textId="4770B86B" w:rsidR="008A6B96" w:rsidRDefault="00430563" w:rsidP="00FC4F9D">
      <w:pPr>
        <w:tabs>
          <w:tab w:val="left" w:pos="5670"/>
        </w:tabs>
        <w:jc w:val="both"/>
        <w:rPr>
          <w:rFonts w:ascii="Arial" w:hAnsi="Arial" w:cs="Arial"/>
          <w:sz w:val="24"/>
          <w:szCs w:val="24"/>
        </w:rPr>
      </w:pPr>
      <w:r>
        <w:rPr>
          <w:rFonts w:ascii="Arial" w:hAnsi="Arial" w:cs="Arial"/>
          <w:sz w:val="24"/>
          <w:szCs w:val="24"/>
        </w:rPr>
        <w:t>The BP of the three lower bands (</w:t>
      </w:r>
      <w:r w:rsidRPr="00A56F3A">
        <w:rPr>
          <w:rFonts w:ascii="Arial" w:hAnsi="Arial" w:cs="Arial"/>
          <w:sz w:val="24"/>
          <w:szCs w:val="24"/>
        </w:rPr>
        <w:t>0.5–10 Hz, 10–40 Hz</w:t>
      </w:r>
      <w:r>
        <w:rPr>
          <w:rFonts w:ascii="Arial" w:hAnsi="Arial" w:cs="Arial"/>
          <w:sz w:val="24"/>
          <w:szCs w:val="24"/>
        </w:rPr>
        <w:t xml:space="preserve"> and</w:t>
      </w:r>
      <w:r w:rsidRPr="00A56F3A">
        <w:rPr>
          <w:rFonts w:ascii="Arial" w:hAnsi="Arial" w:cs="Arial"/>
          <w:sz w:val="24"/>
          <w:szCs w:val="24"/>
        </w:rPr>
        <w:t xml:space="preserve"> 40–100 Hz</w:t>
      </w:r>
      <w:r>
        <w:rPr>
          <w:rFonts w:ascii="Arial" w:hAnsi="Arial" w:cs="Arial"/>
          <w:sz w:val="24"/>
          <w:szCs w:val="24"/>
        </w:rPr>
        <w:t xml:space="preserve">) significantly increased during the first year for patient 1, with slopes of 0.0083, 0.0054 and 0.0039 dB/day (p &lt; 0.001) for left implant and of 0.0051, 0.0021 and 0.0040 dB/day (p &lt; 0.05) for right implant. During second period a significant decrease was measured for the same bands with slopes of -0.0038, -0.0047 and -0.0017 dB/day (p &lt; 0.001) for left implant and of -0.0036, -0.0044 and -0.0024 dB/day (p &lt; 0.001) for right implant. No </w:t>
      </w:r>
      <w:r>
        <w:rPr>
          <w:rFonts w:ascii="Arial" w:hAnsi="Arial" w:cs="Arial"/>
          <w:sz w:val="24"/>
          <w:szCs w:val="24"/>
        </w:rPr>
        <w:lastRenderedPageBreak/>
        <w:t xml:space="preserve">significant changes were measured after 1000 days of recording. For left implant of patient 2, </w:t>
      </w:r>
      <w:r w:rsidR="00D778C4">
        <w:rPr>
          <w:rFonts w:ascii="Arial" w:hAnsi="Arial" w:cs="Arial"/>
          <w:sz w:val="24"/>
          <w:szCs w:val="24"/>
        </w:rPr>
        <w:t xml:space="preserve">BP of </w:t>
      </w:r>
      <w:r w:rsidR="00D778C4" w:rsidRPr="00A56F3A">
        <w:rPr>
          <w:rFonts w:ascii="Arial" w:hAnsi="Arial" w:cs="Arial"/>
          <w:sz w:val="24"/>
          <w:szCs w:val="24"/>
        </w:rPr>
        <w:t>40–100 Hz</w:t>
      </w:r>
      <w:r w:rsidR="00D778C4">
        <w:rPr>
          <w:rFonts w:ascii="Arial" w:hAnsi="Arial" w:cs="Arial"/>
          <w:sz w:val="24"/>
          <w:szCs w:val="24"/>
        </w:rPr>
        <w:t xml:space="preserve"> and 10</w:t>
      </w:r>
      <w:r w:rsidR="00D778C4" w:rsidRPr="00A56F3A">
        <w:rPr>
          <w:rFonts w:ascii="Arial" w:hAnsi="Arial" w:cs="Arial"/>
          <w:sz w:val="24"/>
          <w:szCs w:val="24"/>
        </w:rPr>
        <w:t>0–</w:t>
      </w:r>
      <w:r w:rsidR="00D778C4">
        <w:rPr>
          <w:rFonts w:ascii="Arial" w:hAnsi="Arial" w:cs="Arial"/>
          <w:sz w:val="24"/>
          <w:szCs w:val="24"/>
        </w:rPr>
        <w:t>2</w:t>
      </w:r>
      <w:r w:rsidR="00D778C4" w:rsidRPr="00A56F3A">
        <w:rPr>
          <w:rFonts w:ascii="Arial" w:hAnsi="Arial" w:cs="Arial"/>
          <w:sz w:val="24"/>
          <w:szCs w:val="24"/>
        </w:rPr>
        <w:t>00 Hz</w:t>
      </w:r>
      <w:r w:rsidR="00D778C4">
        <w:rPr>
          <w:rFonts w:ascii="Arial" w:hAnsi="Arial" w:cs="Arial"/>
          <w:sz w:val="24"/>
          <w:szCs w:val="24"/>
        </w:rPr>
        <w:t xml:space="preserve"> bands increased during the first two periods with slopes of 0.0024 and 0.0029 dB/day in first period and of 0.0011 and 0.0027 dB/day in second period (p &lt; 0.05). BP of </w:t>
      </w:r>
      <w:r w:rsidR="00D778C4" w:rsidRPr="00A56F3A">
        <w:rPr>
          <w:rFonts w:ascii="Arial" w:hAnsi="Arial" w:cs="Arial"/>
          <w:sz w:val="24"/>
          <w:szCs w:val="24"/>
        </w:rPr>
        <w:t>10–40 Hz</w:t>
      </w:r>
      <w:r w:rsidR="00D778C4">
        <w:rPr>
          <w:rFonts w:ascii="Arial" w:hAnsi="Arial" w:cs="Arial"/>
          <w:sz w:val="24"/>
          <w:szCs w:val="24"/>
        </w:rPr>
        <w:t xml:space="preserve"> also increased in second period with slope of 0.0017 dB/day (p &lt; 0.001). After 1000 days, BP of the three lower bands (</w:t>
      </w:r>
      <w:r w:rsidR="00D778C4" w:rsidRPr="00A56F3A">
        <w:rPr>
          <w:rFonts w:ascii="Arial" w:hAnsi="Arial" w:cs="Arial"/>
          <w:sz w:val="24"/>
          <w:szCs w:val="24"/>
        </w:rPr>
        <w:t>0.5–10 Hz, 10–40 Hz</w:t>
      </w:r>
      <w:r w:rsidR="00D778C4">
        <w:rPr>
          <w:rFonts w:ascii="Arial" w:hAnsi="Arial" w:cs="Arial"/>
          <w:sz w:val="24"/>
          <w:szCs w:val="24"/>
        </w:rPr>
        <w:t xml:space="preserve"> and</w:t>
      </w:r>
      <w:r w:rsidR="00D778C4" w:rsidRPr="00A56F3A">
        <w:rPr>
          <w:rFonts w:ascii="Arial" w:hAnsi="Arial" w:cs="Arial"/>
          <w:sz w:val="24"/>
          <w:szCs w:val="24"/>
        </w:rPr>
        <w:t xml:space="preserve"> 40–100 Hz</w:t>
      </w:r>
      <w:r w:rsidR="00D778C4">
        <w:rPr>
          <w:rFonts w:ascii="Arial" w:hAnsi="Arial" w:cs="Arial"/>
          <w:sz w:val="24"/>
          <w:szCs w:val="24"/>
        </w:rPr>
        <w:t>) significantly decreased with slopes of -0.0012, -0.0018, -0.0011 dB/day respectively (p &lt; 0.001).</w:t>
      </w:r>
    </w:p>
    <w:p w14:paraId="6FF93E48" w14:textId="44854929" w:rsidR="00026D5A" w:rsidRPr="001E6999" w:rsidRDefault="001E6999" w:rsidP="00FC4F9D">
      <w:pPr>
        <w:tabs>
          <w:tab w:val="left" w:pos="5670"/>
        </w:tabs>
        <w:jc w:val="both"/>
        <w:rPr>
          <w:rFonts w:ascii="Arial" w:hAnsi="Arial" w:cs="Arial"/>
          <w:sz w:val="24"/>
          <w:szCs w:val="24"/>
        </w:rPr>
      </w:pPr>
      <w:r w:rsidRPr="001E6999">
        <w:rPr>
          <w:rFonts w:ascii="Arial" w:hAnsi="Arial" w:cs="Arial"/>
          <w:sz w:val="24"/>
          <w:szCs w:val="24"/>
        </w:rPr>
        <w:t>E</w:t>
      </w:r>
      <w:r w:rsidR="00A935C0">
        <w:rPr>
          <w:rFonts w:ascii="Arial" w:hAnsi="Arial" w:cs="Arial"/>
          <w:sz w:val="24"/>
          <w:szCs w:val="24"/>
        </w:rPr>
        <w:t>FF</w:t>
      </w:r>
      <w:r w:rsidRPr="001E6999">
        <w:rPr>
          <w:rFonts w:ascii="Arial" w:hAnsi="Arial" w:cs="Arial"/>
          <w:sz w:val="24"/>
          <w:szCs w:val="24"/>
        </w:rPr>
        <w:t xml:space="preserve">BW </w:t>
      </w:r>
      <w:r w:rsidR="008A6B96">
        <w:rPr>
          <w:rFonts w:ascii="Arial" w:hAnsi="Arial" w:cs="Arial"/>
          <w:sz w:val="24"/>
          <w:szCs w:val="24"/>
        </w:rPr>
        <w:t xml:space="preserve">was similar </w:t>
      </w:r>
      <w:r w:rsidR="008A6B96" w:rsidRPr="001E6999">
        <w:rPr>
          <w:rFonts w:ascii="Arial" w:hAnsi="Arial" w:cs="Arial"/>
          <w:sz w:val="24"/>
          <w:szCs w:val="24"/>
        </w:rPr>
        <w:t xml:space="preserve">for the two patients </w:t>
      </w:r>
      <w:r w:rsidR="008A6B96">
        <w:rPr>
          <w:rFonts w:ascii="Arial" w:hAnsi="Arial" w:cs="Arial"/>
          <w:sz w:val="24"/>
          <w:szCs w:val="24"/>
        </w:rPr>
        <w:t xml:space="preserve">over the course of the clinical trial </w:t>
      </w:r>
      <w:r w:rsidR="008A6B96" w:rsidRPr="001E6999">
        <w:rPr>
          <w:rFonts w:ascii="Arial" w:hAnsi="Arial" w:cs="Arial"/>
          <w:sz w:val="24"/>
          <w:szCs w:val="24"/>
        </w:rPr>
        <w:t>with mean values of 229.2 and 228.4 Hz for left and right implants of</w:t>
      </w:r>
      <w:r w:rsidR="00430563">
        <w:rPr>
          <w:rFonts w:ascii="Arial" w:hAnsi="Arial" w:cs="Arial"/>
          <w:sz w:val="24"/>
          <w:szCs w:val="24"/>
        </w:rPr>
        <w:t xml:space="preserve"> p</w:t>
      </w:r>
      <w:r w:rsidR="008A6B96" w:rsidRPr="001E6999">
        <w:rPr>
          <w:rFonts w:ascii="Arial" w:hAnsi="Arial" w:cs="Arial"/>
          <w:sz w:val="24"/>
          <w:szCs w:val="24"/>
        </w:rPr>
        <w:t xml:space="preserve">atient 1 and </w:t>
      </w:r>
      <w:r w:rsidR="008A6B96">
        <w:rPr>
          <w:rFonts w:ascii="Arial" w:hAnsi="Arial" w:cs="Arial"/>
          <w:sz w:val="24"/>
          <w:szCs w:val="24"/>
        </w:rPr>
        <w:t xml:space="preserve">226.3 Hz </w:t>
      </w:r>
      <w:r w:rsidR="008A6B96" w:rsidRPr="001E6999">
        <w:rPr>
          <w:rFonts w:ascii="Arial" w:hAnsi="Arial" w:cs="Arial"/>
          <w:sz w:val="24"/>
          <w:szCs w:val="24"/>
        </w:rPr>
        <w:t xml:space="preserve">for </w:t>
      </w:r>
      <w:r w:rsidR="00430563">
        <w:rPr>
          <w:rFonts w:ascii="Arial" w:hAnsi="Arial" w:cs="Arial"/>
          <w:sz w:val="24"/>
          <w:szCs w:val="24"/>
        </w:rPr>
        <w:t>p</w:t>
      </w:r>
      <w:r w:rsidR="008A6B96" w:rsidRPr="001E6999">
        <w:rPr>
          <w:rFonts w:ascii="Arial" w:hAnsi="Arial" w:cs="Arial"/>
          <w:sz w:val="24"/>
          <w:szCs w:val="24"/>
        </w:rPr>
        <w:t xml:space="preserve">atient 2. </w:t>
      </w:r>
      <w:r w:rsidR="008A6B96">
        <w:rPr>
          <w:rFonts w:ascii="Arial" w:hAnsi="Arial" w:cs="Arial"/>
          <w:sz w:val="24"/>
          <w:szCs w:val="24"/>
        </w:rPr>
        <w:t xml:space="preserve">It increased slowly during the first year of the clinical trial for patient 1 with a slope of 0.0051 and 0.0039 dB/day for left and right implants respectively (p &lt; 0.01) and then </w:t>
      </w:r>
      <w:r w:rsidRPr="001E6999">
        <w:rPr>
          <w:rFonts w:ascii="Arial" w:hAnsi="Arial" w:cs="Arial"/>
          <w:sz w:val="24"/>
          <w:szCs w:val="24"/>
        </w:rPr>
        <w:t>remained globally stable</w:t>
      </w:r>
      <w:r w:rsidR="008A6B96">
        <w:rPr>
          <w:rFonts w:ascii="Arial" w:hAnsi="Arial" w:cs="Arial"/>
          <w:sz w:val="24"/>
          <w:szCs w:val="24"/>
        </w:rPr>
        <w:t>.</w:t>
      </w:r>
      <w:r w:rsidR="007F1996">
        <w:rPr>
          <w:rFonts w:ascii="Arial" w:hAnsi="Arial" w:cs="Arial"/>
          <w:sz w:val="24"/>
          <w:szCs w:val="24"/>
        </w:rPr>
        <w:t xml:space="preserve"> For patient 2 it decreased slowly in the same period with a slope of -0.0090 dB/day (p &lt; 0.01).</w:t>
      </w:r>
    </w:p>
    <w:p w14:paraId="5F3C2E48" w14:textId="6292F46C" w:rsidR="00E76D38" w:rsidRPr="00212DE2" w:rsidRDefault="007F1996" w:rsidP="00FC4F9D">
      <w:pPr>
        <w:tabs>
          <w:tab w:val="left" w:pos="5670"/>
        </w:tabs>
        <w:jc w:val="both"/>
        <w:rPr>
          <w:rFonts w:ascii="Arial" w:hAnsi="Arial" w:cs="Arial"/>
          <w:sz w:val="24"/>
          <w:szCs w:val="24"/>
        </w:rPr>
      </w:pPr>
      <w:r>
        <w:rPr>
          <w:rFonts w:ascii="Arial" w:hAnsi="Arial" w:cs="Arial"/>
          <w:sz w:val="24"/>
          <w:szCs w:val="24"/>
        </w:rPr>
        <w:t>Globally</w:t>
      </w:r>
      <w:r w:rsidR="002C412A" w:rsidRPr="002C412A">
        <w:rPr>
          <w:rFonts w:ascii="Arial" w:hAnsi="Arial" w:cs="Arial"/>
          <w:sz w:val="24"/>
          <w:szCs w:val="24"/>
        </w:rPr>
        <w:t>, e</w:t>
      </w:r>
      <w:r w:rsidR="00E76D38" w:rsidRPr="002C412A">
        <w:rPr>
          <w:rFonts w:ascii="Arial" w:hAnsi="Arial" w:cs="Arial"/>
          <w:sz w:val="24"/>
          <w:szCs w:val="24"/>
        </w:rPr>
        <w:t xml:space="preserve">pidural ECoG recorded from the WIMAGINE implants offered high signal stability in the two </w:t>
      </w:r>
      <w:r w:rsidR="00E76D38" w:rsidRPr="00212DE2">
        <w:rPr>
          <w:rFonts w:ascii="Arial" w:hAnsi="Arial" w:cs="Arial"/>
          <w:sz w:val="24"/>
          <w:szCs w:val="24"/>
        </w:rPr>
        <w:t>tetraplegic patients implanted for our BCI clinical protocol</w:t>
      </w:r>
      <w:r w:rsidR="002C412A" w:rsidRPr="00212DE2">
        <w:rPr>
          <w:rFonts w:ascii="Arial" w:hAnsi="Arial" w:cs="Arial"/>
          <w:sz w:val="24"/>
          <w:szCs w:val="24"/>
        </w:rPr>
        <w:t xml:space="preserve">, </w:t>
      </w:r>
      <w:r w:rsidR="00E76D38" w:rsidRPr="00212DE2">
        <w:rPr>
          <w:rFonts w:ascii="Arial" w:hAnsi="Arial" w:cs="Arial"/>
          <w:sz w:val="24"/>
          <w:szCs w:val="24"/>
        </w:rPr>
        <w:t xml:space="preserve">as assessed by </w:t>
      </w:r>
      <w:r w:rsidR="0025667B" w:rsidRPr="00212DE2">
        <w:rPr>
          <w:rFonts w:ascii="Arial" w:hAnsi="Arial" w:cs="Arial"/>
          <w:sz w:val="24"/>
          <w:szCs w:val="24"/>
        </w:rPr>
        <w:t>state-of-the-art</w:t>
      </w:r>
      <w:r w:rsidR="00E76D38" w:rsidRPr="00212DE2">
        <w:rPr>
          <w:rFonts w:ascii="Arial" w:hAnsi="Arial" w:cs="Arial"/>
          <w:sz w:val="24"/>
          <w:szCs w:val="24"/>
        </w:rPr>
        <w:t xml:space="preserve"> indicators</w:t>
      </w:r>
      <w:r w:rsidR="002C412A" w:rsidRPr="00212DE2">
        <w:rPr>
          <w:rFonts w:ascii="Arial" w:hAnsi="Arial" w:cs="Arial"/>
          <w:sz w:val="24"/>
          <w:szCs w:val="24"/>
        </w:rPr>
        <w:t>. S</w:t>
      </w:r>
      <w:r w:rsidR="00E76D38" w:rsidRPr="00212DE2">
        <w:rPr>
          <w:rFonts w:ascii="Arial" w:hAnsi="Arial" w:cs="Arial"/>
          <w:sz w:val="24"/>
          <w:szCs w:val="24"/>
        </w:rPr>
        <w:t xml:space="preserve">ome variations could be identified during this long-term course follow-up. Overall, during the </w:t>
      </w:r>
      <w:r w:rsidR="003E7B3E" w:rsidRPr="00212DE2">
        <w:rPr>
          <w:rFonts w:ascii="Arial" w:hAnsi="Arial" w:cs="Arial"/>
          <w:sz w:val="24"/>
          <w:szCs w:val="24"/>
        </w:rPr>
        <w:t>first-year</w:t>
      </w:r>
      <w:r w:rsidR="00E76D38" w:rsidRPr="00212DE2">
        <w:rPr>
          <w:rFonts w:ascii="Arial" w:hAnsi="Arial" w:cs="Arial"/>
          <w:sz w:val="24"/>
          <w:szCs w:val="24"/>
        </w:rPr>
        <w:t xml:space="preserve"> post-surgery a slight increase in RMS and BP values was observed for both </w:t>
      </w:r>
      <w:r w:rsidR="00212DE2" w:rsidRPr="00212DE2">
        <w:rPr>
          <w:rFonts w:ascii="Arial" w:hAnsi="Arial" w:cs="Arial"/>
          <w:sz w:val="24"/>
          <w:szCs w:val="24"/>
        </w:rPr>
        <w:t>patients, which</w:t>
      </w:r>
      <w:r w:rsidR="00E76D38" w:rsidRPr="00212DE2">
        <w:rPr>
          <w:rFonts w:ascii="Arial" w:hAnsi="Arial" w:cs="Arial"/>
          <w:sz w:val="24"/>
          <w:szCs w:val="24"/>
        </w:rPr>
        <w:t xml:space="preserve"> </w:t>
      </w:r>
      <w:r w:rsidR="00AC3B4C">
        <w:rPr>
          <w:rFonts w:ascii="Arial" w:hAnsi="Arial" w:cs="Arial"/>
          <w:sz w:val="24"/>
          <w:szCs w:val="24"/>
        </w:rPr>
        <w:t xml:space="preserve">probably </w:t>
      </w:r>
      <w:r w:rsidR="00E76D38" w:rsidRPr="00212DE2">
        <w:rPr>
          <w:rFonts w:ascii="Arial" w:hAnsi="Arial" w:cs="Arial"/>
          <w:sz w:val="24"/>
          <w:szCs w:val="24"/>
        </w:rPr>
        <w:t xml:space="preserve">reflects </w:t>
      </w:r>
      <w:r w:rsidR="00AC3B4C">
        <w:rPr>
          <w:rFonts w:ascii="Arial" w:hAnsi="Arial" w:cs="Arial"/>
          <w:sz w:val="24"/>
          <w:szCs w:val="24"/>
        </w:rPr>
        <w:t>post-op biological changes in the interface and stabilization of epidural contact due to tissue remodeling</w:t>
      </w:r>
      <w:r w:rsidR="00E76D38" w:rsidRPr="00212DE2">
        <w:rPr>
          <w:rFonts w:ascii="Arial" w:hAnsi="Arial" w:cs="Arial"/>
          <w:sz w:val="24"/>
          <w:szCs w:val="24"/>
        </w:rPr>
        <w:t xml:space="preserve">. </w:t>
      </w:r>
      <w:r w:rsidR="002C412A" w:rsidRPr="00212DE2">
        <w:rPr>
          <w:rFonts w:ascii="Arial" w:hAnsi="Arial" w:cs="Arial"/>
          <w:sz w:val="24"/>
          <w:szCs w:val="24"/>
        </w:rPr>
        <w:t>During</w:t>
      </w:r>
      <w:r w:rsidR="00E76D38" w:rsidRPr="00212DE2">
        <w:rPr>
          <w:rFonts w:ascii="Arial" w:hAnsi="Arial" w:cs="Arial"/>
          <w:sz w:val="24"/>
          <w:szCs w:val="24"/>
        </w:rPr>
        <w:t xml:space="preserve"> </w:t>
      </w:r>
      <w:r w:rsidR="002C412A" w:rsidRPr="00212DE2">
        <w:rPr>
          <w:rFonts w:ascii="Arial" w:hAnsi="Arial" w:cs="Arial"/>
          <w:sz w:val="24"/>
          <w:szCs w:val="24"/>
        </w:rPr>
        <w:t>second year</w:t>
      </w:r>
      <w:r w:rsidR="00E76D38" w:rsidRPr="00212DE2">
        <w:rPr>
          <w:rFonts w:ascii="Arial" w:hAnsi="Arial" w:cs="Arial"/>
          <w:sz w:val="24"/>
          <w:szCs w:val="24"/>
        </w:rPr>
        <w:t xml:space="preserve">, this uptrend was reversed with a slight decrease of RMS and BP values. Importantly, </w:t>
      </w:r>
      <w:r w:rsidR="002C412A" w:rsidRPr="00212DE2">
        <w:rPr>
          <w:rFonts w:ascii="Arial" w:hAnsi="Arial" w:cs="Arial"/>
          <w:sz w:val="24"/>
          <w:szCs w:val="24"/>
        </w:rPr>
        <w:t>after the beginning of third year</w:t>
      </w:r>
      <w:r w:rsidR="00E76D38" w:rsidRPr="00212DE2">
        <w:rPr>
          <w:rFonts w:ascii="Arial" w:hAnsi="Arial" w:cs="Arial"/>
          <w:sz w:val="24"/>
          <w:szCs w:val="24"/>
        </w:rPr>
        <w:t xml:space="preserve">, </w:t>
      </w:r>
      <w:r w:rsidR="002C412A" w:rsidRPr="00212DE2">
        <w:rPr>
          <w:rFonts w:ascii="Arial" w:hAnsi="Arial" w:cs="Arial"/>
          <w:sz w:val="24"/>
          <w:szCs w:val="24"/>
        </w:rPr>
        <w:t xml:space="preserve">RMS and BP remained mainly stable, indicating </w:t>
      </w:r>
      <w:r w:rsidR="00E76D38" w:rsidRPr="00212DE2">
        <w:rPr>
          <w:rFonts w:ascii="Arial" w:hAnsi="Arial" w:cs="Arial"/>
          <w:sz w:val="24"/>
          <w:szCs w:val="24"/>
        </w:rPr>
        <w:t xml:space="preserve">a </w:t>
      </w:r>
      <w:r w:rsidR="002C412A" w:rsidRPr="00212DE2">
        <w:rPr>
          <w:rFonts w:ascii="Arial" w:hAnsi="Arial" w:cs="Arial"/>
          <w:sz w:val="24"/>
          <w:szCs w:val="24"/>
        </w:rPr>
        <w:t>steady</w:t>
      </w:r>
      <w:r w:rsidR="00E76D38" w:rsidRPr="00212DE2">
        <w:rPr>
          <w:rFonts w:ascii="Arial" w:hAnsi="Arial" w:cs="Arial"/>
          <w:sz w:val="24"/>
          <w:szCs w:val="24"/>
        </w:rPr>
        <w:t xml:space="preserve"> process at the dura-mater interface. For both patients, the SNR remained high. the maximum bandwidth was estimated at </w:t>
      </w:r>
      <w:r w:rsidR="00E76D38" w:rsidRPr="00212DE2">
        <w:rPr>
          <w:rFonts w:ascii="Cambria Math" w:hAnsi="Cambria Math" w:cs="Cambria Math"/>
          <w:sz w:val="24"/>
          <w:szCs w:val="24"/>
        </w:rPr>
        <w:t>∼</w:t>
      </w:r>
      <w:r w:rsidR="00E76D38" w:rsidRPr="00212DE2">
        <w:rPr>
          <w:rFonts w:ascii="Arial" w:hAnsi="Arial" w:cs="Arial"/>
          <w:sz w:val="24"/>
          <w:szCs w:val="24"/>
        </w:rPr>
        <w:t xml:space="preserve">230 Hz, a value that remained stable all along the patients’ follow up. </w:t>
      </w:r>
    </w:p>
    <w:p w14:paraId="1595E793" w14:textId="20BE148B" w:rsidR="00E76D38" w:rsidRPr="00212DE2" w:rsidRDefault="00B20882" w:rsidP="00FC4F9D">
      <w:pPr>
        <w:tabs>
          <w:tab w:val="left" w:pos="5670"/>
        </w:tabs>
        <w:jc w:val="both"/>
        <w:rPr>
          <w:rFonts w:ascii="Arial" w:hAnsi="Arial" w:cs="Arial"/>
          <w:sz w:val="24"/>
          <w:szCs w:val="24"/>
        </w:rPr>
      </w:pPr>
      <w:r>
        <w:rPr>
          <w:rFonts w:ascii="Arial" w:hAnsi="Arial" w:cs="Arial"/>
          <w:sz w:val="24"/>
          <w:szCs w:val="24"/>
        </w:rPr>
        <w:t>T</w:t>
      </w:r>
      <w:r w:rsidRPr="00212DE2">
        <w:rPr>
          <w:rFonts w:ascii="Arial" w:hAnsi="Arial" w:cs="Arial"/>
          <w:sz w:val="24"/>
          <w:szCs w:val="24"/>
        </w:rPr>
        <w:t>he difference of signal power between P1 and P2</w:t>
      </w:r>
      <w:r>
        <w:rPr>
          <w:rFonts w:ascii="Arial" w:hAnsi="Arial" w:cs="Arial"/>
          <w:sz w:val="24"/>
          <w:szCs w:val="24"/>
        </w:rPr>
        <w:t xml:space="preserve">, namely, </w:t>
      </w:r>
      <w:r w:rsidRPr="00212DE2">
        <w:rPr>
          <w:rFonts w:ascii="Arial" w:hAnsi="Arial" w:cs="Arial"/>
          <w:sz w:val="24"/>
          <w:szCs w:val="24"/>
        </w:rPr>
        <w:t>for frequencies below 40 Hz and in the RMS baseline</w:t>
      </w:r>
      <w:r>
        <w:rPr>
          <w:rFonts w:ascii="Arial" w:hAnsi="Arial" w:cs="Arial"/>
          <w:sz w:val="24"/>
          <w:szCs w:val="24"/>
        </w:rPr>
        <w:t>, may be explained by</w:t>
      </w:r>
      <w:r w:rsidRPr="00212DE2">
        <w:rPr>
          <w:rFonts w:ascii="Arial" w:hAnsi="Arial" w:cs="Arial"/>
          <w:sz w:val="24"/>
          <w:szCs w:val="24"/>
        </w:rPr>
        <w:t xml:space="preserve"> difference between the two patients </w:t>
      </w:r>
      <w:r>
        <w:rPr>
          <w:rFonts w:ascii="Arial" w:hAnsi="Arial" w:cs="Arial"/>
          <w:sz w:val="24"/>
          <w:szCs w:val="24"/>
        </w:rPr>
        <w:t xml:space="preserve">in term of </w:t>
      </w:r>
      <w:r w:rsidRPr="00212DE2">
        <w:rPr>
          <w:rFonts w:ascii="Arial" w:hAnsi="Arial" w:cs="Arial"/>
          <w:sz w:val="24"/>
          <w:szCs w:val="24"/>
        </w:rPr>
        <w:t xml:space="preserve">the time between the trauma and the inclusion in the protocol. P1 was tetraplegic for 2 years whereas P2 had his accident 10 years before. </w:t>
      </w:r>
      <w:r w:rsidR="00E76D38" w:rsidRPr="00212DE2">
        <w:rPr>
          <w:rFonts w:ascii="Arial" w:hAnsi="Arial" w:cs="Arial"/>
          <w:sz w:val="24"/>
          <w:szCs w:val="24"/>
        </w:rPr>
        <w:t>The reorganization of neural circuits due to the spinal lesion could be associated to a signal reduction</w:t>
      </w:r>
      <w:r w:rsidR="002C412A" w:rsidRPr="00212DE2">
        <w:rPr>
          <w:rFonts w:ascii="Arial" w:hAnsi="Arial" w:cs="Arial"/>
          <w:sz w:val="24"/>
          <w:szCs w:val="24"/>
        </w:rPr>
        <w:t xml:space="preserve">. </w:t>
      </w:r>
      <w:r w:rsidR="00212DE2" w:rsidRPr="00212DE2">
        <w:rPr>
          <w:rFonts w:ascii="Arial" w:hAnsi="Arial" w:cs="Arial"/>
          <w:sz w:val="24"/>
          <w:szCs w:val="24"/>
        </w:rPr>
        <w:t xml:space="preserve">This </w:t>
      </w:r>
      <w:r w:rsidR="002C412A" w:rsidRPr="00212DE2">
        <w:rPr>
          <w:rFonts w:ascii="Arial" w:hAnsi="Arial" w:cs="Arial"/>
          <w:sz w:val="24"/>
          <w:szCs w:val="24"/>
        </w:rPr>
        <w:t xml:space="preserve">might </w:t>
      </w:r>
      <w:r w:rsidR="00212DE2" w:rsidRPr="00212DE2">
        <w:rPr>
          <w:rFonts w:ascii="Arial" w:hAnsi="Arial" w:cs="Arial"/>
          <w:sz w:val="24"/>
          <w:szCs w:val="24"/>
        </w:rPr>
        <w:t xml:space="preserve">also </w:t>
      </w:r>
      <w:r w:rsidR="002C412A" w:rsidRPr="00212DE2">
        <w:rPr>
          <w:rFonts w:ascii="Arial" w:hAnsi="Arial" w:cs="Arial"/>
          <w:sz w:val="24"/>
          <w:szCs w:val="24"/>
        </w:rPr>
        <w:t xml:space="preserve">be attributed to a thicker dura mater for </w:t>
      </w:r>
      <w:r w:rsidR="00430563">
        <w:rPr>
          <w:rFonts w:ascii="Arial" w:hAnsi="Arial" w:cs="Arial"/>
          <w:sz w:val="24"/>
          <w:szCs w:val="24"/>
        </w:rPr>
        <w:t>p</w:t>
      </w:r>
      <w:r w:rsidR="002C412A" w:rsidRPr="00212DE2">
        <w:rPr>
          <w:rFonts w:ascii="Arial" w:hAnsi="Arial" w:cs="Arial"/>
          <w:sz w:val="24"/>
          <w:szCs w:val="24"/>
        </w:rPr>
        <w:t xml:space="preserve">atient </w:t>
      </w:r>
      <w:r w:rsidR="00212DE2" w:rsidRPr="00212DE2">
        <w:rPr>
          <w:rFonts w:ascii="Arial" w:hAnsi="Arial" w:cs="Arial"/>
          <w:sz w:val="24"/>
          <w:szCs w:val="24"/>
        </w:rPr>
        <w:t>2</w:t>
      </w:r>
      <w:r w:rsidR="00E76D38" w:rsidRPr="00212DE2">
        <w:rPr>
          <w:rFonts w:ascii="Arial" w:hAnsi="Arial" w:cs="Arial"/>
          <w:sz w:val="24"/>
          <w:szCs w:val="24"/>
        </w:rPr>
        <w:t xml:space="preserve">. </w:t>
      </w:r>
      <w:r w:rsidR="0025667B">
        <w:rPr>
          <w:rFonts w:ascii="Arial" w:hAnsi="Arial" w:cs="Arial"/>
          <w:sz w:val="24"/>
          <w:szCs w:val="24"/>
        </w:rPr>
        <w:t>The data of more patients should be analyzed for conclusions.</w:t>
      </w:r>
    </w:p>
    <w:p w14:paraId="14386FFE" w14:textId="1A2614EB" w:rsidR="003311B1" w:rsidRDefault="00AE20DD" w:rsidP="00FC4F9D">
      <w:pPr>
        <w:tabs>
          <w:tab w:val="left" w:pos="5670"/>
        </w:tabs>
        <w:jc w:val="both"/>
        <w:rPr>
          <w:rFonts w:ascii="Arial" w:hAnsi="Arial" w:cs="Arial"/>
          <w:b/>
          <w:bCs/>
          <w:sz w:val="24"/>
          <w:szCs w:val="24"/>
        </w:rPr>
      </w:pPr>
      <w:r w:rsidRPr="00AE20DD">
        <w:rPr>
          <w:rFonts w:ascii="Arial" w:hAnsi="Arial" w:cs="Arial"/>
          <w:b/>
          <w:bCs/>
          <w:sz w:val="24"/>
          <w:szCs w:val="24"/>
        </w:rPr>
        <w:t>References</w:t>
      </w:r>
    </w:p>
    <w:p w14:paraId="551ABC70" w14:textId="77777777" w:rsidR="00AE20DD" w:rsidRPr="00AE20DD" w:rsidRDefault="00AE20DD" w:rsidP="00AE20DD">
      <w:pPr>
        <w:pStyle w:val="Bibliographie"/>
        <w:spacing w:line="360" w:lineRule="auto"/>
        <w:jc w:val="both"/>
        <w:rPr>
          <w:rFonts w:ascii="Arial" w:hAnsi="Arial" w:cs="Arial"/>
          <w:sz w:val="24"/>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sidRPr="00AE20DD">
        <w:rPr>
          <w:rFonts w:ascii="Arial" w:hAnsi="Arial" w:cs="Arial"/>
          <w:sz w:val="24"/>
        </w:rPr>
        <w:t>1.</w:t>
      </w:r>
      <w:r w:rsidRPr="00AE20DD">
        <w:rPr>
          <w:rFonts w:ascii="Arial" w:hAnsi="Arial" w:cs="Arial"/>
          <w:sz w:val="24"/>
        </w:rPr>
        <w:tab/>
        <w:t xml:space="preserve">Chao. Long-term asynchronous decoding of arm motion using electrocorticographic signals in monkey. </w:t>
      </w:r>
      <w:r w:rsidRPr="00AE20DD">
        <w:rPr>
          <w:rFonts w:ascii="Arial" w:hAnsi="Arial" w:cs="Arial"/>
          <w:i/>
          <w:iCs/>
          <w:sz w:val="24"/>
        </w:rPr>
        <w:t>Front. Neuroengineering</w:t>
      </w:r>
      <w:r w:rsidRPr="00AE20DD">
        <w:rPr>
          <w:rFonts w:ascii="Arial" w:hAnsi="Arial" w:cs="Arial"/>
          <w:sz w:val="24"/>
        </w:rPr>
        <w:t xml:space="preserve"> (2010) doi:10.3389/fneng.2010.00003.</w:t>
      </w:r>
    </w:p>
    <w:p w14:paraId="7DBBE8C1" w14:textId="77777777" w:rsidR="00AE20DD" w:rsidRPr="00AE20DD" w:rsidRDefault="00AE20DD" w:rsidP="00AE20DD">
      <w:pPr>
        <w:pStyle w:val="Bibliographie"/>
        <w:spacing w:line="360" w:lineRule="auto"/>
        <w:jc w:val="both"/>
        <w:rPr>
          <w:rFonts w:ascii="Arial" w:hAnsi="Arial" w:cs="Arial"/>
          <w:sz w:val="24"/>
        </w:rPr>
      </w:pPr>
      <w:r w:rsidRPr="00AE20DD">
        <w:rPr>
          <w:rFonts w:ascii="Arial" w:hAnsi="Arial" w:cs="Arial"/>
          <w:sz w:val="24"/>
        </w:rPr>
        <w:t>2.</w:t>
      </w:r>
      <w:r w:rsidRPr="00AE20DD">
        <w:rPr>
          <w:rFonts w:ascii="Arial" w:hAnsi="Arial" w:cs="Arial"/>
          <w:sz w:val="24"/>
        </w:rPr>
        <w:tab/>
        <w:t xml:space="preserve">Nurse, E. S. </w:t>
      </w:r>
      <w:r w:rsidRPr="00AE20DD">
        <w:rPr>
          <w:rFonts w:ascii="Arial" w:hAnsi="Arial" w:cs="Arial"/>
          <w:i/>
          <w:iCs/>
          <w:sz w:val="24"/>
        </w:rPr>
        <w:t>et al.</w:t>
      </w:r>
      <w:r w:rsidRPr="00AE20DD">
        <w:rPr>
          <w:rFonts w:ascii="Arial" w:hAnsi="Arial" w:cs="Arial"/>
          <w:sz w:val="24"/>
        </w:rPr>
        <w:t xml:space="preserve"> Consistency of Long-Term Subdural Electrocorticography in Humans. </w:t>
      </w:r>
      <w:r w:rsidRPr="00AE20DD">
        <w:rPr>
          <w:rFonts w:ascii="Arial" w:hAnsi="Arial" w:cs="Arial"/>
          <w:i/>
          <w:iCs/>
          <w:sz w:val="24"/>
        </w:rPr>
        <w:t>IEEE Trans. Biomed. Eng.</w:t>
      </w:r>
      <w:r w:rsidRPr="00AE20DD">
        <w:rPr>
          <w:rFonts w:ascii="Arial" w:hAnsi="Arial" w:cs="Arial"/>
          <w:sz w:val="24"/>
        </w:rPr>
        <w:t xml:space="preserve"> </w:t>
      </w:r>
      <w:r w:rsidRPr="00AE20DD">
        <w:rPr>
          <w:rFonts w:ascii="Arial" w:hAnsi="Arial" w:cs="Arial"/>
          <w:b/>
          <w:bCs/>
          <w:sz w:val="24"/>
        </w:rPr>
        <w:t>65</w:t>
      </w:r>
      <w:r w:rsidRPr="00AE20DD">
        <w:rPr>
          <w:rFonts w:ascii="Arial" w:hAnsi="Arial" w:cs="Arial"/>
          <w:sz w:val="24"/>
        </w:rPr>
        <w:t>, 344–352 (2018).</w:t>
      </w:r>
    </w:p>
    <w:p w14:paraId="2CDD2CAD" w14:textId="77777777" w:rsidR="00AE20DD" w:rsidRPr="00AE20DD" w:rsidRDefault="00AE20DD" w:rsidP="00AE20DD">
      <w:pPr>
        <w:pStyle w:val="Bibliographie"/>
        <w:spacing w:line="360" w:lineRule="auto"/>
        <w:jc w:val="both"/>
        <w:rPr>
          <w:rFonts w:ascii="Arial" w:hAnsi="Arial" w:cs="Arial"/>
          <w:sz w:val="24"/>
        </w:rPr>
      </w:pPr>
      <w:r w:rsidRPr="00AE20DD">
        <w:rPr>
          <w:rFonts w:ascii="Arial" w:hAnsi="Arial" w:cs="Arial"/>
          <w:sz w:val="24"/>
        </w:rPr>
        <w:t>3.</w:t>
      </w:r>
      <w:r w:rsidRPr="00AE20DD">
        <w:rPr>
          <w:rFonts w:ascii="Arial" w:hAnsi="Arial" w:cs="Arial"/>
          <w:sz w:val="24"/>
        </w:rPr>
        <w:tab/>
        <w:t xml:space="preserve">Larzabal, C. </w:t>
      </w:r>
      <w:r w:rsidRPr="00AE20DD">
        <w:rPr>
          <w:rFonts w:ascii="Arial" w:hAnsi="Arial" w:cs="Arial"/>
          <w:i/>
          <w:iCs/>
          <w:sz w:val="24"/>
        </w:rPr>
        <w:t>et al.</w:t>
      </w:r>
      <w:r w:rsidRPr="00AE20DD">
        <w:rPr>
          <w:rFonts w:ascii="Arial" w:hAnsi="Arial" w:cs="Arial"/>
          <w:sz w:val="24"/>
        </w:rPr>
        <w:t xml:space="preserve"> Long-term stability of the chronic epidural wireless recorder WIMAGINE in tetraplegic patients. </w:t>
      </w:r>
      <w:r w:rsidRPr="00AE20DD">
        <w:rPr>
          <w:rFonts w:ascii="Arial" w:hAnsi="Arial" w:cs="Arial"/>
          <w:i/>
          <w:iCs/>
          <w:sz w:val="24"/>
        </w:rPr>
        <w:t>J. Neural Eng.</w:t>
      </w:r>
      <w:r w:rsidRPr="00AE20DD">
        <w:rPr>
          <w:rFonts w:ascii="Arial" w:hAnsi="Arial" w:cs="Arial"/>
          <w:sz w:val="24"/>
        </w:rPr>
        <w:t xml:space="preserve"> </w:t>
      </w:r>
      <w:r w:rsidRPr="00AE20DD">
        <w:rPr>
          <w:rFonts w:ascii="Arial" w:hAnsi="Arial" w:cs="Arial"/>
          <w:b/>
          <w:bCs/>
          <w:sz w:val="24"/>
        </w:rPr>
        <w:t>18</w:t>
      </w:r>
      <w:r w:rsidRPr="00AE20DD">
        <w:rPr>
          <w:rFonts w:ascii="Arial" w:hAnsi="Arial" w:cs="Arial"/>
          <w:sz w:val="24"/>
        </w:rPr>
        <w:t>, 056026 (2021).</w:t>
      </w:r>
    </w:p>
    <w:p w14:paraId="41FD2EEC" w14:textId="0FFFFE65" w:rsidR="00AE20DD" w:rsidRPr="00AE20DD" w:rsidRDefault="00AE20DD" w:rsidP="00AE20DD">
      <w:pPr>
        <w:tabs>
          <w:tab w:val="left" w:pos="5670"/>
        </w:tabs>
        <w:spacing w:line="360" w:lineRule="auto"/>
        <w:jc w:val="both"/>
        <w:rPr>
          <w:rFonts w:ascii="Arial" w:hAnsi="Arial" w:cs="Arial"/>
          <w:b/>
          <w:bCs/>
          <w:sz w:val="24"/>
          <w:szCs w:val="24"/>
        </w:rPr>
      </w:pPr>
      <w:r>
        <w:rPr>
          <w:rFonts w:ascii="Arial" w:hAnsi="Arial" w:cs="Arial"/>
          <w:b/>
          <w:bCs/>
          <w:sz w:val="24"/>
          <w:szCs w:val="24"/>
        </w:rPr>
        <w:fldChar w:fldCharType="end"/>
      </w:r>
    </w:p>
    <w:sectPr w:rsidR="00AE20DD" w:rsidRPr="00AE20DD" w:rsidSect="006F0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57"/>
    <w:multiLevelType w:val="multilevel"/>
    <w:tmpl w:val="4412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A6BC5"/>
    <w:multiLevelType w:val="hybridMultilevel"/>
    <w:tmpl w:val="C33446E2"/>
    <w:lvl w:ilvl="0" w:tplc="6ED42CFA">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971A05"/>
    <w:multiLevelType w:val="hybridMultilevel"/>
    <w:tmpl w:val="F45C0A10"/>
    <w:lvl w:ilvl="0" w:tplc="A6800B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0F"/>
    <w:rsid w:val="000121D6"/>
    <w:rsid w:val="00021F32"/>
    <w:rsid w:val="00024DC9"/>
    <w:rsid w:val="00026D5A"/>
    <w:rsid w:val="000316D3"/>
    <w:rsid w:val="00035BC0"/>
    <w:rsid w:val="00056C66"/>
    <w:rsid w:val="00063725"/>
    <w:rsid w:val="000650DF"/>
    <w:rsid w:val="000679B7"/>
    <w:rsid w:val="000709D5"/>
    <w:rsid w:val="00070FCB"/>
    <w:rsid w:val="0007116C"/>
    <w:rsid w:val="00071F4F"/>
    <w:rsid w:val="0007375F"/>
    <w:rsid w:val="00074DBE"/>
    <w:rsid w:val="000752C6"/>
    <w:rsid w:val="000965F0"/>
    <w:rsid w:val="000A34FD"/>
    <w:rsid w:val="000B06CB"/>
    <w:rsid w:val="000B5557"/>
    <w:rsid w:val="000B5C14"/>
    <w:rsid w:val="000E545B"/>
    <w:rsid w:val="000F3048"/>
    <w:rsid w:val="000F77D0"/>
    <w:rsid w:val="000F79A1"/>
    <w:rsid w:val="001103C0"/>
    <w:rsid w:val="001226F6"/>
    <w:rsid w:val="00141352"/>
    <w:rsid w:val="001530B2"/>
    <w:rsid w:val="0015328D"/>
    <w:rsid w:val="00160DB3"/>
    <w:rsid w:val="0016308F"/>
    <w:rsid w:val="0017587E"/>
    <w:rsid w:val="00186C07"/>
    <w:rsid w:val="001914D9"/>
    <w:rsid w:val="00196B2F"/>
    <w:rsid w:val="001A1D88"/>
    <w:rsid w:val="001A3CC9"/>
    <w:rsid w:val="001B5A23"/>
    <w:rsid w:val="001C2465"/>
    <w:rsid w:val="001C5E8B"/>
    <w:rsid w:val="001D2F4B"/>
    <w:rsid w:val="001D6139"/>
    <w:rsid w:val="001D68F5"/>
    <w:rsid w:val="001D6A77"/>
    <w:rsid w:val="001E6999"/>
    <w:rsid w:val="001F2B05"/>
    <w:rsid w:val="001F4300"/>
    <w:rsid w:val="001F7249"/>
    <w:rsid w:val="00201BCE"/>
    <w:rsid w:val="00212DE2"/>
    <w:rsid w:val="002133F7"/>
    <w:rsid w:val="0024056E"/>
    <w:rsid w:val="002417AE"/>
    <w:rsid w:val="00242F1E"/>
    <w:rsid w:val="0025667B"/>
    <w:rsid w:val="00263D73"/>
    <w:rsid w:val="00265967"/>
    <w:rsid w:val="00286D70"/>
    <w:rsid w:val="00296A3E"/>
    <w:rsid w:val="002C002A"/>
    <w:rsid w:val="002C412A"/>
    <w:rsid w:val="002D056C"/>
    <w:rsid w:val="002F0C97"/>
    <w:rsid w:val="002F410A"/>
    <w:rsid w:val="003004FC"/>
    <w:rsid w:val="00315454"/>
    <w:rsid w:val="00316A5C"/>
    <w:rsid w:val="00320A56"/>
    <w:rsid w:val="00323FB4"/>
    <w:rsid w:val="0032747D"/>
    <w:rsid w:val="003311B1"/>
    <w:rsid w:val="003350B3"/>
    <w:rsid w:val="00337CBD"/>
    <w:rsid w:val="0034486E"/>
    <w:rsid w:val="00361519"/>
    <w:rsid w:val="00361B45"/>
    <w:rsid w:val="0038122E"/>
    <w:rsid w:val="00381369"/>
    <w:rsid w:val="00381D39"/>
    <w:rsid w:val="003856F4"/>
    <w:rsid w:val="00386B4A"/>
    <w:rsid w:val="00392C09"/>
    <w:rsid w:val="003A7868"/>
    <w:rsid w:val="003D4ECD"/>
    <w:rsid w:val="003E06CA"/>
    <w:rsid w:val="003E7B3E"/>
    <w:rsid w:val="003F1F50"/>
    <w:rsid w:val="00400406"/>
    <w:rsid w:val="004051EE"/>
    <w:rsid w:val="00430563"/>
    <w:rsid w:val="004321D7"/>
    <w:rsid w:val="00443288"/>
    <w:rsid w:val="004508CA"/>
    <w:rsid w:val="00452AC7"/>
    <w:rsid w:val="004561BC"/>
    <w:rsid w:val="004867C4"/>
    <w:rsid w:val="00493497"/>
    <w:rsid w:val="004956D3"/>
    <w:rsid w:val="004B5D3F"/>
    <w:rsid w:val="004B701A"/>
    <w:rsid w:val="004C4F8B"/>
    <w:rsid w:val="004C640C"/>
    <w:rsid w:val="004D2F0A"/>
    <w:rsid w:val="004E2785"/>
    <w:rsid w:val="004E48F6"/>
    <w:rsid w:val="004F163C"/>
    <w:rsid w:val="00516ECC"/>
    <w:rsid w:val="00525398"/>
    <w:rsid w:val="00530431"/>
    <w:rsid w:val="00531B16"/>
    <w:rsid w:val="00540FA4"/>
    <w:rsid w:val="00544B53"/>
    <w:rsid w:val="00551C94"/>
    <w:rsid w:val="00555535"/>
    <w:rsid w:val="0055782C"/>
    <w:rsid w:val="00576AD5"/>
    <w:rsid w:val="005917EB"/>
    <w:rsid w:val="00592B7C"/>
    <w:rsid w:val="00593F18"/>
    <w:rsid w:val="00594570"/>
    <w:rsid w:val="005A3029"/>
    <w:rsid w:val="005A7997"/>
    <w:rsid w:val="005B2095"/>
    <w:rsid w:val="005B4FE1"/>
    <w:rsid w:val="005C25E1"/>
    <w:rsid w:val="005E4625"/>
    <w:rsid w:val="00601A72"/>
    <w:rsid w:val="006202E9"/>
    <w:rsid w:val="00626B84"/>
    <w:rsid w:val="00636E8A"/>
    <w:rsid w:val="0063753F"/>
    <w:rsid w:val="00637768"/>
    <w:rsid w:val="00644719"/>
    <w:rsid w:val="006507CF"/>
    <w:rsid w:val="00653A22"/>
    <w:rsid w:val="00655FBC"/>
    <w:rsid w:val="00657BD7"/>
    <w:rsid w:val="00663CDC"/>
    <w:rsid w:val="00674BBF"/>
    <w:rsid w:val="00694DF7"/>
    <w:rsid w:val="00696657"/>
    <w:rsid w:val="006A06CA"/>
    <w:rsid w:val="006B1869"/>
    <w:rsid w:val="006B47AD"/>
    <w:rsid w:val="006B74B7"/>
    <w:rsid w:val="006C0DCB"/>
    <w:rsid w:val="006D3256"/>
    <w:rsid w:val="006E073A"/>
    <w:rsid w:val="006E4E5B"/>
    <w:rsid w:val="006E745C"/>
    <w:rsid w:val="006F0D1A"/>
    <w:rsid w:val="006F0E65"/>
    <w:rsid w:val="006F6474"/>
    <w:rsid w:val="006F78DA"/>
    <w:rsid w:val="0071480F"/>
    <w:rsid w:val="007239A6"/>
    <w:rsid w:val="00724A46"/>
    <w:rsid w:val="00751BB8"/>
    <w:rsid w:val="0075310C"/>
    <w:rsid w:val="007568EA"/>
    <w:rsid w:val="00756C77"/>
    <w:rsid w:val="00776B1E"/>
    <w:rsid w:val="00777BBA"/>
    <w:rsid w:val="00780093"/>
    <w:rsid w:val="00785196"/>
    <w:rsid w:val="00793225"/>
    <w:rsid w:val="007A1D13"/>
    <w:rsid w:val="007B5EEB"/>
    <w:rsid w:val="007D2392"/>
    <w:rsid w:val="007D37D3"/>
    <w:rsid w:val="007E3147"/>
    <w:rsid w:val="007F1996"/>
    <w:rsid w:val="007F2765"/>
    <w:rsid w:val="00806692"/>
    <w:rsid w:val="00811E31"/>
    <w:rsid w:val="00833E89"/>
    <w:rsid w:val="00841416"/>
    <w:rsid w:val="00841B29"/>
    <w:rsid w:val="00842164"/>
    <w:rsid w:val="00847518"/>
    <w:rsid w:val="00854C02"/>
    <w:rsid w:val="00856D57"/>
    <w:rsid w:val="008607FF"/>
    <w:rsid w:val="00860D91"/>
    <w:rsid w:val="008610AF"/>
    <w:rsid w:val="0087741E"/>
    <w:rsid w:val="008810E0"/>
    <w:rsid w:val="008843B0"/>
    <w:rsid w:val="00886226"/>
    <w:rsid w:val="008865AA"/>
    <w:rsid w:val="00890F1F"/>
    <w:rsid w:val="00891892"/>
    <w:rsid w:val="00892AC4"/>
    <w:rsid w:val="008933F0"/>
    <w:rsid w:val="008A30E3"/>
    <w:rsid w:val="008A6B96"/>
    <w:rsid w:val="008C5391"/>
    <w:rsid w:val="008C5DC0"/>
    <w:rsid w:val="008D2A9D"/>
    <w:rsid w:val="008F42E6"/>
    <w:rsid w:val="0091166F"/>
    <w:rsid w:val="009214BB"/>
    <w:rsid w:val="009223B6"/>
    <w:rsid w:val="00941E45"/>
    <w:rsid w:val="00952668"/>
    <w:rsid w:val="009542A3"/>
    <w:rsid w:val="00964CFB"/>
    <w:rsid w:val="00966766"/>
    <w:rsid w:val="00966E33"/>
    <w:rsid w:val="00993190"/>
    <w:rsid w:val="009A2C29"/>
    <w:rsid w:val="009B1035"/>
    <w:rsid w:val="009B71AA"/>
    <w:rsid w:val="009C0DB0"/>
    <w:rsid w:val="009C641E"/>
    <w:rsid w:val="009D4F3B"/>
    <w:rsid w:val="009E1CE6"/>
    <w:rsid w:val="009E3FBB"/>
    <w:rsid w:val="009E64C6"/>
    <w:rsid w:val="009E7B44"/>
    <w:rsid w:val="009F7846"/>
    <w:rsid w:val="00A001B6"/>
    <w:rsid w:val="00A024E2"/>
    <w:rsid w:val="00A0437F"/>
    <w:rsid w:val="00A26F26"/>
    <w:rsid w:val="00A30F2C"/>
    <w:rsid w:val="00A34B48"/>
    <w:rsid w:val="00A53100"/>
    <w:rsid w:val="00A55207"/>
    <w:rsid w:val="00A56F3A"/>
    <w:rsid w:val="00A67C0B"/>
    <w:rsid w:val="00A71918"/>
    <w:rsid w:val="00A86185"/>
    <w:rsid w:val="00A935C0"/>
    <w:rsid w:val="00A936DB"/>
    <w:rsid w:val="00A94060"/>
    <w:rsid w:val="00A94B38"/>
    <w:rsid w:val="00AA5CB5"/>
    <w:rsid w:val="00AA7DD3"/>
    <w:rsid w:val="00AB4923"/>
    <w:rsid w:val="00AB6D64"/>
    <w:rsid w:val="00AB7CF8"/>
    <w:rsid w:val="00AC18C4"/>
    <w:rsid w:val="00AC3B4C"/>
    <w:rsid w:val="00AC3DFE"/>
    <w:rsid w:val="00AD3C07"/>
    <w:rsid w:val="00AD5BD5"/>
    <w:rsid w:val="00AE101A"/>
    <w:rsid w:val="00AE20DD"/>
    <w:rsid w:val="00AE2671"/>
    <w:rsid w:val="00AE6EFA"/>
    <w:rsid w:val="00AF6A0E"/>
    <w:rsid w:val="00AF7BF3"/>
    <w:rsid w:val="00B11CD3"/>
    <w:rsid w:val="00B178F1"/>
    <w:rsid w:val="00B20882"/>
    <w:rsid w:val="00B21D8D"/>
    <w:rsid w:val="00B3066A"/>
    <w:rsid w:val="00B31DD3"/>
    <w:rsid w:val="00B35D90"/>
    <w:rsid w:val="00B47AA3"/>
    <w:rsid w:val="00B60B7A"/>
    <w:rsid w:val="00B768C8"/>
    <w:rsid w:val="00B771C8"/>
    <w:rsid w:val="00B94AB7"/>
    <w:rsid w:val="00BB0306"/>
    <w:rsid w:val="00BD2B61"/>
    <w:rsid w:val="00BD705F"/>
    <w:rsid w:val="00BE17F8"/>
    <w:rsid w:val="00BE25A6"/>
    <w:rsid w:val="00BE3FAE"/>
    <w:rsid w:val="00BE59A5"/>
    <w:rsid w:val="00BE6739"/>
    <w:rsid w:val="00BF7BEE"/>
    <w:rsid w:val="00C07970"/>
    <w:rsid w:val="00C11060"/>
    <w:rsid w:val="00C159C8"/>
    <w:rsid w:val="00C21D97"/>
    <w:rsid w:val="00C25D08"/>
    <w:rsid w:val="00C279F8"/>
    <w:rsid w:val="00C503F1"/>
    <w:rsid w:val="00C62A21"/>
    <w:rsid w:val="00C82C5F"/>
    <w:rsid w:val="00C8693A"/>
    <w:rsid w:val="00C974E6"/>
    <w:rsid w:val="00CB686A"/>
    <w:rsid w:val="00CC64D7"/>
    <w:rsid w:val="00CD540E"/>
    <w:rsid w:val="00CE2AEC"/>
    <w:rsid w:val="00CE4C6A"/>
    <w:rsid w:val="00D14798"/>
    <w:rsid w:val="00D33D11"/>
    <w:rsid w:val="00D53434"/>
    <w:rsid w:val="00D55E35"/>
    <w:rsid w:val="00D57826"/>
    <w:rsid w:val="00D769E0"/>
    <w:rsid w:val="00D778C4"/>
    <w:rsid w:val="00D800D2"/>
    <w:rsid w:val="00D8670C"/>
    <w:rsid w:val="00D8762B"/>
    <w:rsid w:val="00D91366"/>
    <w:rsid w:val="00D97210"/>
    <w:rsid w:val="00D97F25"/>
    <w:rsid w:val="00DA1123"/>
    <w:rsid w:val="00DA7087"/>
    <w:rsid w:val="00DB065B"/>
    <w:rsid w:val="00DD3514"/>
    <w:rsid w:val="00DD3B3F"/>
    <w:rsid w:val="00DE230F"/>
    <w:rsid w:val="00DF636B"/>
    <w:rsid w:val="00E26CDC"/>
    <w:rsid w:val="00E31B51"/>
    <w:rsid w:val="00E41DBA"/>
    <w:rsid w:val="00E46E06"/>
    <w:rsid w:val="00E57010"/>
    <w:rsid w:val="00E60189"/>
    <w:rsid w:val="00E63E41"/>
    <w:rsid w:val="00E6669C"/>
    <w:rsid w:val="00E76D38"/>
    <w:rsid w:val="00E86225"/>
    <w:rsid w:val="00E95238"/>
    <w:rsid w:val="00E97BF7"/>
    <w:rsid w:val="00ED56B8"/>
    <w:rsid w:val="00EE4BFA"/>
    <w:rsid w:val="00EE6A9A"/>
    <w:rsid w:val="00EE6D05"/>
    <w:rsid w:val="00EE7636"/>
    <w:rsid w:val="00F02FB5"/>
    <w:rsid w:val="00F10321"/>
    <w:rsid w:val="00F1079B"/>
    <w:rsid w:val="00F12AA6"/>
    <w:rsid w:val="00F14F75"/>
    <w:rsid w:val="00F168E3"/>
    <w:rsid w:val="00F233F0"/>
    <w:rsid w:val="00F44D7B"/>
    <w:rsid w:val="00F50AD3"/>
    <w:rsid w:val="00F56E9D"/>
    <w:rsid w:val="00F718D4"/>
    <w:rsid w:val="00F80849"/>
    <w:rsid w:val="00F8331B"/>
    <w:rsid w:val="00F85725"/>
    <w:rsid w:val="00F92987"/>
    <w:rsid w:val="00F95BEE"/>
    <w:rsid w:val="00FA1937"/>
    <w:rsid w:val="00FA585A"/>
    <w:rsid w:val="00FB42DC"/>
    <w:rsid w:val="00FB44B0"/>
    <w:rsid w:val="00FB47CD"/>
    <w:rsid w:val="00FB697D"/>
    <w:rsid w:val="00FB7DA2"/>
    <w:rsid w:val="00FC4F9D"/>
    <w:rsid w:val="00FD1DCF"/>
    <w:rsid w:val="00FD57BA"/>
    <w:rsid w:val="00FD7ECA"/>
    <w:rsid w:val="00FE24E0"/>
    <w:rsid w:val="00FE735C"/>
    <w:rsid w:val="00FF3798"/>
    <w:rsid w:val="00FF59E3"/>
    <w:rsid w:val="00FF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E778"/>
  <w15:chartTrackingRefBased/>
  <w15:docId w15:val="{466F88AC-66A0-4C19-A547-B0A44E16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BA"/>
    <w:rPr>
      <w:lang w:val="en-US"/>
    </w:rPr>
  </w:style>
  <w:style w:type="paragraph" w:styleId="Titre1">
    <w:name w:val="heading 1"/>
    <w:basedOn w:val="Normal"/>
    <w:next w:val="Normal"/>
    <w:link w:val="Titre1Car"/>
    <w:uiPriority w:val="9"/>
    <w:qFormat/>
    <w:rsid w:val="00EE76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86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77BBA"/>
    <w:pPr>
      <w:spacing w:after="200" w:line="240" w:lineRule="auto"/>
    </w:pPr>
    <w:rPr>
      <w:i/>
      <w:iCs/>
      <w:color w:val="44546A" w:themeColor="text2"/>
      <w:sz w:val="18"/>
      <w:szCs w:val="18"/>
    </w:rPr>
  </w:style>
  <w:style w:type="paragraph" w:styleId="Paragraphedeliste">
    <w:name w:val="List Paragraph"/>
    <w:basedOn w:val="Normal"/>
    <w:uiPriority w:val="34"/>
    <w:qFormat/>
    <w:rsid w:val="0038122E"/>
    <w:pPr>
      <w:ind w:left="720"/>
      <w:contextualSpacing/>
    </w:pPr>
  </w:style>
  <w:style w:type="paragraph" w:styleId="NormalWeb">
    <w:name w:val="Normal (Web)"/>
    <w:basedOn w:val="Normal"/>
    <w:uiPriority w:val="99"/>
    <w:semiHidden/>
    <w:unhideWhenUsed/>
    <w:rsid w:val="007A1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rd">
    <w:name w:val="mord"/>
    <w:basedOn w:val="Policepardfaut"/>
    <w:rsid w:val="007A1D13"/>
  </w:style>
  <w:style w:type="character" w:customStyle="1" w:styleId="mbin">
    <w:name w:val="mbin"/>
    <w:basedOn w:val="Policepardfaut"/>
    <w:rsid w:val="007A1D13"/>
  </w:style>
  <w:style w:type="character" w:styleId="lev">
    <w:name w:val="Strong"/>
    <w:basedOn w:val="Policepardfaut"/>
    <w:uiPriority w:val="22"/>
    <w:qFormat/>
    <w:rsid w:val="007A1D13"/>
    <w:rPr>
      <w:b/>
      <w:bCs/>
    </w:rPr>
  </w:style>
  <w:style w:type="character" w:customStyle="1" w:styleId="Titre1Car">
    <w:name w:val="Titre 1 Car"/>
    <w:basedOn w:val="Policepardfaut"/>
    <w:link w:val="Titre1"/>
    <w:uiPriority w:val="9"/>
    <w:rsid w:val="00EE7636"/>
    <w:rPr>
      <w:rFonts w:asciiTheme="majorHAnsi" w:eastAsiaTheme="majorEastAsia" w:hAnsiTheme="majorHAnsi" w:cstheme="majorBidi"/>
      <w:color w:val="2E74B5" w:themeColor="accent1" w:themeShade="BF"/>
      <w:sz w:val="32"/>
      <w:szCs w:val="32"/>
      <w:lang w:val="en-US"/>
    </w:rPr>
  </w:style>
  <w:style w:type="character" w:styleId="Marquedecommentaire">
    <w:name w:val="annotation reference"/>
    <w:basedOn w:val="Policepardfaut"/>
    <w:uiPriority w:val="99"/>
    <w:semiHidden/>
    <w:unhideWhenUsed/>
    <w:rsid w:val="00323FB4"/>
    <w:rPr>
      <w:sz w:val="16"/>
      <w:szCs w:val="16"/>
    </w:rPr>
  </w:style>
  <w:style w:type="paragraph" w:styleId="Commentaire">
    <w:name w:val="annotation text"/>
    <w:basedOn w:val="Normal"/>
    <w:link w:val="CommentaireCar"/>
    <w:uiPriority w:val="99"/>
    <w:semiHidden/>
    <w:unhideWhenUsed/>
    <w:rsid w:val="00323FB4"/>
    <w:pPr>
      <w:spacing w:line="240" w:lineRule="auto"/>
    </w:pPr>
    <w:rPr>
      <w:sz w:val="20"/>
      <w:szCs w:val="20"/>
    </w:rPr>
  </w:style>
  <w:style w:type="character" w:customStyle="1" w:styleId="CommentaireCar">
    <w:name w:val="Commentaire Car"/>
    <w:basedOn w:val="Policepardfaut"/>
    <w:link w:val="Commentaire"/>
    <w:uiPriority w:val="99"/>
    <w:semiHidden/>
    <w:rsid w:val="00323FB4"/>
    <w:rPr>
      <w:sz w:val="20"/>
      <w:szCs w:val="20"/>
      <w:lang w:val="en-US"/>
    </w:rPr>
  </w:style>
  <w:style w:type="paragraph" w:styleId="Objetducommentaire">
    <w:name w:val="annotation subject"/>
    <w:basedOn w:val="Commentaire"/>
    <w:next w:val="Commentaire"/>
    <w:link w:val="ObjetducommentaireCar"/>
    <w:uiPriority w:val="99"/>
    <w:semiHidden/>
    <w:unhideWhenUsed/>
    <w:rsid w:val="00323FB4"/>
    <w:rPr>
      <w:b/>
      <w:bCs/>
    </w:rPr>
  </w:style>
  <w:style w:type="character" w:customStyle="1" w:styleId="ObjetducommentaireCar">
    <w:name w:val="Objet du commentaire Car"/>
    <w:basedOn w:val="CommentaireCar"/>
    <w:link w:val="Objetducommentaire"/>
    <w:uiPriority w:val="99"/>
    <w:semiHidden/>
    <w:rsid w:val="00323FB4"/>
    <w:rPr>
      <w:b/>
      <w:bCs/>
      <w:sz w:val="20"/>
      <w:szCs w:val="20"/>
      <w:lang w:val="en-US"/>
    </w:rPr>
  </w:style>
  <w:style w:type="paragraph" w:styleId="Textedebulles">
    <w:name w:val="Balloon Text"/>
    <w:basedOn w:val="Normal"/>
    <w:link w:val="TextedebullesCar"/>
    <w:uiPriority w:val="99"/>
    <w:semiHidden/>
    <w:unhideWhenUsed/>
    <w:rsid w:val="00323F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3FB4"/>
    <w:rPr>
      <w:rFonts w:ascii="Segoe UI" w:hAnsi="Segoe UI" w:cs="Segoe UI"/>
      <w:sz w:val="18"/>
      <w:szCs w:val="18"/>
      <w:lang w:val="en-US"/>
    </w:rPr>
  </w:style>
  <w:style w:type="character" w:customStyle="1" w:styleId="Titre2Car">
    <w:name w:val="Titre 2 Car"/>
    <w:basedOn w:val="Policepardfaut"/>
    <w:link w:val="Titre2"/>
    <w:uiPriority w:val="9"/>
    <w:rsid w:val="004867C4"/>
    <w:rPr>
      <w:rFonts w:asciiTheme="majorHAnsi" w:eastAsiaTheme="majorEastAsia" w:hAnsiTheme="majorHAnsi" w:cstheme="majorBidi"/>
      <w:color w:val="2E74B5" w:themeColor="accent1" w:themeShade="BF"/>
      <w:sz w:val="26"/>
      <w:szCs w:val="26"/>
      <w:lang w:val="en-US"/>
    </w:rPr>
  </w:style>
  <w:style w:type="paragraph" w:styleId="Bibliographie">
    <w:name w:val="Bibliography"/>
    <w:basedOn w:val="Normal"/>
    <w:next w:val="Normal"/>
    <w:uiPriority w:val="37"/>
    <w:unhideWhenUsed/>
    <w:rsid w:val="00AE20DD"/>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0000">
      <w:bodyDiv w:val="1"/>
      <w:marLeft w:val="0"/>
      <w:marRight w:val="0"/>
      <w:marTop w:val="0"/>
      <w:marBottom w:val="0"/>
      <w:divBdr>
        <w:top w:val="none" w:sz="0" w:space="0" w:color="auto"/>
        <w:left w:val="none" w:sz="0" w:space="0" w:color="auto"/>
        <w:bottom w:val="none" w:sz="0" w:space="0" w:color="auto"/>
        <w:right w:val="none" w:sz="0" w:space="0" w:color="auto"/>
      </w:divBdr>
    </w:div>
    <w:div w:id="888566049">
      <w:bodyDiv w:val="1"/>
      <w:marLeft w:val="0"/>
      <w:marRight w:val="0"/>
      <w:marTop w:val="0"/>
      <w:marBottom w:val="0"/>
      <w:divBdr>
        <w:top w:val="none" w:sz="0" w:space="0" w:color="auto"/>
        <w:left w:val="none" w:sz="0" w:space="0" w:color="auto"/>
        <w:bottom w:val="none" w:sz="0" w:space="0" w:color="auto"/>
        <w:right w:val="none" w:sz="0" w:space="0" w:color="auto"/>
      </w:divBdr>
    </w:div>
    <w:div w:id="1108693515">
      <w:bodyDiv w:val="1"/>
      <w:marLeft w:val="0"/>
      <w:marRight w:val="0"/>
      <w:marTop w:val="0"/>
      <w:marBottom w:val="0"/>
      <w:divBdr>
        <w:top w:val="none" w:sz="0" w:space="0" w:color="auto"/>
        <w:left w:val="none" w:sz="0" w:space="0" w:color="auto"/>
        <w:bottom w:val="none" w:sz="0" w:space="0" w:color="auto"/>
        <w:right w:val="none" w:sz="0" w:space="0" w:color="auto"/>
      </w:divBdr>
    </w:div>
    <w:div w:id="201807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emier élément et date" Version="1987">
  <b:Source>
    <b:Tag>YOU18</b:Tag>
    <b:SourceType>JournalArticle</b:SourceType>
    <b:Guid>{EA57A9DC-9B63-4521-AB36-97DEEAFC9505}</b:Guid>
    <b:Author>
      <b:Author>
        <b:NameList>
          <b:Person>
            <b:Last>YOUNG</b:Last>
            <b:First>D.,</b:First>
            <b:Middle>WILLETT, F., MEMBERG, W. D., et al.</b:Middle>
          </b:Person>
        </b:NameList>
      </b:Author>
    </b:Author>
    <b:Title>Signal processing methods for reducing artifacts in microelectrode brain recordings caused by functional electrical stimulationSignal processing methods for reducing artifacts in microelectrode brain recordings caused by functional electrical stimulation</b:Title>
    <b:Year>2018</b:Year>
    <b:Publisher>Journal of neural engineering</b:Publisher>
    <b:StandardNumber>026014</b:StandardNumber>
    <b:Volume>vol. 15 </b:Volume>
    <b:Issue> no 2</b:Issue>
    <b:RefOrder>1</b:RefOrder>
  </b:Source>
</b:Sources>
</file>

<file path=customXml/itemProps1.xml><?xml version="1.0" encoding="utf-8"?>
<ds:datastoreItem xmlns:ds="http://schemas.openxmlformats.org/officeDocument/2006/customXml" ds:itemID="{6C3F19E6-9A14-41AD-8AA5-4A35CCA1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2973</Words>
  <Characters>16353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BLEUZE Alexandre</dc:creator>
  <cp:keywords/>
  <dc:description/>
  <cp:lastModifiedBy>STRUBER Lucas</cp:lastModifiedBy>
  <cp:revision>3</cp:revision>
  <cp:lastPrinted>2024-11-14T09:43:00Z</cp:lastPrinted>
  <dcterms:created xsi:type="dcterms:W3CDTF">2025-08-14T14:51:00Z</dcterms:created>
  <dcterms:modified xsi:type="dcterms:W3CDTF">2025-08-18T13:52:00Z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id="sSKUzogI"/&gt;&lt;style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