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8781C" w14:textId="77777777" w:rsidR="00C4269D" w:rsidRDefault="00C4269D" w:rsidP="00C4269D">
      <w:pPr>
        <w:pStyle w:val="BodyText"/>
        <w:spacing w:before="120" w:after="120" w:line="360" w:lineRule="auto"/>
        <w:jc w:val="center"/>
        <w:rPr>
          <w:b/>
        </w:rPr>
      </w:pPr>
      <w:r>
        <w:rPr>
          <w:b/>
        </w:rPr>
        <w:t>Supplementary figure</w:t>
      </w:r>
    </w:p>
    <w:p w14:paraId="4E54770E" w14:textId="77777777" w:rsidR="00C4269D" w:rsidRPr="00B11E4A" w:rsidRDefault="00C4269D" w:rsidP="00C4269D">
      <w:pPr>
        <w:pStyle w:val="BodyText"/>
        <w:spacing w:line="360" w:lineRule="auto"/>
        <w:rPr>
          <w:b/>
        </w:rPr>
      </w:pPr>
      <w:r w:rsidRPr="006A2BFB">
        <w:rPr>
          <w:b/>
        </w:rPr>
        <w:t>Figure S1</w:t>
      </w:r>
      <w:r>
        <w:rPr>
          <w:b/>
        </w:rPr>
        <w:t xml:space="preserve">: A) </w:t>
      </w:r>
      <w:r>
        <w:t xml:space="preserve">Shoot induction and multiplication under different concentrations of phytohormones. Treatments include full-strength MS media with varying concentrations of BAP (A: 0.50 mg/L, B: 1.00 mg/L, C: 1.50 mg/L, D: 2.00 mg/L), TDZ (E: 0.50 mg/L, F: 1.00 mg/L, G: 1.50 mg/L, H: 2.00 mg/L), and Kinetin (I: 0.50 mg/L, J: 1.00 mg/L, K: 1.50 mg/L, L: 2.00 mg/L), as well as half-strength MS media with BAP (M: 0.50 mg/L, N: 1.00 mg/L, O: 1.50 mg/L, P: 2.00 mg/L) </w:t>
      </w:r>
      <w:r w:rsidRPr="00CB6AB4">
        <w:rPr>
          <w:b/>
        </w:rPr>
        <w:t>b)</w:t>
      </w:r>
      <w:r>
        <w:rPr>
          <w:b/>
        </w:rPr>
        <w:t xml:space="preserve"> </w:t>
      </w:r>
      <w:r>
        <w:t>Graphical representation of m</w:t>
      </w:r>
      <w:r w:rsidRPr="00990F87">
        <w:t xml:space="preserve">ultiplication of Shoot in different </w:t>
      </w:r>
      <w:r>
        <w:t xml:space="preserve">concentration of phytohormones </w:t>
      </w:r>
    </w:p>
    <w:p w14:paraId="1968265D" w14:textId="77777777" w:rsidR="00C4269D" w:rsidRDefault="00C4269D" w:rsidP="00C4269D">
      <w:pPr>
        <w:rPr>
          <w:lang w:val="en-US"/>
        </w:rPr>
      </w:pPr>
    </w:p>
    <w:p w14:paraId="4B9472D6" w14:textId="77777777" w:rsidR="00C4269D" w:rsidRPr="00B13CF7" w:rsidRDefault="00C4269D" w:rsidP="00C4269D">
      <w:pPr>
        <w:tabs>
          <w:tab w:val="left" w:pos="4132"/>
        </w:tabs>
        <w:spacing w:before="240" w:after="0" w:line="360" w:lineRule="auto"/>
        <w:jc w:val="both"/>
        <w:rPr>
          <w:rFonts w:ascii="Times New Roman" w:hAnsi="Times New Roman" w:cs="Times New Roman"/>
        </w:rPr>
      </w:pPr>
      <w:r w:rsidRPr="00B13CF7">
        <w:rPr>
          <w:rFonts w:ascii="Times New Roman" w:hAnsi="Times New Roman" w:cs="Times New Roman"/>
          <w:b/>
        </w:rPr>
        <w:t xml:space="preserve">Figure S2: </w:t>
      </w:r>
      <w:r w:rsidRPr="00B13CF7">
        <w:rPr>
          <w:rFonts w:ascii="Times New Roman" w:hAnsi="Times New Roman" w:cs="Times New Roman"/>
        </w:rPr>
        <w:t xml:space="preserve"> Principal Component Analysis (PCA) biplot provides an effects of different treatments of NaCl on both plant growth and stress-related responses. The first principal component (F1), on the x-axis accounted for 98.78% of the total variance, while F2 explaining only 0.80% of the variance, is associated with stress-related variables such as superoxide dismutase (SOD), hydrogen peroxide (H</w:t>
      </w:r>
      <w:r w:rsidRPr="00B13CF7">
        <w:rPr>
          <w:rFonts w:ascii="Times New Roman" w:hAnsi="Times New Roman" w:cs="Times New Roman"/>
          <w:vertAlign w:val="subscript"/>
        </w:rPr>
        <w:t>2</w:t>
      </w:r>
      <w:r w:rsidRPr="00B13CF7">
        <w:rPr>
          <w:rFonts w:ascii="Times New Roman" w:hAnsi="Times New Roman" w:cs="Times New Roman"/>
        </w:rPr>
        <w:t>O</w:t>
      </w:r>
      <w:r w:rsidRPr="00B13CF7">
        <w:rPr>
          <w:rFonts w:ascii="Times New Roman" w:hAnsi="Times New Roman" w:cs="Times New Roman"/>
          <w:vertAlign w:val="subscript"/>
        </w:rPr>
        <w:t>2</w:t>
      </w:r>
      <w:r w:rsidRPr="00B13CF7">
        <w:rPr>
          <w:rFonts w:ascii="Times New Roman" w:hAnsi="Times New Roman" w:cs="Times New Roman"/>
        </w:rPr>
        <w:t>), and proline.</w:t>
      </w:r>
    </w:p>
    <w:p w14:paraId="1906464C" w14:textId="77777777" w:rsidR="00C4269D" w:rsidRPr="00DC1308" w:rsidRDefault="00C4269D" w:rsidP="00C4269D">
      <w:r w:rsidRPr="006A2BFB">
        <w:rPr>
          <w:b/>
        </w:rPr>
        <w:t>Figure S</w:t>
      </w:r>
      <w:r w:rsidRPr="00DC1308">
        <w:t>3</w:t>
      </w:r>
      <w:r>
        <w:t xml:space="preserve">. </w:t>
      </w:r>
      <w:r w:rsidRPr="008244BF">
        <w:rPr>
          <w:rFonts w:ascii="Times New Roman" w:eastAsia="Times New Roman" w:hAnsi="Times New Roman" w:cs="Times New Roman"/>
          <w:b/>
          <w:sz w:val="24"/>
          <w:szCs w:val="24"/>
          <w:lang w:eastAsia="en-IN"/>
        </w:rPr>
        <w:t xml:space="preserve"> </w:t>
      </w:r>
      <w:r w:rsidRPr="00557242">
        <w:rPr>
          <w:rFonts w:ascii="Times New Roman" w:eastAsia="Times New Roman" w:hAnsi="Times New Roman" w:cs="Times New Roman"/>
          <w:b/>
          <w:sz w:val="24"/>
          <w:szCs w:val="24"/>
          <w:lang w:eastAsia="en-IN"/>
        </w:rPr>
        <w:t>a)</w:t>
      </w:r>
      <w:r>
        <w:rPr>
          <w:rFonts w:ascii="Times New Roman" w:eastAsia="Times New Roman" w:hAnsi="Times New Roman" w:cs="Times New Roman"/>
          <w:b/>
          <w:sz w:val="24"/>
          <w:szCs w:val="24"/>
          <w:lang w:eastAsia="en-IN"/>
        </w:rPr>
        <w:t xml:space="preserve"> </w:t>
      </w:r>
      <w:r>
        <w:rPr>
          <w:rFonts w:ascii="Times New Roman" w:eastAsia="Times New Roman" w:hAnsi="Times New Roman" w:cs="Times New Roman"/>
          <w:sz w:val="24"/>
          <w:szCs w:val="24"/>
          <w:lang w:eastAsia="en-IN"/>
        </w:rPr>
        <w:t>TCR-</w:t>
      </w:r>
      <w:r w:rsidRPr="003F05FF">
        <w:rPr>
          <w:rFonts w:ascii="Times New Roman" w:eastAsia="Times New Roman" w:hAnsi="Times New Roman" w:cs="Times New Roman"/>
          <w:i/>
          <w:iCs/>
          <w:sz w:val="24"/>
          <w:szCs w:val="24"/>
          <w:lang w:eastAsia="en-IN"/>
        </w:rPr>
        <w:t>C. morifolium</w:t>
      </w:r>
      <w:r w:rsidRPr="003F05FF">
        <w:rPr>
          <w:rFonts w:ascii="Times New Roman" w:eastAsia="Times New Roman" w:hAnsi="Times New Roman" w:cs="Times New Roman"/>
          <w:sz w:val="24"/>
          <w:szCs w:val="24"/>
          <w:lang w:eastAsia="en-IN"/>
        </w:rPr>
        <w:t xml:space="preserve"> plants</w:t>
      </w:r>
      <w:r>
        <w:rPr>
          <w:rFonts w:ascii="Times New Roman" w:eastAsia="Times New Roman" w:hAnsi="Times New Roman" w:cs="Times New Roman"/>
          <w:sz w:val="24"/>
          <w:szCs w:val="24"/>
          <w:lang w:eastAsia="en-IN"/>
        </w:rPr>
        <w:t xml:space="preserve"> (</w:t>
      </w:r>
      <w:r w:rsidRPr="005B1460">
        <w:rPr>
          <w:rFonts w:ascii="Times New Roman" w:eastAsia="Times New Roman" w:hAnsi="Times New Roman" w:cs="Times New Roman"/>
          <w:b/>
          <w:sz w:val="24"/>
          <w:szCs w:val="24"/>
          <w:lang w:eastAsia="en-IN"/>
        </w:rPr>
        <w:t>A-C</w:t>
      </w:r>
      <w:r>
        <w:rPr>
          <w:rFonts w:ascii="Times New Roman" w:eastAsia="Times New Roman" w:hAnsi="Times New Roman" w:cs="Times New Roman"/>
          <w:sz w:val="24"/>
          <w:szCs w:val="24"/>
          <w:lang w:eastAsia="en-IN"/>
        </w:rPr>
        <w:t>)</w:t>
      </w:r>
      <w:r w:rsidRPr="003F05FF">
        <w:rPr>
          <w:rFonts w:ascii="Times New Roman" w:eastAsia="Times New Roman" w:hAnsi="Times New Roman" w:cs="Times New Roman"/>
          <w:sz w:val="24"/>
          <w:szCs w:val="24"/>
          <w:lang w:eastAsia="en-IN"/>
        </w:rPr>
        <w:t xml:space="preserve"> transferred to primary hardening under controlled conditions, using a </w:t>
      </w:r>
      <w:r>
        <w:rPr>
          <w:rFonts w:ascii="Times New Roman" w:eastAsia="Times New Roman" w:hAnsi="Times New Roman" w:cs="Times New Roman"/>
          <w:sz w:val="24"/>
          <w:szCs w:val="24"/>
          <w:lang w:eastAsia="en-IN"/>
        </w:rPr>
        <w:t xml:space="preserve">designed soil mixture </w:t>
      </w:r>
      <w:r w:rsidRPr="00557242">
        <w:rPr>
          <w:rFonts w:ascii="Times New Roman" w:eastAsia="Times New Roman" w:hAnsi="Times New Roman" w:cs="Times New Roman"/>
          <w:sz w:val="24"/>
          <w:szCs w:val="24"/>
          <w:lang w:eastAsia="en-IN"/>
        </w:rPr>
        <w:t>comprising cocopeat, perlite, a</w:t>
      </w:r>
      <w:r>
        <w:rPr>
          <w:rFonts w:ascii="Times New Roman" w:eastAsia="Times New Roman" w:hAnsi="Times New Roman" w:cs="Times New Roman"/>
          <w:sz w:val="24"/>
          <w:szCs w:val="24"/>
          <w:lang w:eastAsia="en-IN"/>
        </w:rPr>
        <w:t xml:space="preserve">nd vermiculite in a 2:1:1 ratio. </w:t>
      </w:r>
      <w:r w:rsidRPr="00557242">
        <w:rPr>
          <w:rFonts w:ascii="Times New Roman" w:eastAsia="Times New Roman" w:hAnsi="Times New Roman" w:cs="Times New Roman"/>
          <w:b/>
          <w:sz w:val="24"/>
          <w:szCs w:val="24"/>
          <w:lang w:eastAsia="en-IN"/>
        </w:rPr>
        <w:t>b)</w:t>
      </w:r>
      <w:r>
        <w:rPr>
          <w:rFonts w:ascii="Times New Roman" w:eastAsia="Times New Roman" w:hAnsi="Times New Roman" w:cs="Times New Roman"/>
          <w:b/>
          <w:sz w:val="24"/>
          <w:szCs w:val="24"/>
          <w:lang w:eastAsia="en-IN"/>
        </w:rPr>
        <w:t xml:space="preserve"> </w:t>
      </w:r>
      <w:r w:rsidRPr="00557242">
        <w:rPr>
          <w:rFonts w:ascii="Times New Roman" w:eastAsia="Times New Roman" w:hAnsi="Times New Roman" w:cs="Times New Roman"/>
          <w:sz w:val="24"/>
          <w:szCs w:val="24"/>
          <w:lang w:eastAsia="en-IN"/>
        </w:rPr>
        <w:t xml:space="preserve">After primary hardening the </w:t>
      </w:r>
      <w:r>
        <w:rPr>
          <w:rFonts w:ascii="Times New Roman" w:eastAsia="Times New Roman" w:hAnsi="Times New Roman" w:cs="Times New Roman"/>
          <w:sz w:val="24"/>
          <w:szCs w:val="24"/>
          <w:lang w:eastAsia="en-IN"/>
        </w:rPr>
        <w:t>TCR-</w:t>
      </w:r>
      <w:r w:rsidRPr="00557242">
        <w:rPr>
          <w:rFonts w:ascii="Times New Roman" w:eastAsia="Times New Roman" w:hAnsi="Times New Roman" w:cs="Times New Roman"/>
          <w:i/>
          <w:sz w:val="24"/>
          <w:szCs w:val="24"/>
          <w:lang w:eastAsia="en-IN"/>
        </w:rPr>
        <w:t>C. morifolium</w:t>
      </w:r>
      <w:r w:rsidRPr="00557242">
        <w:rPr>
          <w:rFonts w:ascii="Times New Roman" w:eastAsia="Times New Roman" w:hAnsi="Times New Roman" w:cs="Times New Roman"/>
          <w:sz w:val="24"/>
          <w:szCs w:val="24"/>
          <w:lang w:eastAsia="en-IN"/>
        </w:rPr>
        <w:t xml:space="preserve"> transferred to secondary hardening</w:t>
      </w:r>
      <w:r>
        <w:rPr>
          <w:rFonts w:ascii="Times New Roman" w:eastAsia="Times New Roman" w:hAnsi="Times New Roman" w:cs="Times New Roman"/>
          <w:sz w:val="24"/>
          <w:szCs w:val="24"/>
          <w:lang w:eastAsia="en-IN"/>
        </w:rPr>
        <w:t xml:space="preserve"> (</w:t>
      </w:r>
      <w:r w:rsidRPr="00481725">
        <w:rPr>
          <w:rFonts w:ascii="Times New Roman" w:eastAsia="Times New Roman" w:hAnsi="Times New Roman" w:cs="Times New Roman"/>
          <w:b/>
          <w:sz w:val="24"/>
          <w:szCs w:val="24"/>
          <w:lang w:eastAsia="en-IN"/>
        </w:rPr>
        <w:t>D-E</w:t>
      </w:r>
      <w:r>
        <w:rPr>
          <w:rFonts w:ascii="Times New Roman" w:eastAsia="Times New Roman" w:hAnsi="Times New Roman" w:cs="Times New Roman"/>
          <w:sz w:val="24"/>
          <w:szCs w:val="24"/>
          <w:lang w:eastAsia="en-IN"/>
        </w:rPr>
        <w:t>)</w:t>
      </w:r>
      <w:r w:rsidRPr="00557242">
        <w:rPr>
          <w:rFonts w:ascii="Times New Roman" w:eastAsia="Times New Roman" w:hAnsi="Times New Roman" w:cs="Times New Roman"/>
          <w:sz w:val="24"/>
          <w:szCs w:val="24"/>
          <w:lang w:eastAsia="en-IN"/>
        </w:rPr>
        <w:t xml:space="preserve"> under control condition</w:t>
      </w:r>
      <w:r>
        <w:rPr>
          <w:rFonts w:ascii="Times New Roman" w:eastAsia="Times New Roman" w:hAnsi="Times New Roman" w:cs="Times New Roman"/>
          <w:sz w:val="24"/>
          <w:szCs w:val="24"/>
          <w:lang w:eastAsia="en-IN"/>
        </w:rPr>
        <w:t xml:space="preserve">, using designed soil mixture </w:t>
      </w:r>
      <w:r w:rsidRPr="00557242">
        <w:rPr>
          <w:rFonts w:ascii="Times New Roman" w:eastAsia="Times New Roman" w:hAnsi="Times New Roman" w:cs="Times New Roman"/>
          <w:sz w:val="24"/>
          <w:szCs w:val="24"/>
          <w:lang w:eastAsia="en-IN"/>
        </w:rPr>
        <w:t>comprising vermicompost, garden soil, sand, and cocopeat in a 2:1:1:1 ratio</w:t>
      </w:r>
      <w:r>
        <w:rPr>
          <w:rFonts w:ascii="Times New Roman" w:eastAsia="Times New Roman" w:hAnsi="Times New Roman" w:cs="Times New Roman"/>
          <w:sz w:val="24"/>
          <w:szCs w:val="24"/>
          <w:lang w:eastAsia="en-IN"/>
        </w:rPr>
        <w:t>.</w:t>
      </w:r>
    </w:p>
    <w:p w14:paraId="20C3A12F" w14:textId="77777777" w:rsidR="00C4269D" w:rsidRPr="00E83420" w:rsidRDefault="00C4269D" w:rsidP="00C4269D">
      <w:pPr>
        <w:pStyle w:val="NormalWeb"/>
        <w:jc w:val="both"/>
      </w:pPr>
      <w:r w:rsidRPr="006A2BFB">
        <w:rPr>
          <w:b/>
        </w:rPr>
        <w:t>Figure S</w:t>
      </w:r>
      <w:r w:rsidRPr="00A461A3">
        <w:t>4</w:t>
      </w:r>
      <w:r>
        <w:t xml:space="preserve"> The histochemical analysis of </w:t>
      </w:r>
      <w:r>
        <w:rPr>
          <w:rStyle w:val="Emphasis"/>
          <w:rFonts w:eastAsiaTheme="majorEastAsia"/>
        </w:rPr>
        <w:t>in vivo</w:t>
      </w:r>
      <w:r>
        <w:t xml:space="preserve"> planted TCR-</w:t>
      </w:r>
      <w:r>
        <w:rPr>
          <w:rStyle w:val="Emphasis"/>
          <w:rFonts w:eastAsiaTheme="majorEastAsia"/>
        </w:rPr>
        <w:t>Chrysanthemum</w:t>
      </w:r>
      <w:r>
        <w:t xml:space="preserve"> plants subjected to different concentrations of NaCl (Control, 25 mM, 50 mM, 75 mM, 100 mM, 150 mM, 200 mM, 400 mM)</w:t>
      </w:r>
      <w:r>
        <w:rPr>
          <w:b/>
          <w:bCs/>
          <w:lang w:bidi="hi-IN"/>
        </w:rPr>
        <w:t xml:space="preserve"> a)</w:t>
      </w:r>
      <w:r w:rsidRPr="00E945B2">
        <w:rPr>
          <w:b/>
          <w:bCs/>
          <w:lang w:bidi="hi-IN"/>
        </w:rPr>
        <w:t xml:space="preserve"> </w:t>
      </w:r>
      <w:r w:rsidRPr="00112E96">
        <w:t>DAB Staining showed the accumulation</w:t>
      </w:r>
      <w:r w:rsidRPr="00A04919">
        <w:rPr>
          <w:bCs/>
          <w:lang w:bidi="hi-IN"/>
        </w:rPr>
        <w:t xml:space="preserve"> </w:t>
      </w:r>
      <w:r w:rsidRPr="00112E96">
        <w:t>of H2O2</w:t>
      </w:r>
      <w:r w:rsidRPr="00951E9D">
        <w:t xml:space="preserve"> </w:t>
      </w:r>
      <w:r w:rsidRPr="004632C3">
        <w:rPr>
          <w:b/>
        </w:rPr>
        <w:t>b)</w:t>
      </w:r>
      <w:r w:rsidRPr="00112E96">
        <w:t xml:space="preserve"> NBT Staining showed the accumulation</w:t>
      </w:r>
      <w:r w:rsidRPr="00A04919">
        <w:rPr>
          <w:bCs/>
          <w:lang w:bidi="hi-IN"/>
        </w:rPr>
        <w:t xml:space="preserve"> </w:t>
      </w:r>
      <w:r w:rsidRPr="00112E96">
        <w:t xml:space="preserve">of </w:t>
      </w:r>
      <w:r>
        <w:t>SOD.</w:t>
      </w:r>
    </w:p>
    <w:p w14:paraId="0C0B5E2C" w14:textId="77777777" w:rsidR="00C4269D" w:rsidRDefault="00C4269D" w:rsidP="00C4269D">
      <w:pPr>
        <w:spacing w:before="100" w:beforeAutospacing="1" w:after="100" w:afterAutospacing="1" w:line="240" w:lineRule="auto"/>
        <w:jc w:val="both"/>
        <w:rPr>
          <w:rFonts w:ascii="Times New Roman" w:eastAsia="Times New Roman" w:hAnsi="Times New Roman" w:cs="Times New Roman"/>
          <w:sz w:val="24"/>
          <w:szCs w:val="24"/>
          <w:lang w:eastAsia="en-IN"/>
        </w:rPr>
      </w:pPr>
      <w:r>
        <w:rPr>
          <w:b/>
        </w:rPr>
        <w:t>Figure S5</w:t>
      </w:r>
      <w:r w:rsidRPr="00F972D5">
        <w:rPr>
          <w:rFonts w:ascii="Times New Roman" w:eastAsia="Times New Roman" w:hAnsi="Times New Roman" w:cs="Times New Roman"/>
          <w:sz w:val="24"/>
          <w:szCs w:val="24"/>
          <w:lang w:eastAsia="en-IN"/>
        </w:rPr>
        <w:t>. Principal Component Analysis (PCA) biplot (Fig. 12) illustrates the relationships between various physiological and biochemical variables (active variables, shown in red) and treatments (active observations, shown in blue), projected onto two principal components, F1 and F2. Together, these components explain 84.04% of the total variance, with F1 accounting for 71.06% and F2 contributing 12.99%.</w:t>
      </w:r>
    </w:p>
    <w:p w14:paraId="2B286626" w14:textId="77777777" w:rsidR="00C4269D" w:rsidRPr="00B13CF7" w:rsidRDefault="00C4269D" w:rsidP="00C4269D">
      <w:pPr>
        <w:spacing w:before="240" w:after="0" w:line="360" w:lineRule="auto"/>
        <w:jc w:val="both"/>
        <w:rPr>
          <w:rFonts w:ascii="Times New Roman" w:hAnsi="Times New Roman" w:cs="Times New Roman"/>
          <w:b/>
        </w:rPr>
      </w:pPr>
      <w:r w:rsidRPr="00B13CF7">
        <w:rPr>
          <w:rFonts w:ascii="Times New Roman" w:hAnsi="Times New Roman" w:cs="Times New Roman"/>
          <w:b/>
        </w:rPr>
        <w:t>Table S1 :</w:t>
      </w:r>
      <w:r w:rsidRPr="00B13CF7">
        <w:rPr>
          <w:rFonts w:ascii="Times New Roman" w:hAnsi="Times New Roman" w:cs="Times New Roman"/>
        </w:rPr>
        <w:t xml:space="preserve"> </w:t>
      </w:r>
      <w:r w:rsidRPr="00B13CF7">
        <w:rPr>
          <w:rFonts w:ascii="Times New Roman" w:hAnsi="Times New Roman" w:cs="Times New Roman"/>
          <w:bCs/>
        </w:rPr>
        <w:t xml:space="preserve">Effect of different sterilizing agents in different concentration on </w:t>
      </w:r>
      <w:r w:rsidRPr="00B13CF7">
        <w:rPr>
          <w:rFonts w:ascii="Times New Roman" w:eastAsia="Times New Roman" w:hAnsi="Times New Roman" w:cs="Times New Roman"/>
          <w:bCs/>
          <w:color w:val="000000"/>
          <w:lang w:bidi="hi-IN"/>
        </w:rPr>
        <w:t xml:space="preserve">survival percentage of </w:t>
      </w:r>
      <w:r w:rsidRPr="00B13CF7">
        <w:rPr>
          <w:rFonts w:ascii="Times New Roman" w:hAnsi="Times New Roman" w:cs="Times New Roman"/>
          <w:bCs/>
          <w:i/>
        </w:rPr>
        <w:t>C. morifolium</w:t>
      </w:r>
      <w:r w:rsidRPr="00B13CF7">
        <w:rPr>
          <w:rFonts w:ascii="Times New Roman" w:eastAsia="Times New Roman" w:hAnsi="Times New Roman" w:cs="Times New Roman"/>
          <w:bCs/>
          <w:color w:val="000000"/>
          <w:lang w:bidi="hi-IN"/>
        </w:rPr>
        <w:t xml:space="preserve"> Explant (Nodal Segment</w:t>
      </w:r>
      <w:r w:rsidRPr="00B13CF7">
        <w:rPr>
          <w:rFonts w:ascii="Times New Roman" w:hAnsi="Times New Roman" w:cs="Times New Roman"/>
        </w:rPr>
        <w:t xml:space="preserve"> Table S2: Root Induction, Root length and ratio of No. of Root verses Shoot in rooting media</w:t>
      </w:r>
    </w:p>
    <w:p w14:paraId="47E38111" w14:textId="77777777" w:rsidR="00C4269D" w:rsidRPr="00B13CF7" w:rsidRDefault="00C4269D" w:rsidP="00C4269D">
      <w:pPr>
        <w:pStyle w:val="BodyText"/>
        <w:spacing w:before="240" w:line="360" w:lineRule="auto"/>
        <w:ind w:right="502"/>
      </w:pPr>
      <w:r w:rsidRPr="00B13CF7">
        <w:rPr>
          <w:b/>
        </w:rPr>
        <w:t>Table S2:</w:t>
      </w:r>
      <w:r w:rsidRPr="00B13CF7">
        <w:t xml:space="preserve"> </w:t>
      </w:r>
      <w:r w:rsidRPr="00B13CF7">
        <w:rPr>
          <w:bCs/>
        </w:rPr>
        <w:t xml:space="preserve">Standardization of culture media for shoot induction, No. of Shoots and Shoot length along with </w:t>
      </w:r>
      <w:r w:rsidRPr="00B13CF7">
        <w:t>Mean±SE</w:t>
      </w:r>
    </w:p>
    <w:p w14:paraId="7DDB4B07" w14:textId="77777777" w:rsidR="00C4269D" w:rsidRPr="00B13CF7" w:rsidRDefault="00C4269D" w:rsidP="00C4269D">
      <w:pPr>
        <w:pStyle w:val="BodyText"/>
        <w:spacing w:before="240" w:line="360" w:lineRule="auto"/>
        <w:ind w:right="502"/>
      </w:pPr>
      <w:r w:rsidRPr="00B13CF7">
        <w:rPr>
          <w:b/>
          <w:color w:val="000000" w:themeColor="text1"/>
        </w:rPr>
        <w:t xml:space="preserve">Table S3; </w:t>
      </w:r>
      <w:r w:rsidRPr="00B13CF7">
        <w:rPr>
          <w:color w:val="000000" w:themeColor="text1"/>
        </w:rPr>
        <w:t xml:space="preserve">Shoot </w:t>
      </w:r>
      <w:r w:rsidRPr="00B13CF7">
        <w:rPr>
          <w:color w:val="000000"/>
          <w:lang w:eastAsia="en-IN"/>
        </w:rPr>
        <w:t xml:space="preserve">regeneration frequency </w:t>
      </w:r>
      <w:r w:rsidRPr="00B13CF7">
        <w:rPr>
          <w:color w:val="000000" w:themeColor="text1"/>
        </w:rPr>
        <w:t>and length of Shoots in cm in different concentration of Salt stress</w:t>
      </w:r>
    </w:p>
    <w:p w14:paraId="60DA5449" w14:textId="77777777" w:rsidR="00C4269D" w:rsidRPr="00B13CF7" w:rsidRDefault="00C4269D" w:rsidP="00C4269D">
      <w:pPr>
        <w:spacing w:before="240" w:after="0"/>
        <w:jc w:val="both"/>
        <w:rPr>
          <w:rFonts w:ascii="Times New Roman" w:hAnsi="Times New Roman" w:cs="Times New Roman"/>
        </w:rPr>
      </w:pPr>
      <w:r w:rsidRPr="00B13CF7">
        <w:rPr>
          <w:rFonts w:ascii="Times New Roman" w:hAnsi="Times New Roman" w:cs="Times New Roman"/>
          <w:b/>
        </w:rPr>
        <w:lastRenderedPageBreak/>
        <w:t>Table S4</w:t>
      </w:r>
      <w:r w:rsidRPr="00B13CF7">
        <w:rPr>
          <w:rFonts w:ascii="Times New Roman" w:hAnsi="Times New Roman" w:cs="Times New Roman"/>
        </w:rPr>
        <w:t xml:space="preserve">: Root Induction, Root length and ratio of No. of Root verses Shoot </w:t>
      </w:r>
    </w:p>
    <w:p w14:paraId="32E06164" w14:textId="77777777" w:rsidR="00C4269D" w:rsidRPr="00B13CF7" w:rsidRDefault="00C4269D" w:rsidP="00C4269D">
      <w:pPr>
        <w:pStyle w:val="BodyText"/>
        <w:spacing w:before="240" w:line="360" w:lineRule="auto"/>
        <w:ind w:right="502"/>
        <w:rPr>
          <w:b/>
          <w:bCs/>
        </w:rPr>
      </w:pPr>
      <w:r w:rsidRPr="00B13CF7">
        <w:rPr>
          <w:b/>
          <w:bCs/>
        </w:rPr>
        <w:t xml:space="preserve">Table S5: The number of leaves and the plant height (cm) at 15, 30 and 45 DAS under </w:t>
      </w:r>
      <w:r w:rsidRPr="00B13CF7">
        <w:rPr>
          <w:b/>
          <w:bCs/>
          <w:i/>
          <w:iCs/>
        </w:rPr>
        <w:t>In-vivo</w:t>
      </w:r>
      <w:r w:rsidRPr="00B13CF7">
        <w:rPr>
          <w:b/>
          <w:bCs/>
        </w:rPr>
        <w:t xml:space="preserve"> condition</w:t>
      </w:r>
    </w:p>
    <w:p w14:paraId="6505103E" w14:textId="77777777" w:rsidR="00C4269D" w:rsidRPr="00B13CF7" w:rsidRDefault="00C4269D" w:rsidP="00C4269D">
      <w:pPr>
        <w:pStyle w:val="BodyText"/>
        <w:spacing w:before="240" w:line="360" w:lineRule="auto"/>
        <w:ind w:right="502"/>
      </w:pPr>
      <w:r w:rsidRPr="00B13CF7">
        <w:rPr>
          <w:b/>
          <w:bCs/>
        </w:rPr>
        <w:t>T</w:t>
      </w:r>
      <w:r w:rsidRPr="00B13CF7">
        <w:rPr>
          <w:b/>
        </w:rPr>
        <w:t>able S6;</w:t>
      </w:r>
      <w:r w:rsidRPr="00B13CF7">
        <w:t xml:space="preserve">Change in Soil Electroconductivity and pH by uptake of salt by Tissue Culture raised salt stress </w:t>
      </w:r>
      <w:r w:rsidRPr="00B13CF7">
        <w:rPr>
          <w:i/>
        </w:rPr>
        <w:t>Chryzynthimum</w:t>
      </w:r>
      <w:r w:rsidRPr="00B13CF7">
        <w:t xml:space="preserve"> Plant under Net-house experiments</w:t>
      </w:r>
    </w:p>
    <w:p w14:paraId="0E4D0F57" w14:textId="77777777" w:rsidR="00C4269D" w:rsidRPr="00606D6B" w:rsidRDefault="00C4269D" w:rsidP="00C4269D">
      <w:pPr>
        <w:spacing w:line="360" w:lineRule="auto"/>
        <w:jc w:val="both"/>
        <w:rPr>
          <w:rFonts w:asciiTheme="majorBidi" w:hAnsiTheme="majorBidi" w:cstheme="majorBidi"/>
          <w:sz w:val="24"/>
          <w:szCs w:val="24"/>
        </w:rPr>
      </w:pPr>
    </w:p>
    <w:p w14:paraId="3D5236E6" w14:textId="77777777" w:rsidR="00C4269D" w:rsidRDefault="00C4269D" w:rsidP="00C4269D">
      <w:bookmarkStart w:id="0" w:name="_Hlk193972130"/>
    </w:p>
    <w:bookmarkEnd w:id="0"/>
    <w:p w14:paraId="1610FB89" w14:textId="77777777" w:rsidR="00C4269D" w:rsidRDefault="00C4269D" w:rsidP="00C4269D">
      <w:pPr>
        <w:pStyle w:val="BodyText"/>
        <w:spacing w:before="120" w:after="120" w:line="360" w:lineRule="auto"/>
        <w:rPr>
          <w:rFonts w:asciiTheme="majorBidi" w:hAnsiTheme="majorBidi" w:cstheme="majorBidi"/>
          <w:sz w:val="24"/>
          <w:szCs w:val="24"/>
        </w:rPr>
      </w:pPr>
    </w:p>
    <w:p w14:paraId="248E726A" w14:textId="77777777" w:rsidR="00C4269D" w:rsidRPr="00442B1F" w:rsidRDefault="00C4269D" w:rsidP="00C4269D">
      <w:pPr>
        <w:spacing w:line="360" w:lineRule="auto"/>
        <w:rPr>
          <w:rFonts w:asciiTheme="majorBidi" w:hAnsiTheme="majorBidi" w:cstheme="majorBidi"/>
        </w:rPr>
      </w:pPr>
    </w:p>
    <w:p w14:paraId="69ED9AFF" w14:textId="77777777" w:rsidR="00865217" w:rsidRDefault="00865217"/>
    <w:sectPr w:rsidR="00865217" w:rsidSect="00C4269D">
      <w:footerReference w:type="default" r:id="rId4"/>
      <w:pgSz w:w="11906" w:h="16838"/>
      <w:pgMar w:top="1440" w:right="1440" w:bottom="1440" w:left="1440" w:header="706" w:footer="706"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1785593"/>
      <w:docPartObj>
        <w:docPartGallery w:val="Page Numbers (Bottom of Page)"/>
        <w:docPartUnique/>
      </w:docPartObj>
    </w:sdtPr>
    <w:sdtEndPr>
      <w:rPr>
        <w:noProof/>
      </w:rPr>
    </w:sdtEndPr>
    <w:sdtContent>
      <w:p w14:paraId="07C81677" w14:textId="77777777" w:rsidR="00C4269D" w:rsidRDefault="00C4269D">
        <w:pPr>
          <w:pStyle w:val="Footer"/>
          <w:jc w:val="center"/>
        </w:pPr>
        <w:r>
          <w:fldChar w:fldCharType="begin"/>
        </w:r>
        <w:r>
          <w:instrText xml:space="preserve"> PAGE   \* MERGEFORMAT </w:instrText>
        </w:r>
        <w:r>
          <w:fldChar w:fldCharType="separate"/>
        </w:r>
        <w:r>
          <w:rPr>
            <w:noProof/>
          </w:rPr>
          <w:t>25</w:t>
        </w:r>
        <w:r>
          <w:rPr>
            <w:noProof/>
          </w:rPr>
          <w:fldChar w:fldCharType="end"/>
        </w:r>
      </w:p>
    </w:sdtContent>
  </w:sdt>
  <w:p w14:paraId="2212916C" w14:textId="77777777" w:rsidR="00C4269D" w:rsidRDefault="00C4269D">
    <w:pPr>
      <w:pStyle w:val="Footer"/>
    </w:pPr>
  </w:p>
  <w:p w14:paraId="3D61ACEF" w14:textId="77777777" w:rsidR="00C4269D" w:rsidRDefault="00C4269D"/>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69D"/>
    <w:rsid w:val="002E281E"/>
    <w:rsid w:val="003201BB"/>
    <w:rsid w:val="00865217"/>
    <w:rsid w:val="00C4269D"/>
    <w:rsid w:val="00DF1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6A846"/>
  <w15:chartTrackingRefBased/>
  <w15:docId w15:val="{5A432250-9B85-4CAC-B813-9F3E64607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69D"/>
    <w:pPr>
      <w:spacing w:after="200" w:line="276" w:lineRule="auto"/>
    </w:pPr>
    <w:rPr>
      <w:kern w:val="0"/>
      <w:sz w:val="22"/>
      <w:szCs w:val="22"/>
      <w:lang w:val="en-IN"/>
      <w14:ligatures w14:val="none"/>
    </w:rPr>
  </w:style>
  <w:style w:type="paragraph" w:styleId="Heading1">
    <w:name w:val="heading 1"/>
    <w:basedOn w:val="Normal"/>
    <w:next w:val="Normal"/>
    <w:link w:val="Heading1Char"/>
    <w:uiPriority w:val="9"/>
    <w:qFormat/>
    <w:rsid w:val="00C4269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C4269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C4269D"/>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C4269D"/>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C4269D"/>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C4269D"/>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C4269D"/>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C4269D"/>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C4269D"/>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26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26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26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26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26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26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26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26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269D"/>
    <w:rPr>
      <w:rFonts w:eastAsiaTheme="majorEastAsia" w:cstheme="majorBidi"/>
      <w:color w:val="272727" w:themeColor="text1" w:themeTint="D8"/>
    </w:rPr>
  </w:style>
  <w:style w:type="paragraph" w:styleId="Title">
    <w:name w:val="Title"/>
    <w:basedOn w:val="Normal"/>
    <w:next w:val="Normal"/>
    <w:link w:val="TitleChar"/>
    <w:uiPriority w:val="10"/>
    <w:qFormat/>
    <w:rsid w:val="00C4269D"/>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C426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269D"/>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C426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269D"/>
    <w:pPr>
      <w:spacing w:before="160" w:after="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C4269D"/>
    <w:rPr>
      <w:i/>
      <w:iCs/>
      <w:color w:val="404040" w:themeColor="text1" w:themeTint="BF"/>
    </w:rPr>
  </w:style>
  <w:style w:type="paragraph" w:styleId="ListParagraph">
    <w:name w:val="List Paragraph"/>
    <w:basedOn w:val="Normal"/>
    <w:uiPriority w:val="34"/>
    <w:qFormat/>
    <w:rsid w:val="00C4269D"/>
    <w:pPr>
      <w:spacing w:after="160"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C4269D"/>
    <w:rPr>
      <w:i/>
      <w:iCs/>
      <w:color w:val="0F4761" w:themeColor="accent1" w:themeShade="BF"/>
    </w:rPr>
  </w:style>
  <w:style w:type="paragraph" w:styleId="IntenseQuote">
    <w:name w:val="Intense Quote"/>
    <w:basedOn w:val="Normal"/>
    <w:next w:val="Normal"/>
    <w:link w:val="IntenseQuoteChar"/>
    <w:uiPriority w:val="30"/>
    <w:qFormat/>
    <w:rsid w:val="00C4269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C4269D"/>
    <w:rPr>
      <w:i/>
      <w:iCs/>
      <w:color w:val="0F4761" w:themeColor="accent1" w:themeShade="BF"/>
    </w:rPr>
  </w:style>
  <w:style w:type="character" w:styleId="IntenseReference">
    <w:name w:val="Intense Reference"/>
    <w:basedOn w:val="DefaultParagraphFont"/>
    <w:uiPriority w:val="32"/>
    <w:qFormat/>
    <w:rsid w:val="00C4269D"/>
    <w:rPr>
      <w:b/>
      <w:bCs/>
      <w:smallCaps/>
      <w:color w:val="0F4761" w:themeColor="accent1" w:themeShade="BF"/>
      <w:spacing w:val="5"/>
    </w:rPr>
  </w:style>
  <w:style w:type="paragraph" w:styleId="NormalWeb">
    <w:name w:val="Normal (Web)"/>
    <w:basedOn w:val="Normal"/>
    <w:link w:val="NormalWebChar"/>
    <w:uiPriority w:val="99"/>
    <w:unhideWhenUsed/>
    <w:rsid w:val="00C4269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C4269D"/>
    <w:rPr>
      <w:i/>
      <w:iCs/>
    </w:rPr>
  </w:style>
  <w:style w:type="paragraph" w:styleId="BodyText">
    <w:name w:val="Body Text"/>
    <w:basedOn w:val="Normal"/>
    <w:link w:val="BodyTextChar"/>
    <w:uiPriority w:val="1"/>
    <w:qFormat/>
    <w:rsid w:val="00C4269D"/>
    <w:pPr>
      <w:widowControl w:val="0"/>
      <w:autoSpaceDE w:val="0"/>
      <w:autoSpaceDN w:val="0"/>
      <w:spacing w:after="0" w:line="240" w:lineRule="auto"/>
      <w:jc w:val="both"/>
    </w:pPr>
    <w:rPr>
      <w:rFonts w:ascii="Times New Roman" w:eastAsia="Times New Roman" w:hAnsi="Times New Roman" w:cs="Times New Roman"/>
      <w:lang w:val="en-US"/>
    </w:rPr>
  </w:style>
  <w:style w:type="character" w:customStyle="1" w:styleId="BodyTextChar">
    <w:name w:val="Body Text Char"/>
    <w:basedOn w:val="DefaultParagraphFont"/>
    <w:link w:val="BodyText"/>
    <w:uiPriority w:val="1"/>
    <w:qFormat/>
    <w:rsid w:val="00C4269D"/>
    <w:rPr>
      <w:rFonts w:ascii="Times New Roman" w:eastAsia="Times New Roman" w:hAnsi="Times New Roman" w:cs="Times New Roman"/>
      <w:kern w:val="0"/>
      <w:sz w:val="22"/>
      <w:szCs w:val="22"/>
      <w14:ligatures w14:val="none"/>
    </w:rPr>
  </w:style>
  <w:style w:type="character" w:customStyle="1" w:styleId="NormalWebChar">
    <w:name w:val="Normal (Web) Char"/>
    <w:basedOn w:val="DefaultParagraphFont"/>
    <w:link w:val="NormalWeb"/>
    <w:uiPriority w:val="99"/>
    <w:rsid w:val="00C4269D"/>
    <w:rPr>
      <w:rFonts w:ascii="Times New Roman" w:eastAsia="Times New Roman" w:hAnsi="Times New Roman" w:cs="Times New Roman"/>
      <w:kern w:val="0"/>
      <w:lang w:val="en-IN" w:eastAsia="en-IN"/>
      <w14:ligatures w14:val="none"/>
    </w:rPr>
  </w:style>
  <w:style w:type="paragraph" w:styleId="Footer">
    <w:name w:val="footer"/>
    <w:basedOn w:val="Normal"/>
    <w:link w:val="FooterChar"/>
    <w:uiPriority w:val="99"/>
    <w:unhideWhenUsed/>
    <w:rsid w:val="00C426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69D"/>
    <w:rPr>
      <w:kern w:val="0"/>
      <w:sz w:val="22"/>
      <w:szCs w:val="22"/>
      <w:lang w:val="en-IN"/>
      <w14:ligatures w14:val="none"/>
    </w:rPr>
  </w:style>
  <w:style w:type="character" w:styleId="LineNumber">
    <w:name w:val="line number"/>
    <w:basedOn w:val="DefaultParagraphFont"/>
    <w:uiPriority w:val="99"/>
    <w:semiHidden/>
    <w:unhideWhenUsed/>
    <w:rsid w:val="00C426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2445</Characters>
  <Application>Microsoft Office Word</Application>
  <DocSecurity>0</DocSecurity>
  <Lines>43</Lines>
  <Paragraphs>13</Paragraphs>
  <ScaleCrop>false</ScaleCrop>
  <Company>Springer Nature</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2025-10-08T16:05:00Z</dcterms:created>
  <dcterms:modified xsi:type="dcterms:W3CDTF">2025-10-08T16:05:00Z</dcterms:modified>
</cp:coreProperties>
</file>