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BC715">
      <w:pPr>
        <w:rPr>
          <w:rFonts w:hint="eastAsia" w:eastAsiaTheme="minorEastAsia"/>
          <w:lang w:eastAsia="zh-CN"/>
        </w:rPr>
      </w:pPr>
      <w:r>
        <w:rPr>
          <w:rFonts w:hint="eastAsia" w:eastAsiaTheme="minorEastAsia"/>
          <w:lang w:eastAsia="zh-CN"/>
        </w:rPr>
        <w:drawing>
          <wp:inline distT="0" distB="0" distL="114300" distR="114300">
            <wp:extent cx="5273040" cy="4215765"/>
            <wp:effectExtent l="0" t="0" r="3810" b="3810"/>
            <wp:docPr id="9" name="图片 9" descr="Fig.S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S1_new"/>
                    <pic:cNvPicPr>
                      <a:picLocks noChangeAspect="1"/>
                    </pic:cNvPicPr>
                  </pic:nvPicPr>
                  <pic:blipFill>
                    <a:blip r:embed="rId4"/>
                    <a:stretch>
                      <a:fillRect/>
                    </a:stretch>
                  </pic:blipFill>
                  <pic:spPr>
                    <a:xfrm>
                      <a:off x="0" y="0"/>
                      <a:ext cx="5273040" cy="4215765"/>
                    </a:xfrm>
                    <a:prstGeom prst="rect">
                      <a:avLst/>
                    </a:prstGeom>
                  </pic:spPr>
                </pic:pic>
              </a:graphicData>
            </a:graphic>
          </wp:inline>
        </w:drawing>
      </w:r>
    </w:p>
    <w:p w14:paraId="180151AA"/>
    <w:p w14:paraId="05A6AE51">
      <w:pPr>
        <w:rPr>
          <w:rFonts w:hint="eastAsia" w:ascii="Arial" w:hAnsi="Arial" w:eastAsia="宋体" w:cs="Arial"/>
          <w:color w:val="030303"/>
          <w:sz w:val="18"/>
          <w:szCs w:val="18"/>
          <w:lang w:val="en-US" w:eastAsia="zh-CN"/>
        </w:rPr>
      </w:pPr>
      <w:r>
        <w:rPr>
          <w:rFonts w:ascii="Arial" w:hAnsi="Arial" w:eastAsia="宋体" w:cs="Arial"/>
          <w:b/>
          <w:bCs/>
          <w:color w:val="030303"/>
          <w:sz w:val="18"/>
          <w:szCs w:val="18"/>
        </w:rPr>
        <w:t xml:space="preserve">Supplementary Fig. 1. Identification of cowpea core germplasm and analysis of genetic linkage groups. </w:t>
      </w:r>
      <w:r>
        <w:rPr>
          <w:rFonts w:ascii="Arial" w:hAnsi="Arial" w:eastAsia="宋体" w:cs="Arial"/>
          <w:color w:val="030303"/>
          <w:sz w:val="18"/>
          <w:szCs w:val="18"/>
        </w:rPr>
        <w:t>From outer to inner circles: results of population structure analysis at K = 2 and K = 9, and the phylogenetic tree of 9,60</w:t>
      </w:r>
      <w:r>
        <w:rPr>
          <w:rFonts w:hint="eastAsia" w:ascii="Arial" w:hAnsi="Arial" w:eastAsia="宋体" w:cs="Arial"/>
          <w:color w:val="030303"/>
          <w:sz w:val="18"/>
          <w:szCs w:val="18"/>
        </w:rPr>
        <w:t>9</w:t>
      </w:r>
      <w:r>
        <w:rPr>
          <w:rFonts w:ascii="Arial" w:hAnsi="Arial" w:eastAsia="宋体" w:cs="Arial"/>
          <w:color w:val="030303"/>
          <w:sz w:val="18"/>
          <w:szCs w:val="18"/>
        </w:rPr>
        <w:t xml:space="preserve"> cowpea accessions. Black dots indicate the 20 representative lines selected for de novo genome sequencing in this study.</w:t>
      </w:r>
      <w:r>
        <w:rPr>
          <w:rFonts w:hint="eastAsia" w:ascii="Arial" w:hAnsi="Arial" w:eastAsia="宋体" w:cs="Arial"/>
          <w:color w:val="030303"/>
          <w:sz w:val="18"/>
          <w:szCs w:val="18"/>
          <w:lang w:val="en-US" w:eastAsia="zh-CN"/>
        </w:rPr>
        <w:t xml:space="preserve"> Orange</w:t>
      </w:r>
      <w:r>
        <w:rPr>
          <w:rFonts w:ascii="Arial" w:hAnsi="Arial" w:eastAsia="宋体" w:cs="Arial"/>
          <w:color w:val="030303"/>
          <w:sz w:val="18"/>
          <w:szCs w:val="18"/>
        </w:rPr>
        <w:t xml:space="preserve"> dots indicate the</w:t>
      </w:r>
      <w:r>
        <w:rPr>
          <w:rFonts w:hint="eastAsia" w:ascii="Arial" w:hAnsi="Arial" w:eastAsia="宋体" w:cs="Arial"/>
          <w:color w:val="030303"/>
          <w:sz w:val="18"/>
          <w:szCs w:val="18"/>
          <w:lang w:val="en-US" w:eastAsia="zh-CN"/>
        </w:rPr>
        <w:t xml:space="preserve"> genome sequencing accessions reported in Liang et al.</w:t>
      </w:r>
      <w:r>
        <w:rPr>
          <w:rFonts w:hint="eastAsia" w:ascii="Arial" w:hAnsi="Arial" w:eastAsia="宋体" w:cs="Arial"/>
          <w:color w:val="030303"/>
          <w:sz w:val="18"/>
          <w:szCs w:val="18"/>
          <w:vertAlign w:val="superscript"/>
          <w:lang w:val="en-US" w:eastAsia="zh-CN"/>
        </w:rPr>
        <w:t>16</w:t>
      </w:r>
      <w:r>
        <w:rPr>
          <w:rFonts w:hint="eastAsia" w:ascii="Arial" w:hAnsi="Arial" w:eastAsia="宋体" w:cs="Arial"/>
          <w:color w:val="030303"/>
          <w:sz w:val="18"/>
          <w:szCs w:val="18"/>
          <w:lang w:val="en-US" w:eastAsia="zh-CN"/>
        </w:rPr>
        <w:t xml:space="preserve">. </w:t>
      </w:r>
      <w:r>
        <w:rPr>
          <w:rFonts w:hint="eastAsia" w:ascii="Arial" w:hAnsi="Arial" w:eastAsia="宋体" w:cs="Arial"/>
          <w:color w:val="030303"/>
          <w:sz w:val="18"/>
          <w:szCs w:val="18"/>
          <w:lang w:val="en-US" w:eastAsia="zh-CN"/>
        </w:rPr>
        <w:br w:type="page"/>
      </w:r>
    </w:p>
    <w:p w14:paraId="55ACDBFF">
      <w:r>
        <w:rPr>
          <w:rFonts w:hint="eastAsia"/>
        </w:rPr>
        <w:drawing>
          <wp:inline distT="0" distB="0" distL="114300" distR="114300">
            <wp:extent cx="5273675" cy="5176520"/>
            <wp:effectExtent l="0" t="0" r="3175" b="5080"/>
            <wp:docPr id="2" name="图片 2" descr="Fig.S2_samples_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_samples_photos"/>
                    <pic:cNvPicPr>
                      <a:picLocks noChangeAspect="1"/>
                    </pic:cNvPicPr>
                  </pic:nvPicPr>
                  <pic:blipFill>
                    <a:blip r:embed="rId5"/>
                    <a:stretch>
                      <a:fillRect/>
                    </a:stretch>
                  </pic:blipFill>
                  <pic:spPr>
                    <a:xfrm>
                      <a:off x="0" y="0"/>
                      <a:ext cx="5273675" cy="5176520"/>
                    </a:xfrm>
                    <a:prstGeom prst="rect">
                      <a:avLst/>
                    </a:prstGeom>
                  </pic:spPr>
                </pic:pic>
              </a:graphicData>
            </a:graphic>
          </wp:inline>
        </w:drawing>
      </w:r>
    </w:p>
    <w:p w14:paraId="7B9AAE7B">
      <w:pPr>
        <w:rPr>
          <w:rFonts w:ascii="Arial" w:hAnsi="Arial" w:eastAsia="宋体" w:cs="Arial"/>
          <w:b/>
          <w:bCs/>
          <w:color w:val="030303"/>
          <w:sz w:val="18"/>
          <w:szCs w:val="18"/>
        </w:rPr>
      </w:pPr>
      <w:r>
        <w:rPr>
          <w:rFonts w:ascii="Arial" w:hAnsi="Arial" w:eastAsia="宋体" w:cs="Arial"/>
          <w:b/>
          <w:bCs/>
          <w:color w:val="030303"/>
          <w:sz w:val="18"/>
          <w:szCs w:val="18"/>
        </w:rPr>
        <w:t>Supplementary Fig. 2. Photographs of phenotypic traits of mature pods and seeds from 20 cowpea accessions selected for genome sequencing, grown under field conditions.</w:t>
      </w:r>
    </w:p>
    <w:p w14:paraId="4EA9D79C">
      <w:pPr>
        <w:rPr>
          <w:rFonts w:ascii="Arial" w:hAnsi="Arial" w:eastAsia="宋体" w:cs="Arial"/>
          <w:b/>
          <w:bCs/>
          <w:color w:val="030303"/>
          <w:sz w:val="18"/>
          <w:szCs w:val="18"/>
        </w:rPr>
      </w:pPr>
      <w:r>
        <w:rPr>
          <w:rFonts w:ascii="Arial" w:hAnsi="Arial" w:eastAsia="宋体" w:cs="Arial"/>
          <w:b/>
          <w:bCs/>
          <w:color w:val="030303"/>
          <w:sz w:val="18"/>
          <w:szCs w:val="18"/>
        </w:rPr>
        <w:br w:type="page"/>
      </w:r>
    </w:p>
    <w:p w14:paraId="6516EEA5">
      <w:pPr>
        <w:rPr>
          <w:rFonts w:ascii="Arial" w:hAnsi="Arial" w:eastAsia="宋体" w:cs="Arial"/>
          <w:b/>
          <w:bCs/>
          <w:color w:val="030303"/>
          <w:sz w:val="18"/>
          <w:szCs w:val="18"/>
        </w:rPr>
      </w:pPr>
      <w:r>
        <w:rPr>
          <w:rFonts w:hint="eastAsia" w:ascii="Arial" w:hAnsi="Arial" w:eastAsia="宋体" w:cs="Arial"/>
          <w:b/>
          <w:bCs/>
          <w:color w:val="030303"/>
          <w:sz w:val="18"/>
          <w:szCs w:val="18"/>
        </w:rPr>
        <w:t xml:space="preserve">        </w:t>
      </w:r>
      <w:r>
        <w:rPr>
          <w:rFonts w:hint="eastAsia" w:ascii="Arial" w:hAnsi="Arial" w:eastAsia="宋体" w:cs="Arial"/>
          <w:b/>
          <w:bCs/>
          <w:color w:val="030303"/>
          <w:sz w:val="18"/>
          <w:szCs w:val="18"/>
        </w:rPr>
        <w:drawing>
          <wp:inline distT="0" distB="0" distL="114300" distR="114300">
            <wp:extent cx="3590290" cy="2346960"/>
            <wp:effectExtent l="0" t="0" r="635" b="5715"/>
            <wp:docPr id="3" name="图片 3"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3"/>
                    <pic:cNvPicPr>
                      <a:picLocks noChangeAspect="1"/>
                    </pic:cNvPicPr>
                  </pic:nvPicPr>
                  <pic:blipFill>
                    <a:blip r:embed="rId6"/>
                    <a:stretch>
                      <a:fillRect/>
                    </a:stretch>
                  </pic:blipFill>
                  <pic:spPr>
                    <a:xfrm>
                      <a:off x="0" y="0"/>
                      <a:ext cx="3590290" cy="2346960"/>
                    </a:xfrm>
                    <a:prstGeom prst="rect">
                      <a:avLst/>
                    </a:prstGeom>
                  </pic:spPr>
                </pic:pic>
              </a:graphicData>
            </a:graphic>
          </wp:inline>
        </w:drawing>
      </w:r>
    </w:p>
    <w:p w14:paraId="3BCE2D72">
      <w:pPr>
        <w:rPr>
          <w:rFonts w:ascii="Arial" w:hAnsi="Arial" w:eastAsia="宋体" w:cs="Arial"/>
          <w:b/>
          <w:bCs/>
          <w:color w:val="030303"/>
          <w:sz w:val="18"/>
          <w:szCs w:val="18"/>
        </w:rPr>
      </w:pPr>
    </w:p>
    <w:p w14:paraId="57EE546C">
      <w:pPr>
        <w:pStyle w:val="3"/>
        <w:widowControl/>
        <w:spacing w:before="240" w:beforeAutospacing="0" w:after="240" w:afterAutospacing="0" w:line="10" w:lineRule="atLeast"/>
        <w:rPr>
          <w:rFonts w:ascii="Arial" w:hAnsi="Arial" w:cs="Arial"/>
          <w:color w:val="030303"/>
          <w:sz w:val="18"/>
          <w:szCs w:val="18"/>
        </w:rPr>
      </w:pPr>
      <w:r>
        <w:rPr>
          <w:rFonts w:ascii="Arial" w:hAnsi="Arial" w:cs="Arial"/>
          <w:b/>
          <w:bCs/>
          <w:color w:val="030303"/>
          <w:sz w:val="18"/>
          <w:szCs w:val="18"/>
        </w:rPr>
        <w:t xml:space="preserve">Supplementary Fig. 3. Length of TEs in each cowpea genome. </w:t>
      </w:r>
      <w:r>
        <w:rPr>
          <w:rFonts w:ascii="Arial" w:hAnsi="Arial" w:cs="Arial"/>
          <w:color w:val="030303"/>
          <w:sz w:val="18"/>
          <w:szCs w:val="18"/>
        </w:rPr>
        <w:t>Different colors represent distinct TE types.</w:t>
      </w:r>
      <w:r>
        <w:rPr>
          <w:rFonts w:ascii="Arial" w:hAnsi="Arial" w:cs="Arial"/>
          <w:color w:val="030303"/>
          <w:sz w:val="18"/>
          <w:szCs w:val="18"/>
        </w:rPr>
        <w:br w:type="page"/>
      </w:r>
    </w:p>
    <w:p w14:paraId="3B7E7E0A">
      <w:pPr>
        <w:rPr>
          <w:rFonts w:ascii="Arial" w:hAnsi="Arial" w:eastAsia="宋体" w:cs="Arial"/>
          <w:b/>
          <w:bCs/>
          <w:color w:val="030303"/>
          <w:sz w:val="18"/>
          <w:szCs w:val="18"/>
        </w:rPr>
      </w:pPr>
      <w:r>
        <w:rPr>
          <w:rFonts w:hint="eastAsia" w:ascii="Arial" w:hAnsi="Arial" w:eastAsia="宋体" w:cs="Arial"/>
          <w:b/>
          <w:bCs/>
          <w:color w:val="030303"/>
          <w:sz w:val="18"/>
          <w:szCs w:val="18"/>
        </w:rPr>
        <w:drawing>
          <wp:inline distT="0" distB="0" distL="114300" distR="114300">
            <wp:extent cx="5273040" cy="2597785"/>
            <wp:effectExtent l="0" t="0" r="3810" b="2540"/>
            <wp:docPr id="4" name="图片 4"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4"/>
                    <pic:cNvPicPr>
                      <a:picLocks noChangeAspect="1"/>
                    </pic:cNvPicPr>
                  </pic:nvPicPr>
                  <pic:blipFill>
                    <a:blip r:embed="rId7"/>
                    <a:stretch>
                      <a:fillRect/>
                    </a:stretch>
                  </pic:blipFill>
                  <pic:spPr>
                    <a:xfrm>
                      <a:off x="0" y="0"/>
                      <a:ext cx="5273040" cy="2597785"/>
                    </a:xfrm>
                    <a:prstGeom prst="rect">
                      <a:avLst/>
                    </a:prstGeom>
                  </pic:spPr>
                </pic:pic>
              </a:graphicData>
            </a:graphic>
          </wp:inline>
        </w:drawing>
      </w:r>
    </w:p>
    <w:p w14:paraId="7EB60924">
      <w:pPr>
        <w:rPr>
          <w:rFonts w:ascii="Arial" w:hAnsi="Arial" w:eastAsia="宋体" w:cs="Arial"/>
          <w:b/>
          <w:bCs/>
          <w:color w:val="030303"/>
          <w:sz w:val="18"/>
          <w:szCs w:val="18"/>
        </w:rPr>
      </w:pPr>
    </w:p>
    <w:p w14:paraId="1A702102">
      <w:pPr>
        <w:rPr>
          <w:rFonts w:ascii="Arial" w:hAnsi="Arial" w:eastAsia="宋体" w:cs="Arial"/>
          <w:color w:val="030303"/>
          <w:sz w:val="18"/>
          <w:szCs w:val="18"/>
        </w:rPr>
      </w:pPr>
      <w:r>
        <w:rPr>
          <w:rFonts w:ascii="Arial" w:hAnsi="Arial" w:eastAsia="宋体" w:cs="Arial"/>
          <w:b/>
          <w:bCs/>
          <w:color w:val="030303"/>
          <w:sz w:val="18"/>
          <w:szCs w:val="18"/>
        </w:rPr>
        <w:t xml:space="preserve">Supplementary Fig. 4. Correlation analysis of genome size with TE content and contig N50. a, </w:t>
      </w:r>
      <w:r>
        <w:rPr>
          <w:rFonts w:ascii="Arial" w:hAnsi="Arial" w:eastAsia="宋体" w:cs="Arial"/>
          <w:color w:val="030303"/>
          <w:sz w:val="18"/>
          <w:szCs w:val="18"/>
        </w:rPr>
        <w:t xml:space="preserve">Correlation between genome size and TE content across 20 cowpea genomes, with each point representing a genome. </w:t>
      </w:r>
      <w:r>
        <w:rPr>
          <w:rFonts w:ascii="Arial" w:hAnsi="Arial" w:eastAsia="宋体" w:cs="Arial"/>
          <w:b/>
          <w:bCs/>
          <w:color w:val="030303"/>
          <w:sz w:val="18"/>
          <w:szCs w:val="18"/>
        </w:rPr>
        <w:t xml:space="preserve">b, </w:t>
      </w:r>
      <w:r>
        <w:rPr>
          <w:rFonts w:ascii="Arial" w:hAnsi="Arial" w:eastAsia="宋体" w:cs="Arial"/>
          <w:color w:val="030303"/>
          <w:sz w:val="18"/>
          <w:szCs w:val="18"/>
        </w:rPr>
        <w:t>Correlation between genome size and contig N50 across 20 cowpea genomes, with each point representing a genome. Blue lines represent fitted linear regression curves, with grey shaded areas indicating the 95% confidence interval.</w:t>
      </w:r>
      <w:r>
        <w:rPr>
          <w:rFonts w:ascii="Arial" w:hAnsi="Arial" w:eastAsia="宋体" w:cs="Arial"/>
          <w:color w:val="030303"/>
          <w:sz w:val="18"/>
          <w:szCs w:val="18"/>
        </w:rPr>
        <w:br w:type="page"/>
      </w:r>
    </w:p>
    <w:p w14:paraId="70FAB38C">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67960" cy="3907790"/>
            <wp:effectExtent l="0" t="0" r="8890" b="6985"/>
            <wp:docPr id="5" name="图片 5" descr="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5"/>
                    <pic:cNvPicPr>
                      <a:picLocks noChangeAspect="1"/>
                    </pic:cNvPicPr>
                  </pic:nvPicPr>
                  <pic:blipFill>
                    <a:blip r:embed="rId8"/>
                    <a:stretch>
                      <a:fillRect/>
                    </a:stretch>
                  </pic:blipFill>
                  <pic:spPr>
                    <a:xfrm>
                      <a:off x="0" y="0"/>
                      <a:ext cx="5267960" cy="3907790"/>
                    </a:xfrm>
                    <a:prstGeom prst="rect">
                      <a:avLst/>
                    </a:prstGeom>
                  </pic:spPr>
                </pic:pic>
              </a:graphicData>
            </a:graphic>
          </wp:inline>
        </w:drawing>
      </w:r>
    </w:p>
    <w:p w14:paraId="5CC702E2">
      <w:pPr>
        <w:pStyle w:val="3"/>
        <w:widowControl/>
        <w:spacing w:before="240" w:beforeAutospacing="0" w:after="240" w:afterAutospacing="0" w:line="10" w:lineRule="atLeast"/>
      </w:pPr>
      <w:r>
        <w:rPr>
          <w:rFonts w:ascii="Arial" w:hAnsi="Arial" w:cs="Arial"/>
          <w:b/>
          <w:bCs/>
          <w:color w:val="030303"/>
          <w:sz w:val="18"/>
          <w:szCs w:val="18"/>
        </w:rPr>
        <w:t>Supplementary Fig. 5. Gene family presence-absence variations (PAVs) across 26 cowpea accessions.</w:t>
      </w:r>
    </w:p>
    <w:p w14:paraId="3E6A77F7">
      <w:pPr>
        <w:rPr>
          <w:rFonts w:ascii="Arial" w:hAnsi="Arial" w:eastAsia="宋体" w:cs="Arial"/>
          <w:color w:val="030303"/>
          <w:sz w:val="18"/>
          <w:szCs w:val="18"/>
        </w:rPr>
      </w:pPr>
      <w:r>
        <w:rPr>
          <w:rFonts w:hint="eastAsia" w:ascii="Arial" w:hAnsi="Arial" w:eastAsia="宋体" w:cs="Arial"/>
          <w:color w:val="030303"/>
          <w:sz w:val="18"/>
          <w:szCs w:val="18"/>
        </w:rPr>
        <w:t xml:space="preserve">                  </w:t>
      </w:r>
      <w:r>
        <w:rPr>
          <w:rFonts w:hint="eastAsia" w:ascii="Arial" w:hAnsi="Arial" w:eastAsia="宋体" w:cs="Arial"/>
          <w:color w:val="030303"/>
          <w:sz w:val="18"/>
          <w:szCs w:val="18"/>
        </w:rPr>
        <w:drawing>
          <wp:inline distT="0" distB="0" distL="114300" distR="114300">
            <wp:extent cx="3140075" cy="4324350"/>
            <wp:effectExtent l="0" t="0" r="3175" b="0"/>
            <wp:docPr id="19" name="图片 19" descr="Fig.S异染色质区SV富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S异染色质区SV富集"/>
                    <pic:cNvPicPr>
                      <a:picLocks noChangeAspect="1"/>
                    </pic:cNvPicPr>
                  </pic:nvPicPr>
                  <pic:blipFill>
                    <a:blip r:embed="rId9"/>
                    <a:stretch>
                      <a:fillRect/>
                    </a:stretch>
                  </pic:blipFill>
                  <pic:spPr>
                    <a:xfrm>
                      <a:off x="0" y="0"/>
                      <a:ext cx="3140075" cy="4324350"/>
                    </a:xfrm>
                    <a:prstGeom prst="rect">
                      <a:avLst/>
                    </a:prstGeom>
                  </pic:spPr>
                </pic:pic>
              </a:graphicData>
            </a:graphic>
          </wp:inline>
        </w:drawing>
      </w:r>
    </w:p>
    <w:p w14:paraId="1589144D">
      <w:pPr>
        <w:rPr>
          <w:rFonts w:ascii="Arial" w:hAnsi="Arial" w:eastAsia="宋体" w:cs="Arial"/>
          <w:color w:val="030303"/>
          <w:sz w:val="18"/>
          <w:szCs w:val="18"/>
        </w:rPr>
      </w:pPr>
    </w:p>
    <w:p w14:paraId="1E0449AF">
      <w:pPr>
        <w:rPr>
          <w:rFonts w:ascii="Arial" w:hAnsi="Arial" w:cs="Arial"/>
          <w:color w:val="000000"/>
          <w:sz w:val="18"/>
          <w:szCs w:val="18"/>
        </w:rPr>
      </w:pPr>
      <w:r>
        <w:rPr>
          <w:rFonts w:ascii="Arial" w:hAnsi="Arial" w:cs="Arial"/>
          <w:b/>
          <w:bCs/>
          <w:color w:val="030303"/>
          <w:sz w:val="18"/>
          <w:szCs w:val="18"/>
        </w:rPr>
        <w:t xml:space="preserve">Supplementary Fig. </w:t>
      </w:r>
      <w:r>
        <w:rPr>
          <w:rFonts w:hint="eastAsia" w:ascii="Arial" w:hAnsi="Arial" w:cs="Arial"/>
          <w:b/>
          <w:bCs/>
          <w:color w:val="030303"/>
          <w:sz w:val="18"/>
          <w:szCs w:val="18"/>
        </w:rPr>
        <w:t>6</w:t>
      </w:r>
      <w:r>
        <w:rPr>
          <w:rFonts w:ascii="Arial" w:hAnsi="Arial" w:cs="Arial"/>
          <w:b/>
          <w:bCs/>
          <w:color w:val="030303"/>
          <w:sz w:val="18"/>
          <w:szCs w:val="18"/>
        </w:rPr>
        <w:t>.</w:t>
      </w:r>
      <w:r>
        <w:rPr>
          <w:rFonts w:hint="eastAsia" w:ascii="Arial" w:hAnsi="Arial" w:cs="Arial"/>
          <w:b/>
          <w:bCs/>
          <w:color w:val="030303"/>
          <w:sz w:val="18"/>
          <w:szCs w:val="18"/>
        </w:rPr>
        <w:t xml:space="preserve"> </w:t>
      </w:r>
      <w:r>
        <w:rPr>
          <w:rFonts w:ascii="Arial" w:hAnsi="Arial" w:eastAsia="宋体" w:cs="Arial"/>
          <w:b/>
          <w:bCs/>
          <w:sz w:val="18"/>
          <w:szCs w:val="18"/>
        </w:rPr>
        <w:t xml:space="preserve">Comparison of SV counts between heterochromatic and non-heterochromatic regions. </w:t>
      </w:r>
      <w:r>
        <w:rPr>
          <w:rFonts w:ascii="Arial" w:hAnsi="Arial" w:eastAsia="宋体" w:cs="Arial"/>
          <w:sz w:val="18"/>
          <w:szCs w:val="18"/>
        </w:rPr>
        <w:t>Centromeric and telomeric regions are defined as heterochromatic regions, while the remaining genomic regions are defined as non-heterochromatic regions</w:t>
      </w:r>
      <w:r>
        <w:rPr>
          <w:rFonts w:hint="eastAsia" w:ascii="Arial" w:hAnsi="Arial" w:eastAsia="宋体" w:cs="Arial"/>
          <w:sz w:val="18"/>
          <w:szCs w:val="18"/>
        </w:rPr>
        <w:t xml:space="preserve">. </w:t>
      </w:r>
      <w:r>
        <w:rPr>
          <w:rFonts w:ascii="Arial" w:hAnsi="Arial" w:cs="Arial"/>
          <w:color w:val="030303"/>
          <w:sz w:val="18"/>
          <w:szCs w:val="18"/>
        </w:rPr>
        <w:t xml:space="preserve">The box plots showing the median, 25th to 75th percentiles, and whiskers extending to 1.5× the interquartile range. </w:t>
      </w:r>
      <w:r>
        <w:rPr>
          <w:rFonts w:ascii="Arial" w:hAnsi="Arial" w:cs="Arial"/>
          <w:color w:val="000000"/>
          <w:sz w:val="18"/>
          <w:szCs w:val="18"/>
        </w:rPr>
        <w:t>Significance was determined by two-sided Wilcoxon tests.</w:t>
      </w:r>
      <w:r>
        <w:rPr>
          <w:rFonts w:ascii="Arial" w:hAnsi="Arial" w:cs="Arial"/>
          <w:color w:val="000000"/>
          <w:sz w:val="18"/>
          <w:szCs w:val="18"/>
        </w:rPr>
        <w:br w:type="page"/>
      </w:r>
    </w:p>
    <w:p w14:paraId="436E437E">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0500" cy="2385695"/>
            <wp:effectExtent l="0" t="0" r="6350" b="5080"/>
            <wp:docPr id="6" name="图片 6"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6"/>
                    <pic:cNvPicPr>
                      <a:picLocks noChangeAspect="1"/>
                    </pic:cNvPicPr>
                  </pic:nvPicPr>
                  <pic:blipFill>
                    <a:blip r:embed="rId10"/>
                    <a:stretch>
                      <a:fillRect/>
                    </a:stretch>
                  </pic:blipFill>
                  <pic:spPr>
                    <a:xfrm>
                      <a:off x="0" y="0"/>
                      <a:ext cx="5270500" cy="2385695"/>
                    </a:xfrm>
                    <a:prstGeom prst="rect">
                      <a:avLst/>
                    </a:prstGeom>
                  </pic:spPr>
                </pic:pic>
              </a:graphicData>
            </a:graphic>
          </wp:inline>
        </w:drawing>
      </w:r>
    </w:p>
    <w:p w14:paraId="78200F16">
      <w:pPr>
        <w:rPr>
          <w:rFonts w:ascii="Arial" w:hAnsi="Arial" w:eastAsia="宋体" w:cs="Arial"/>
          <w:color w:val="030303"/>
          <w:sz w:val="18"/>
          <w:szCs w:val="18"/>
        </w:rPr>
      </w:pPr>
    </w:p>
    <w:p w14:paraId="7364F500">
      <w:pPr>
        <w:rPr>
          <w:rFonts w:ascii="Arial" w:hAnsi="Arial" w:eastAsia="宋体" w:cs="Arial"/>
          <w:color w:val="030303"/>
          <w:sz w:val="18"/>
          <w:szCs w:val="18"/>
        </w:rPr>
      </w:pPr>
      <w:r>
        <w:rPr>
          <w:rFonts w:ascii="Arial" w:hAnsi="Arial" w:eastAsia="宋体" w:cs="Arial"/>
          <w:b/>
          <w:bCs/>
          <w:color w:val="030303"/>
          <w:sz w:val="18"/>
          <w:szCs w:val="18"/>
        </w:rPr>
        <w:t xml:space="preserve">Supplementary Fig. </w:t>
      </w:r>
      <w:r>
        <w:rPr>
          <w:rFonts w:hint="eastAsia" w:ascii="Arial" w:hAnsi="Arial" w:eastAsia="宋体" w:cs="Arial"/>
          <w:b/>
          <w:bCs/>
          <w:color w:val="030303"/>
          <w:sz w:val="18"/>
          <w:szCs w:val="18"/>
        </w:rPr>
        <w:t>7</w:t>
      </w:r>
      <w:r>
        <w:rPr>
          <w:rFonts w:ascii="Arial" w:hAnsi="Arial" w:eastAsia="宋体" w:cs="Arial"/>
          <w:b/>
          <w:bCs/>
          <w:color w:val="030303"/>
          <w:sz w:val="18"/>
          <w:szCs w:val="18"/>
        </w:rPr>
        <w:t xml:space="preserve">. Correlation analysis of SV counts and genetic distance from the reference genome in cowpea accessions. a, </w:t>
      </w:r>
      <w:r>
        <w:rPr>
          <w:rFonts w:ascii="Arial" w:hAnsi="Arial" w:eastAsia="宋体" w:cs="Arial"/>
          <w:color w:val="030303"/>
          <w:sz w:val="18"/>
          <w:szCs w:val="18"/>
        </w:rPr>
        <w:t>Bar plot displaying the number of</w:t>
      </w:r>
      <w:r>
        <w:rPr>
          <w:rFonts w:hint="eastAsia" w:ascii="Arial" w:hAnsi="Arial" w:eastAsia="宋体" w:cs="Arial"/>
          <w:color w:val="030303"/>
          <w:sz w:val="18"/>
          <w:szCs w:val="18"/>
        </w:rPr>
        <w:t xml:space="preserve"> </w:t>
      </w:r>
      <w:r>
        <w:rPr>
          <w:rFonts w:ascii="Arial" w:hAnsi="Arial" w:eastAsia="宋体" w:cs="Arial"/>
          <w:color w:val="030303"/>
          <w:sz w:val="18"/>
          <w:szCs w:val="18"/>
        </w:rPr>
        <w:t>SVs</w:t>
      </w:r>
      <w:r>
        <w:rPr>
          <w:rFonts w:hint="eastAsia" w:ascii="Arial" w:hAnsi="Arial" w:eastAsia="宋体" w:cs="Arial"/>
          <w:color w:val="030303"/>
          <w:sz w:val="18"/>
          <w:szCs w:val="18"/>
        </w:rPr>
        <w:t xml:space="preserve"> </w:t>
      </w:r>
      <w:r>
        <w:rPr>
          <w:rFonts w:ascii="Arial" w:hAnsi="Arial" w:eastAsia="宋体" w:cs="Arial"/>
          <w:color w:val="030303"/>
          <w:sz w:val="18"/>
          <w:szCs w:val="18"/>
        </w:rPr>
        <w:t xml:space="preserve">across 20 cowpea accessions, with bar heights representing SV counts. </w:t>
      </w:r>
      <w:r>
        <w:rPr>
          <w:rFonts w:ascii="Arial" w:hAnsi="Arial" w:eastAsia="宋体" w:cs="Arial"/>
          <w:b/>
          <w:bCs/>
          <w:color w:val="030303"/>
          <w:sz w:val="18"/>
          <w:szCs w:val="18"/>
        </w:rPr>
        <w:t xml:space="preserve">b, </w:t>
      </w:r>
      <w:r>
        <w:rPr>
          <w:rFonts w:ascii="Arial" w:hAnsi="Arial" w:eastAsia="宋体" w:cs="Arial"/>
          <w:color w:val="030303"/>
          <w:sz w:val="18"/>
          <w:szCs w:val="18"/>
        </w:rPr>
        <w:t>Scatter plot showing the correlation between genetic distance from the FC6-T2T reference genome and SV counts across 20 cowpea accessions, with each point representing an accession. The blue line represents the fitted linear regression curve, with the grey shaded area indicating the 95% confidence interval.</w:t>
      </w:r>
      <w:r>
        <w:rPr>
          <w:rFonts w:ascii="Arial" w:hAnsi="Arial" w:eastAsia="宋体" w:cs="Arial"/>
          <w:color w:val="030303"/>
          <w:sz w:val="18"/>
          <w:szCs w:val="18"/>
        </w:rPr>
        <w:br w:type="page"/>
      </w:r>
    </w:p>
    <w:p w14:paraId="7723A181">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69230" cy="6496050"/>
            <wp:effectExtent l="0" t="0" r="7620" b="0"/>
            <wp:docPr id="7" name="图片 7" descr="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S7"/>
                    <pic:cNvPicPr>
                      <a:picLocks noChangeAspect="1"/>
                    </pic:cNvPicPr>
                  </pic:nvPicPr>
                  <pic:blipFill>
                    <a:blip r:embed="rId11"/>
                    <a:stretch>
                      <a:fillRect/>
                    </a:stretch>
                  </pic:blipFill>
                  <pic:spPr>
                    <a:xfrm>
                      <a:off x="0" y="0"/>
                      <a:ext cx="5269230" cy="6496050"/>
                    </a:xfrm>
                    <a:prstGeom prst="rect">
                      <a:avLst/>
                    </a:prstGeom>
                  </pic:spPr>
                </pic:pic>
              </a:graphicData>
            </a:graphic>
          </wp:inline>
        </w:drawing>
      </w:r>
    </w:p>
    <w:p w14:paraId="3BF81AD3">
      <w:pPr>
        <w:pStyle w:val="3"/>
        <w:widowControl/>
        <w:spacing w:before="240" w:beforeAutospacing="0" w:after="240" w:afterAutospacing="0" w:line="10" w:lineRule="atLeast"/>
        <w:rPr>
          <w:rFonts w:ascii="Arial" w:hAnsi="Arial" w:eastAsia="宋体" w:cs="Arial"/>
          <w:color w:val="030303"/>
          <w:sz w:val="18"/>
          <w:szCs w:val="18"/>
        </w:rPr>
      </w:pPr>
      <w:r>
        <w:rPr>
          <w:rFonts w:ascii="Arial" w:hAnsi="Arial" w:cs="Arial"/>
          <w:b/>
          <w:bCs/>
          <w:color w:val="030303"/>
          <w:sz w:val="18"/>
          <w:szCs w:val="18"/>
        </w:rPr>
        <w:t xml:space="preserve">Supplementary Fig. </w:t>
      </w:r>
      <w:r>
        <w:rPr>
          <w:rFonts w:hint="eastAsia" w:ascii="Arial" w:hAnsi="Arial" w:cs="Arial"/>
          <w:b/>
          <w:bCs/>
          <w:color w:val="030303"/>
          <w:sz w:val="18"/>
          <w:szCs w:val="18"/>
        </w:rPr>
        <w:t>8</w:t>
      </w:r>
      <w:r>
        <w:rPr>
          <w:rFonts w:ascii="Arial" w:hAnsi="Arial" w:cs="Arial"/>
          <w:b/>
          <w:bCs/>
          <w:color w:val="030303"/>
          <w:sz w:val="18"/>
          <w:szCs w:val="18"/>
        </w:rPr>
        <w:t xml:space="preserve">. </w:t>
      </w:r>
      <w:r>
        <w:rPr>
          <w:rFonts w:hint="eastAsia" w:ascii="Arial" w:hAnsi="Arial" w:cs="Arial"/>
          <w:b/>
          <w:bCs/>
          <w:color w:val="030303"/>
          <w:sz w:val="18"/>
          <w:szCs w:val="18"/>
        </w:rPr>
        <w:t>L</w:t>
      </w:r>
      <w:r>
        <w:rPr>
          <w:rFonts w:ascii="Arial" w:hAnsi="Arial" w:cs="Arial"/>
          <w:b/>
          <w:bCs/>
          <w:color w:val="030303"/>
          <w:sz w:val="18"/>
          <w:szCs w:val="18"/>
        </w:rPr>
        <w:t xml:space="preserve">ength and frequency </w:t>
      </w:r>
      <w:r>
        <w:rPr>
          <w:rFonts w:hint="eastAsia" w:ascii="Arial" w:hAnsi="Arial" w:cs="Arial"/>
          <w:b/>
          <w:bCs/>
          <w:color w:val="030303"/>
          <w:sz w:val="18"/>
          <w:szCs w:val="18"/>
        </w:rPr>
        <w:t xml:space="preserve">of different types of SVs </w:t>
      </w:r>
      <w:r>
        <w:rPr>
          <w:rFonts w:ascii="Arial" w:hAnsi="Arial" w:cs="Arial"/>
          <w:b/>
          <w:bCs/>
          <w:color w:val="030303"/>
          <w:sz w:val="18"/>
          <w:szCs w:val="18"/>
        </w:rPr>
        <w:t xml:space="preserve">in cowpea. a, </w:t>
      </w:r>
      <w:r>
        <w:rPr>
          <w:rFonts w:ascii="Arial" w:hAnsi="Arial" w:eastAsia="宋体" w:cs="Arial"/>
          <w:sz w:val="18"/>
          <w:szCs w:val="18"/>
        </w:rPr>
        <w:t>Comparison of SV lengths by type across cowpea genomes. Box plots show the median, interquartile range (25</w:t>
      </w:r>
      <w:r>
        <w:rPr>
          <w:rFonts w:ascii="Arial" w:hAnsi="Arial" w:eastAsia="宋体" w:cs="Arial"/>
          <w:sz w:val="18"/>
          <w:szCs w:val="18"/>
          <w:vertAlign w:val="superscript"/>
        </w:rPr>
        <w:t>th</w:t>
      </w:r>
      <w:r>
        <w:rPr>
          <w:rFonts w:ascii="Arial" w:hAnsi="Arial" w:eastAsia="宋体" w:cs="Arial"/>
          <w:sz w:val="18"/>
          <w:szCs w:val="18"/>
        </w:rPr>
        <w:t>–75</w:t>
      </w:r>
      <w:r>
        <w:rPr>
          <w:rFonts w:ascii="Arial" w:hAnsi="Arial" w:eastAsia="宋体" w:cs="Arial"/>
          <w:sz w:val="18"/>
          <w:szCs w:val="18"/>
          <w:vertAlign w:val="superscript"/>
        </w:rPr>
        <w:t>th</w:t>
      </w:r>
      <w:r>
        <w:rPr>
          <w:rFonts w:ascii="Arial" w:hAnsi="Arial" w:eastAsia="宋体" w:cs="Arial"/>
          <w:sz w:val="18"/>
          <w:szCs w:val="18"/>
        </w:rPr>
        <w:t xml:space="preserve"> percentiles), and whiskers extending to 1.5× the interquartile range. Statistical significance was assessed using two-sided Wilcoxon tests.</w:t>
      </w:r>
      <w:r>
        <w:rPr>
          <w:rFonts w:hint="eastAsia" w:ascii="Arial" w:hAnsi="Arial" w:eastAsia="宋体" w:cs="Arial"/>
          <w:sz w:val="18"/>
          <w:szCs w:val="18"/>
        </w:rPr>
        <w:t xml:space="preserve"> </w:t>
      </w:r>
      <w:r>
        <w:rPr>
          <w:rFonts w:ascii="Arial" w:hAnsi="Arial" w:cs="Arial"/>
          <w:b/>
          <w:bCs/>
          <w:color w:val="030303"/>
          <w:sz w:val="18"/>
          <w:szCs w:val="18"/>
        </w:rPr>
        <w:t xml:space="preserve">b, </w:t>
      </w:r>
      <w:r>
        <w:rPr>
          <w:rFonts w:ascii="Arial" w:hAnsi="Arial" w:eastAsia="宋体" w:cs="Arial"/>
          <w:sz w:val="18"/>
          <w:szCs w:val="18"/>
        </w:rPr>
        <w:t>Frequency distribution of different types of SVs across pan-genome accessions.</w:t>
      </w:r>
      <w:r>
        <w:rPr>
          <w:rFonts w:ascii="Arial" w:hAnsi="Arial" w:cs="Arial"/>
          <w:color w:val="030303"/>
          <w:sz w:val="18"/>
          <w:szCs w:val="18"/>
        </w:rPr>
        <w:t> </w:t>
      </w:r>
    </w:p>
    <w:p w14:paraId="3829ED57">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1135" cy="6200775"/>
            <wp:effectExtent l="0" t="0" r="5715" b="0"/>
            <wp:docPr id="8" name="图片 8" descr="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8"/>
                    <pic:cNvPicPr>
                      <a:picLocks noChangeAspect="1"/>
                    </pic:cNvPicPr>
                  </pic:nvPicPr>
                  <pic:blipFill>
                    <a:blip r:embed="rId12"/>
                    <a:stretch>
                      <a:fillRect/>
                    </a:stretch>
                  </pic:blipFill>
                  <pic:spPr>
                    <a:xfrm>
                      <a:off x="0" y="0"/>
                      <a:ext cx="5271135" cy="6200775"/>
                    </a:xfrm>
                    <a:prstGeom prst="rect">
                      <a:avLst/>
                    </a:prstGeom>
                  </pic:spPr>
                </pic:pic>
              </a:graphicData>
            </a:graphic>
          </wp:inline>
        </w:drawing>
      </w:r>
    </w:p>
    <w:p w14:paraId="3B82F088">
      <w:pPr>
        <w:rPr>
          <w:rFonts w:ascii="Arial" w:hAnsi="Arial" w:eastAsia="宋体" w:cs="Arial"/>
          <w:color w:val="030303"/>
          <w:sz w:val="18"/>
          <w:szCs w:val="18"/>
        </w:rPr>
      </w:pPr>
      <w:r>
        <w:rPr>
          <w:rFonts w:ascii="Arial" w:hAnsi="Arial" w:eastAsia="宋体" w:cs="Arial"/>
          <w:b/>
          <w:bCs/>
          <w:color w:val="030303"/>
          <w:sz w:val="18"/>
          <w:szCs w:val="18"/>
        </w:rPr>
        <w:t xml:space="preserve">Supplementary Fig. </w:t>
      </w:r>
      <w:r>
        <w:rPr>
          <w:rFonts w:hint="eastAsia" w:ascii="Arial" w:hAnsi="Arial" w:eastAsia="宋体" w:cs="Arial"/>
          <w:b/>
          <w:bCs/>
          <w:color w:val="030303"/>
          <w:sz w:val="18"/>
          <w:szCs w:val="18"/>
        </w:rPr>
        <w:t>9</w:t>
      </w:r>
      <w:r>
        <w:rPr>
          <w:rFonts w:ascii="Arial" w:hAnsi="Arial" w:eastAsia="宋体" w:cs="Arial"/>
          <w:b/>
          <w:bCs/>
          <w:color w:val="030303"/>
          <w:sz w:val="18"/>
          <w:szCs w:val="18"/>
        </w:rPr>
        <w:t>. Dot plot of gen</w:t>
      </w:r>
      <w:r>
        <w:rPr>
          <w:rFonts w:hint="eastAsia" w:ascii="Arial" w:hAnsi="Arial" w:eastAsia="宋体" w:cs="Arial"/>
          <w:b/>
          <w:bCs/>
          <w:color w:val="030303"/>
          <w:sz w:val="18"/>
          <w:szCs w:val="18"/>
        </w:rPr>
        <w:t>e</w:t>
      </w:r>
      <w:r>
        <w:rPr>
          <w:rFonts w:ascii="Arial" w:hAnsi="Arial" w:eastAsia="宋体" w:cs="Arial"/>
          <w:b/>
          <w:bCs/>
          <w:color w:val="030303"/>
          <w:sz w:val="18"/>
          <w:szCs w:val="18"/>
        </w:rPr>
        <w:t xml:space="preserve"> collinearity on chromosome 10 </w:t>
      </w:r>
      <w:r>
        <w:rPr>
          <w:rFonts w:hint="eastAsia" w:ascii="Arial" w:hAnsi="Arial" w:eastAsia="宋体" w:cs="Arial"/>
          <w:b/>
          <w:bCs/>
          <w:color w:val="030303"/>
          <w:sz w:val="18"/>
          <w:szCs w:val="18"/>
        </w:rPr>
        <w:t>between</w:t>
      </w:r>
      <w:r>
        <w:rPr>
          <w:rFonts w:ascii="Arial" w:hAnsi="Arial" w:eastAsia="宋体" w:cs="Arial"/>
          <w:b/>
          <w:bCs/>
          <w:color w:val="030303"/>
          <w:sz w:val="18"/>
          <w:szCs w:val="18"/>
        </w:rPr>
        <w:t xml:space="preserve"> FC6 and 25 cowpea genomes. </w:t>
      </w:r>
      <w:r>
        <w:rPr>
          <w:rFonts w:ascii="Arial" w:hAnsi="Arial" w:eastAsia="宋体" w:cs="Arial"/>
          <w:sz w:val="18"/>
          <w:szCs w:val="18"/>
        </w:rPr>
        <w:t>The x-axis shows positions on FC6-T2T chromosome 10, and the y-axis shows the corresponding positions on chromosome 10 of each accession.</w:t>
      </w:r>
    </w:p>
    <w:p w14:paraId="120F2D83">
      <w:pPr>
        <w:rPr>
          <w:rFonts w:ascii="Arial" w:hAnsi="Arial" w:eastAsia="宋体" w:cs="Arial"/>
          <w:color w:val="030303"/>
          <w:sz w:val="18"/>
          <w:szCs w:val="18"/>
        </w:rPr>
      </w:pPr>
      <w:r>
        <w:rPr>
          <w:rFonts w:hint="eastAsia" w:ascii="Arial" w:hAnsi="Arial" w:eastAsia="宋体" w:cs="Arial"/>
          <w:color w:val="030303"/>
          <w:sz w:val="18"/>
          <w:szCs w:val="18"/>
        </w:rPr>
        <w:t xml:space="preserve">            </w:t>
      </w:r>
      <w:r>
        <w:rPr>
          <w:rFonts w:hint="eastAsia" w:ascii="Arial" w:hAnsi="Arial" w:eastAsia="宋体" w:cs="Arial"/>
          <w:color w:val="030303"/>
          <w:sz w:val="18"/>
          <w:szCs w:val="18"/>
        </w:rPr>
        <w:drawing>
          <wp:inline distT="0" distB="0" distL="114300" distR="114300">
            <wp:extent cx="3752850" cy="3752850"/>
            <wp:effectExtent l="0" t="0" r="0" b="0"/>
            <wp:docPr id="27" name="图片 27" descr="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S9"/>
                    <pic:cNvPicPr>
                      <a:picLocks noChangeAspect="1"/>
                    </pic:cNvPicPr>
                  </pic:nvPicPr>
                  <pic:blipFill>
                    <a:blip r:embed="rId13"/>
                    <a:stretch>
                      <a:fillRect/>
                    </a:stretch>
                  </pic:blipFill>
                  <pic:spPr>
                    <a:xfrm>
                      <a:off x="0" y="0"/>
                      <a:ext cx="3752850" cy="3752850"/>
                    </a:xfrm>
                    <a:prstGeom prst="rect">
                      <a:avLst/>
                    </a:prstGeom>
                  </pic:spPr>
                </pic:pic>
              </a:graphicData>
            </a:graphic>
          </wp:inline>
        </w:drawing>
      </w:r>
    </w:p>
    <w:p w14:paraId="696B08CA">
      <w:pPr>
        <w:pStyle w:val="3"/>
        <w:widowControl/>
        <w:spacing w:before="240" w:beforeAutospacing="0" w:after="240" w:afterAutospacing="0" w:line="10" w:lineRule="atLeast"/>
        <w:rPr>
          <w:rFonts w:hint="eastAsia" w:ascii="Arial" w:hAnsi="Arial" w:eastAsia="宋体" w:cs="Arial"/>
          <w:color w:val="030303"/>
          <w:sz w:val="18"/>
          <w:szCs w:val="18"/>
        </w:rPr>
      </w:pPr>
      <w:r>
        <w:rPr>
          <w:rFonts w:ascii="Arial" w:hAnsi="Arial" w:cs="Arial"/>
          <w:b/>
          <w:bCs/>
          <w:color w:val="030303"/>
          <w:sz w:val="18"/>
          <w:szCs w:val="18"/>
        </w:rPr>
        <w:t xml:space="preserve">Supplementary Fig. </w:t>
      </w:r>
      <w:r>
        <w:rPr>
          <w:rFonts w:hint="eastAsia" w:ascii="Arial" w:hAnsi="Arial" w:cs="Arial"/>
          <w:b/>
          <w:bCs/>
          <w:color w:val="030303"/>
          <w:sz w:val="18"/>
          <w:szCs w:val="18"/>
        </w:rPr>
        <w:t>10</w:t>
      </w:r>
      <w:r>
        <w:rPr>
          <w:rFonts w:ascii="Arial" w:hAnsi="Arial" w:cs="Arial"/>
          <w:b/>
          <w:bCs/>
          <w:color w:val="030303"/>
          <w:sz w:val="18"/>
          <w:szCs w:val="18"/>
        </w:rPr>
        <w:t xml:space="preserve">. Distribution of SVs relative to genes in cowpea genomes. </w:t>
      </w:r>
      <w:r>
        <w:rPr>
          <w:rFonts w:ascii="Arial" w:hAnsi="Arial" w:eastAsia="宋体" w:cs="Arial"/>
          <w:sz w:val="20"/>
          <w:szCs w:val="20"/>
        </w:rPr>
        <w:t>SVs are categorized based on their genomic location: upstream (within 5 kb of the transcription start site), downstream (within 5 kb of the stop codon), genic (within gene bodies), and intergenic regions. Pie chart percentages represent the proportion of SV counts in each category.</w:t>
      </w:r>
      <w:r>
        <w:rPr>
          <w:rFonts w:hint="eastAsia" w:ascii="Arial" w:hAnsi="Arial" w:eastAsia="宋体" w:cs="Arial"/>
          <w:color w:val="030303"/>
          <w:sz w:val="18"/>
          <w:szCs w:val="18"/>
        </w:rPr>
        <w:br w:type="page"/>
      </w:r>
    </w:p>
    <w:p w14:paraId="1CBF3406">
      <w:pPr>
        <w:rPr>
          <w:rFonts w:ascii="Arial" w:hAnsi="Arial" w:eastAsia="宋体" w:cs="Arial"/>
          <w:b/>
          <w:bCs/>
          <w:color w:val="030303"/>
          <w:sz w:val="18"/>
          <w:szCs w:val="18"/>
        </w:rPr>
      </w:pPr>
      <w:r>
        <w:rPr>
          <w:rFonts w:hint="eastAsia" w:ascii="Arial" w:hAnsi="Arial" w:eastAsia="宋体" w:cs="Arial"/>
          <w:color w:val="030303"/>
          <w:sz w:val="18"/>
          <w:szCs w:val="18"/>
        </w:rPr>
        <w:drawing>
          <wp:inline distT="0" distB="0" distL="114300" distR="114300">
            <wp:extent cx="5269865" cy="2466975"/>
            <wp:effectExtent l="0" t="0" r="6985" b="0"/>
            <wp:docPr id="28" name="图片 28" descr="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ig.S10"/>
                    <pic:cNvPicPr>
                      <a:picLocks noChangeAspect="1"/>
                    </pic:cNvPicPr>
                  </pic:nvPicPr>
                  <pic:blipFill>
                    <a:blip r:embed="rId14"/>
                    <a:stretch>
                      <a:fillRect/>
                    </a:stretch>
                  </pic:blipFill>
                  <pic:spPr>
                    <a:xfrm>
                      <a:off x="0" y="0"/>
                      <a:ext cx="5269865" cy="2466975"/>
                    </a:xfrm>
                    <a:prstGeom prst="rect">
                      <a:avLst/>
                    </a:prstGeom>
                  </pic:spPr>
                </pic:pic>
              </a:graphicData>
            </a:graphic>
          </wp:inline>
        </w:drawing>
      </w:r>
    </w:p>
    <w:p w14:paraId="4F71AA8D">
      <w:pPr>
        <w:rPr>
          <w:rFonts w:hint="eastAsia"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1</w:t>
      </w:r>
      <w:r>
        <w:rPr>
          <w:rFonts w:ascii="Arial" w:hAnsi="Arial" w:eastAsia="宋体" w:cs="Arial"/>
          <w:b/>
          <w:bCs/>
          <w:color w:val="030303"/>
          <w:sz w:val="18"/>
          <w:szCs w:val="18"/>
        </w:rPr>
        <w:t xml:space="preserve">. Impact of SVs on gene expression in </w:t>
      </w:r>
      <w:r>
        <w:rPr>
          <w:rFonts w:hint="eastAsia" w:ascii="Arial" w:hAnsi="Arial" w:eastAsia="宋体" w:cs="Arial"/>
          <w:b/>
          <w:bCs/>
          <w:color w:val="030303"/>
          <w:sz w:val="18"/>
          <w:szCs w:val="18"/>
        </w:rPr>
        <w:t xml:space="preserve">leaves of </w:t>
      </w:r>
      <w:r>
        <w:rPr>
          <w:rFonts w:ascii="Arial" w:hAnsi="Arial" w:eastAsia="宋体" w:cs="Arial"/>
          <w:b/>
          <w:bCs/>
          <w:color w:val="030303"/>
          <w:sz w:val="18"/>
          <w:szCs w:val="18"/>
        </w:rPr>
        <w:t>cowpea. a,</w:t>
      </w:r>
      <w:r>
        <w:rPr>
          <w:rFonts w:hint="eastAsia" w:ascii="Arial" w:hAnsi="Arial" w:eastAsia="宋体" w:cs="Arial"/>
          <w:b/>
          <w:bCs/>
          <w:color w:val="030303"/>
          <w:sz w:val="18"/>
          <w:szCs w:val="18"/>
        </w:rPr>
        <w:t xml:space="preserve"> </w:t>
      </w:r>
      <w:r>
        <w:rPr>
          <w:rFonts w:ascii="Arial" w:hAnsi="Arial" w:eastAsia="宋体" w:cs="Arial"/>
          <w:sz w:val="18"/>
          <w:szCs w:val="18"/>
        </w:rPr>
        <w:t>Effects of SVs at different genomic locations on gene expression, categorized as upstream (within 5 kb of the transcription start site), downstream (within 5 kb of the stop codon), and genic (within gene body).</w:t>
      </w:r>
      <w:r>
        <w:rPr>
          <w:rFonts w:ascii="Arial" w:hAnsi="Arial" w:eastAsia="宋体" w:cs="Arial"/>
          <w:b/>
          <w:bCs/>
          <w:color w:val="030303"/>
          <w:sz w:val="18"/>
          <w:szCs w:val="18"/>
        </w:rPr>
        <w:t xml:space="preserve"> b, </w:t>
      </w:r>
      <w:r>
        <w:rPr>
          <w:rFonts w:ascii="Arial" w:hAnsi="Arial" w:eastAsia="宋体" w:cs="Arial"/>
          <w:sz w:val="18"/>
          <w:szCs w:val="18"/>
        </w:rPr>
        <w:t>Comparison of gene expression levels between two cowpea accessions for genes without SVs. Box plots show the median, interquartile range (25</w:t>
      </w:r>
      <w:r>
        <w:rPr>
          <w:rFonts w:ascii="Arial" w:hAnsi="Arial" w:eastAsia="宋体" w:cs="Arial"/>
          <w:sz w:val="18"/>
          <w:szCs w:val="18"/>
          <w:vertAlign w:val="superscript"/>
        </w:rPr>
        <w:t>th</w:t>
      </w:r>
      <w:r>
        <w:rPr>
          <w:rFonts w:ascii="Arial" w:hAnsi="Arial" w:eastAsia="宋体" w:cs="Arial"/>
          <w:sz w:val="18"/>
          <w:szCs w:val="18"/>
        </w:rPr>
        <w:t>–75</w:t>
      </w:r>
      <w:r>
        <w:rPr>
          <w:rFonts w:ascii="Arial" w:hAnsi="Arial" w:eastAsia="宋体" w:cs="Arial"/>
          <w:sz w:val="18"/>
          <w:szCs w:val="18"/>
          <w:vertAlign w:val="superscript"/>
        </w:rPr>
        <w:t>th</w:t>
      </w:r>
      <w:r>
        <w:rPr>
          <w:rFonts w:ascii="Arial" w:hAnsi="Arial" w:eastAsia="宋体" w:cs="Arial"/>
          <w:sz w:val="18"/>
          <w:szCs w:val="18"/>
        </w:rPr>
        <w:t xml:space="preserve"> percentiles), and whiskers extending to 1.5× the interquartile range. Statistical significance was assessed using two-sided Wilcoxon tests.</w:t>
      </w:r>
      <w:r>
        <w:rPr>
          <w:rFonts w:hint="eastAsia" w:ascii="Arial" w:hAnsi="Arial" w:eastAsia="宋体" w:cs="Arial"/>
          <w:color w:val="030303"/>
          <w:sz w:val="18"/>
          <w:szCs w:val="18"/>
        </w:rPr>
        <w:br w:type="page"/>
      </w:r>
    </w:p>
    <w:p w14:paraId="3A990C45">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3040" cy="4136390"/>
            <wp:effectExtent l="0" t="0" r="3810" b="6985"/>
            <wp:docPr id="30" name="图片 30" descr="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ig.S11"/>
                    <pic:cNvPicPr>
                      <a:picLocks noChangeAspect="1"/>
                    </pic:cNvPicPr>
                  </pic:nvPicPr>
                  <pic:blipFill>
                    <a:blip r:embed="rId15"/>
                    <a:stretch>
                      <a:fillRect/>
                    </a:stretch>
                  </pic:blipFill>
                  <pic:spPr>
                    <a:xfrm>
                      <a:off x="0" y="0"/>
                      <a:ext cx="5273040" cy="4136390"/>
                    </a:xfrm>
                    <a:prstGeom prst="rect">
                      <a:avLst/>
                    </a:prstGeom>
                  </pic:spPr>
                </pic:pic>
              </a:graphicData>
            </a:graphic>
          </wp:inline>
        </w:drawing>
      </w:r>
    </w:p>
    <w:p w14:paraId="78EB81DB">
      <w:pPr>
        <w:rPr>
          <w:rFonts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2</w:t>
      </w:r>
      <w:r>
        <w:rPr>
          <w:rFonts w:ascii="Arial" w:hAnsi="Arial" w:eastAsia="宋体" w:cs="Arial"/>
          <w:b/>
          <w:bCs/>
          <w:color w:val="030303"/>
          <w:sz w:val="18"/>
          <w:szCs w:val="18"/>
        </w:rPr>
        <w:t xml:space="preserve">. Pearson correlation coefficients between SV number and TE number per window. </w:t>
      </w:r>
      <w:r>
        <w:rPr>
          <w:rFonts w:hint="eastAsia" w:ascii="Arial" w:hAnsi="Arial" w:eastAsia="宋体" w:cs="Arial"/>
          <w:b/>
          <w:bCs/>
          <w:color w:val="030303"/>
          <w:sz w:val="18"/>
          <w:szCs w:val="18"/>
        </w:rPr>
        <w:t xml:space="preserve">a, </w:t>
      </w:r>
      <w:r>
        <w:rPr>
          <w:rFonts w:hint="eastAsia" w:ascii="Arial" w:hAnsi="Arial" w:eastAsia="宋体" w:cs="Arial"/>
          <w:color w:val="030303"/>
          <w:sz w:val="18"/>
          <w:szCs w:val="18"/>
        </w:rPr>
        <w:t>The correlation between SV number and total TE counts.</w:t>
      </w:r>
      <w:r>
        <w:rPr>
          <w:rFonts w:hint="eastAsia" w:ascii="Arial" w:hAnsi="Arial" w:eastAsia="宋体" w:cs="Arial"/>
          <w:b/>
          <w:bCs/>
          <w:color w:val="030303"/>
          <w:sz w:val="18"/>
          <w:szCs w:val="18"/>
        </w:rPr>
        <w:t xml:space="preserve"> b</w:t>
      </w:r>
      <w:r>
        <w:rPr>
          <w:rFonts w:ascii="Arial" w:hAnsi="Arial" w:eastAsia="宋体" w:cs="Arial"/>
          <w:b/>
          <w:bCs/>
          <w:color w:val="030303"/>
          <w:sz w:val="18"/>
          <w:szCs w:val="18"/>
        </w:rPr>
        <w:t>-</w:t>
      </w:r>
      <w:r>
        <w:rPr>
          <w:rFonts w:hint="eastAsia" w:ascii="Arial" w:hAnsi="Arial" w:eastAsia="宋体" w:cs="Arial"/>
          <w:b/>
          <w:bCs/>
          <w:color w:val="030303"/>
          <w:sz w:val="18"/>
          <w:szCs w:val="18"/>
        </w:rPr>
        <w:t>d</w:t>
      </w:r>
      <w:r>
        <w:rPr>
          <w:rFonts w:ascii="Arial" w:hAnsi="Arial" w:eastAsia="宋体" w:cs="Arial"/>
          <w:b/>
          <w:bCs/>
          <w:color w:val="030303"/>
          <w:sz w:val="18"/>
          <w:szCs w:val="18"/>
        </w:rPr>
        <w:t xml:space="preserve">, </w:t>
      </w:r>
      <w:r>
        <w:rPr>
          <w:rFonts w:ascii="Arial" w:hAnsi="Arial" w:eastAsia="宋体" w:cs="Arial"/>
          <w:color w:val="030303"/>
          <w:sz w:val="18"/>
          <w:szCs w:val="18"/>
        </w:rPr>
        <w:t xml:space="preserve">The comparisons between LTR, TIR and Helitron number per window (1 Mb window size) and SV number per window, respectively. Total of 541 windows were plotted and the </w:t>
      </w:r>
      <w:r>
        <w:rPr>
          <w:rFonts w:hint="eastAsia" w:ascii="Arial" w:hAnsi="Arial" w:eastAsia="宋体" w:cs="Arial"/>
          <w:i/>
          <w:iCs/>
          <w:color w:val="030303"/>
          <w:sz w:val="18"/>
          <w:szCs w:val="18"/>
        </w:rPr>
        <w:t>p</w:t>
      </w:r>
      <w:r>
        <w:rPr>
          <w:rFonts w:ascii="Arial" w:hAnsi="Arial" w:eastAsia="宋体" w:cs="Arial"/>
          <w:color w:val="030303"/>
          <w:sz w:val="18"/>
          <w:szCs w:val="18"/>
        </w:rPr>
        <w:t>-value was calculated using a two-sided t-test.</w:t>
      </w:r>
      <w:r>
        <w:rPr>
          <w:rFonts w:hint="eastAsia" w:ascii="Arial" w:hAnsi="Arial" w:eastAsia="宋体" w:cs="Arial"/>
          <w:color w:val="030303"/>
          <w:sz w:val="18"/>
          <w:szCs w:val="18"/>
        </w:rPr>
        <w:t xml:space="preserve">  </w:t>
      </w:r>
    </w:p>
    <w:p w14:paraId="53A73B48">
      <w:pPr>
        <w:rPr>
          <w:rFonts w:ascii="Arial" w:hAnsi="Arial" w:eastAsia="宋体" w:cs="Arial"/>
          <w:b/>
          <w:bCs/>
          <w:color w:val="030303"/>
          <w:sz w:val="18"/>
          <w:szCs w:val="18"/>
        </w:rPr>
      </w:pPr>
      <w:r>
        <w:rPr>
          <w:rFonts w:hint="eastAsia" w:ascii="Arial" w:hAnsi="Arial" w:eastAsia="宋体" w:cs="Arial"/>
          <w:color w:val="030303"/>
          <w:sz w:val="18"/>
          <w:szCs w:val="18"/>
        </w:rPr>
        <w:t xml:space="preserve">           </w:t>
      </w:r>
      <w:r>
        <w:rPr>
          <w:rFonts w:hint="eastAsia" w:ascii="Arial" w:hAnsi="Arial" w:eastAsia="宋体" w:cs="Arial"/>
          <w:color w:val="030303"/>
          <w:sz w:val="18"/>
          <w:szCs w:val="18"/>
        </w:rPr>
        <w:drawing>
          <wp:inline distT="0" distB="0" distL="114300" distR="114300">
            <wp:extent cx="4142105" cy="3895090"/>
            <wp:effectExtent l="0" t="0" r="1270" b="635"/>
            <wp:docPr id="31" name="图片 31" descr="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ig.S12"/>
                    <pic:cNvPicPr>
                      <a:picLocks noChangeAspect="1"/>
                    </pic:cNvPicPr>
                  </pic:nvPicPr>
                  <pic:blipFill>
                    <a:blip r:embed="rId16"/>
                    <a:stretch>
                      <a:fillRect/>
                    </a:stretch>
                  </pic:blipFill>
                  <pic:spPr>
                    <a:xfrm>
                      <a:off x="0" y="0"/>
                      <a:ext cx="4142105" cy="3895090"/>
                    </a:xfrm>
                    <a:prstGeom prst="rect">
                      <a:avLst/>
                    </a:prstGeom>
                  </pic:spPr>
                </pic:pic>
              </a:graphicData>
            </a:graphic>
          </wp:inline>
        </w:drawing>
      </w:r>
    </w:p>
    <w:p w14:paraId="32B7737F">
      <w:pPr>
        <w:rPr>
          <w:rFonts w:hint="eastAsia"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3</w:t>
      </w:r>
      <w:r>
        <w:rPr>
          <w:rFonts w:ascii="Arial" w:hAnsi="Arial" w:eastAsia="宋体" w:cs="Arial"/>
          <w:b/>
          <w:bCs/>
          <w:color w:val="030303"/>
          <w:sz w:val="18"/>
          <w:szCs w:val="18"/>
        </w:rPr>
        <w:t xml:space="preserve">. </w:t>
      </w:r>
      <w:r>
        <w:rPr>
          <w:rFonts w:ascii="Arial" w:hAnsi="Arial" w:eastAsia="宋体" w:cs="Arial"/>
          <w:b/>
          <w:bCs/>
          <w:sz w:val="18"/>
          <w:szCs w:val="18"/>
        </w:rPr>
        <w:t>Proportion of different TE families associated with the four SV types.</w:t>
      </w:r>
      <w:r>
        <w:rPr>
          <w:rFonts w:ascii="Arial" w:hAnsi="Arial" w:eastAsia="宋体" w:cs="Arial"/>
          <w:b/>
          <w:bCs/>
          <w:color w:val="030303"/>
          <w:sz w:val="18"/>
          <w:szCs w:val="18"/>
        </w:rPr>
        <w:t xml:space="preserve"> </w:t>
      </w:r>
      <w:r>
        <w:rPr>
          <w:rFonts w:ascii="Arial" w:hAnsi="Arial" w:eastAsia="宋体" w:cs="Arial"/>
          <w:sz w:val="18"/>
          <w:szCs w:val="18"/>
        </w:rPr>
        <w:t>Pie charts show the percentage of TE families flanking TE-driven SVs, indicating that LTR is the predominant TE type across deletions (DEL), inversions (INV), duplications (DUP), and translocations (TRANS). Inserted sequences formed directly by TE movement are excluded from this analysis.</w:t>
      </w:r>
      <w:r>
        <w:rPr>
          <w:rFonts w:hint="eastAsia" w:ascii="Arial" w:hAnsi="Arial" w:eastAsia="宋体" w:cs="Arial"/>
          <w:color w:val="030303"/>
          <w:sz w:val="18"/>
          <w:szCs w:val="18"/>
        </w:rPr>
        <w:br w:type="page"/>
      </w:r>
    </w:p>
    <w:p w14:paraId="3DC5CF3F">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69865" cy="5324475"/>
            <wp:effectExtent l="0" t="0" r="6985" b="0"/>
            <wp:docPr id="10" name="图片 10" descr="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S13"/>
                    <pic:cNvPicPr>
                      <a:picLocks noChangeAspect="1"/>
                    </pic:cNvPicPr>
                  </pic:nvPicPr>
                  <pic:blipFill>
                    <a:blip r:embed="rId17"/>
                    <a:stretch>
                      <a:fillRect/>
                    </a:stretch>
                  </pic:blipFill>
                  <pic:spPr>
                    <a:xfrm>
                      <a:off x="0" y="0"/>
                      <a:ext cx="5269865" cy="5324475"/>
                    </a:xfrm>
                    <a:prstGeom prst="rect">
                      <a:avLst/>
                    </a:prstGeom>
                  </pic:spPr>
                </pic:pic>
              </a:graphicData>
            </a:graphic>
          </wp:inline>
        </w:drawing>
      </w:r>
    </w:p>
    <w:p w14:paraId="0EA222DF">
      <w:pPr>
        <w:rPr>
          <w:rFonts w:hint="eastAsia"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4</w:t>
      </w:r>
      <w:r>
        <w:rPr>
          <w:rFonts w:ascii="Arial" w:hAnsi="Arial" w:eastAsia="宋体" w:cs="Arial"/>
          <w:b/>
          <w:bCs/>
          <w:color w:val="030303"/>
          <w:sz w:val="18"/>
          <w:szCs w:val="18"/>
        </w:rPr>
        <w:t xml:space="preserve">. Impact of genomic recombination rate on SV counts in cowpea genomes. a, </w:t>
      </w:r>
      <w:r>
        <w:rPr>
          <w:rFonts w:ascii="Arial" w:hAnsi="Arial" w:eastAsia="宋体" w:cs="Arial"/>
          <w:color w:val="030303"/>
          <w:sz w:val="18"/>
          <w:szCs w:val="18"/>
        </w:rPr>
        <w:t xml:space="preserve">Scatter plot illustrating the Pearson correlation between genomic recombination rate and </w:t>
      </w:r>
      <w:r>
        <w:rPr>
          <w:rFonts w:hint="eastAsia" w:ascii="Arial" w:hAnsi="Arial" w:eastAsia="宋体" w:cs="Arial"/>
          <w:color w:val="030303"/>
          <w:sz w:val="18"/>
          <w:szCs w:val="18"/>
        </w:rPr>
        <w:t xml:space="preserve">total </w:t>
      </w:r>
      <w:r>
        <w:rPr>
          <w:rFonts w:ascii="Arial" w:hAnsi="Arial" w:eastAsia="宋体" w:cs="Arial"/>
          <w:color w:val="030303"/>
          <w:sz w:val="18"/>
          <w:szCs w:val="18"/>
        </w:rPr>
        <w:t>SV counts.</w:t>
      </w:r>
      <w:r>
        <w:rPr>
          <w:rFonts w:ascii="Arial" w:hAnsi="Arial" w:eastAsia="宋体" w:cs="Arial"/>
          <w:b/>
          <w:bCs/>
          <w:color w:val="030303"/>
          <w:sz w:val="18"/>
          <w:szCs w:val="18"/>
        </w:rPr>
        <w:t xml:space="preserve"> b, </w:t>
      </w:r>
      <w:r>
        <w:rPr>
          <w:rFonts w:ascii="Arial" w:hAnsi="Arial" w:eastAsia="宋体" w:cs="Arial"/>
          <w:sz w:val="18"/>
          <w:szCs w:val="18"/>
        </w:rPr>
        <w:t xml:space="preserve">Scatter plots showing the Pearson correlation between genomic recombination rate and counts of five SV types (DEL: deletion, INV: inversion, DUP: duplication, TRANS: translocation, INS: insertion). Blue lines indicate fitted linear regression curves, with grey shaded areas representing 95% confidence intervals. </w:t>
      </w:r>
      <w:r>
        <w:rPr>
          <w:rFonts w:ascii="Arial" w:hAnsi="Arial" w:eastAsia="宋体" w:cs="Arial"/>
          <w:i/>
          <w:iCs/>
          <w:sz w:val="18"/>
          <w:szCs w:val="18"/>
        </w:rPr>
        <w:t>P</w:t>
      </w:r>
      <w:r>
        <w:rPr>
          <w:rFonts w:ascii="Arial" w:hAnsi="Arial" w:eastAsia="宋体" w:cs="Arial"/>
          <w:sz w:val="18"/>
          <w:szCs w:val="18"/>
        </w:rPr>
        <w:t>-values were calculated using two-sided t-tests.</w:t>
      </w:r>
      <w:r>
        <w:rPr>
          <w:rFonts w:hint="eastAsia" w:ascii="Arial" w:hAnsi="Arial" w:eastAsia="宋体" w:cs="Arial"/>
          <w:color w:val="030303"/>
          <w:sz w:val="18"/>
          <w:szCs w:val="18"/>
        </w:rPr>
        <w:br w:type="page"/>
      </w:r>
    </w:p>
    <w:p w14:paraId="7589950C">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1770" cy="4862195"/>
            <wp:effectExtent l="0" t="0" r="5080" b="5080"/>
            <wp:docPr id="14" name="图片 14" descr="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ig.S14"/>
                    <pic:cNvPicPr>
                      <a:picLocks noChangeAspect="1"/>
                    </pic:cNvPicPr>
                  </pic:nvPicPr>
                  <pic:blipFill>
                    <a:blip r:embed="rId18"/>
                    <a:stretch>
                      <a:fillRect/>
                    </a:stretch>
                  </pic:blipFill>
                  <pic:spPr>
                    <a:xfrm>
                      <a:off x="0" y="0"/>
                      <a:ext cx="5271770" cy="4862195"/>
                    </a:xfrm>
                    <a:prstGeom prst="rect">
                      <a:avLst/>
                    </a:prstGeom>
                  </pic:spPr>
                </pic:pic>
              </a:graphicData>
            </a:graphic>
          </wp:inline>
        </w:drawing>
      </w:r>
    </w:p>
    <w:p w14:paraId="3A27D86F">
      <w:pPr>
        <w:rPr>
          <w:rFonts w:ascii="Arial" w:hAnsi="Arial" w:eastAsia="宋体" w:cs="Arial"/>
          <w:color w:val="030303"/>
          <w:sz w:val="18"/>
          <w:szCs w:val="18"/>
        </w:rPr>
      </w:pPr>
    </w:p>
    <w:p w14:paraId="76FF5D4E">
      <w:pPr>
        <w:pStyle w:val="3"/>
        <w:widowControl/>
        <w:spacing w:before="240" w:beforeAutospacing="0" w:after="240" w:afterAutospacing="0" w:line="10" w:lineRule="atLeast"/>
        <w:rPr>
          <w:rFonts w:hint="eastAsia" w:ascii="Arial" w:hAnsi="Arial" w:eastAsia="宋体" w:cs="Arial"/>
          <w:color w:val="030303"/>
          <w:sz w:val="18"/>
          <w:szCs w:val="18"/>
        </w:rPr>
      </w:pPr>
      <w:r>
        <w:rPr>
          <w:rFonts w:ascii="Arial" w:hAnsi="Arial" w:cs="Arial"/>
          <w:b/>
          <w:bCs/>
          <w:color w:val="030303"/>
          <w:sz w:val="18"/>
          <w:szCs w:val="18"/>
        </w:rPr>
        <w:t>Supplementary Fig. 1</w:t>
      </w:r>
      <w:r>
        <w:rPr>
          <w:rFonts w:hint="eastAsia" w:ascii="Arial" w:hAnsi="Arial" w:cs="Arial"/>
          <w:b/>
          <w:bCs/>
          <w:color w:val="030303"/>
          <w:sz w:val="18"/>
          <w:szCs w:val="18"/>
        </w:rPr>
        <w:t>5</w:t>
      </w:r>
      <w:r>
        <w:rPr>
          <w:rFonts w:ascii="Arial" w:hAnsi="Arial" w:cs="Arial"/>
          <w:b/>
          <w:bCs/>
          <w:color w:val="030303"/>
          <w:sz w:val="18"/>
          <w:szCs w:val="18"/>
        </w:rPr>
        <w:t xml:space="preserve">. Sample screening for Vu and Vs genetic differentiation interval analysis in cowpea. a, </w:t>
      </w:r>
      <w:r>
        <w:rPr>
          <w:rFonts w:ascii="Arial" w:hAnsi="Arial" w:cs="Arial"/>
          <w:color w:val="030303"/>
          <w:sz w:val="18"/>
          <w:szCs w:val="18"/>
        </w:rPr>
        <w:t xml:space="preserve">Structure analysis of all re-sequencing samples (n = 577), displaying ancestry proportions for K = 2 inferred clusters. </w:t>
      </w:r>
      <w:r>
        <w:rPr>
          <w:rFonts w:ascii="Arial" w:hAnsi="Arial" w:cs="Arial"/>
          <w:b/>
          <w:bCs/>
          <w:color w:val="030303"/>
          <w:sz w:val="18"/>
          <w:szCs w:val="18"/>
        </w:rPr>
        <w:t>b,</w:t>
      </w:r>
      <w:r>
        <w:rPr>
          <w:rFonts w:ascii="Arial" w:hAnsi="Arial" w:cs="Arial"/>
          <w:color w:val="030303"/>
          <w:sz w:val="18"/>
          <w:szCs w:val="18"/>
        </w:rPr>
        <w:t xml:space="preserve"> Structure analysis of the selected samples (n = 355), where samples with ancestry proportions exceeding 70% for a single cluster at K = 2 were retained. </w:t>
      </w:r>
      <w:r>
        <w:rPr>
          <w:rFonts w:ascii="Arial" w:hAnsi="Arial" w:cs="Arial"/>
          <w:b/>
          <w:bCs/>
          <w:color w:val="030303"/>
          <w:sz w:val="18"/>
          <w:szCs w:val="18"/>
        </w:rPr>
        <w:t>c,</w:t>
      </w:r>
      <w:r>
        <w:rPr>
          <w:rFonts w:ascii="Arial" w:hAnsi="Arial" w:cs="Arial"/>
          <w:color w:val="030303"/>
          <w:sz w:val="18"/>
          <w:szCs w:val="18"/>
        </w:rPr>
        <w:t xml:space="preserve"> SNP-based principal component analysis (PCA) of the selected samples, with the first two principal components plotted. </w:t>
      </w:r>
      <w:r>
        <w:rPr>
          <w:rFonts w:ascii="Arial" w:hAnsi="Arial" w:cs="Arial"/>
          <w:b/>
          <w:bCs/>
          <w:color w:val="030303"/>
          <w:sz w:val="18"/>
          <w:szCs w:val="18"/>
        </w:rPr>
        <w:t xml:space="preserve">d, </w:t>
      </w:r>
      <w:r>
        <w:rPr>
          <w:rFonts w:ascii="Arial" w:hAnsi="Arial" w:cs="Arial"/>
          <w:color w:val="030303"/>
          <w:sz w:val="18"/>
          <w:szCs w:val="18"/>
        </w:rPr>
        <w:t>SV-based PCA of the selected samples, with the first two principal components plotted.</w:t>
      </w:r>
      <w:r>
        <w:rPr>
          <w:rFonts w:hint="eastAsia" w:ascii="Arial" w:hAnsi="Arial" w:eastAsia="宋体" w:cs="Arial"/>
          <w:color w:val="030303"/>
          <w:sz w:val="18"/>
          <w:szCs w:val="18"/>
        </w:rPr>
        <w:br w:type="page"/>
      </w:r>
    </w:p>
    <w:p w14:paraId="7E408329">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69865" cy="5781040"/>
            <wp:effectExtent l="0" t="0" r="6985" b="635"/>
            <wp:docPr id="15" name="图片 15" descr="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S15"/>
                    <pic:cNvPicPr>
                      <a:picLocks noChangeAspect="1"/>
                    </pic:cNvPicPr>
                  </pic:nvPicPr>
                  <pic:blipFill>
                    <a:blip r:embed="rId19"/>
                    <a:stretch>
                      <a:fillRect/>
                    </a:stretch>
                  </pic:blipFill>
                  <pic:spPr>
                    <a:xfrm>
                      <a:off x="0" y="0"/>
                      <a:ext cx="5269865" cy="5781040"/>
                    </a:xfrm>
                    <a:prstGeom prst="rect">
                      <a:avLst/>
                    </a:prstGeom>
                  </pic:spPr>
                </pic:pic>
              </a:graphicData>
            </a:graphic>
          </wp:inline>
        </w:drawing>
      </w:r>
    </w:p>
    <w:p w14:paraId="33177FA8">
      <w:pPr>
        <w:rPr>
          <w:rFonts w:hint="eastAsia" w:ascii="Arial" w:hAnsi="Arial" w:eastAsia="宋体" w:cs="Arial"/>
          <w:color w:val="000000"/>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6</w:t>
      </w:r>
      <w:r>
        <w:rPr>
          <w:rFonts w:ascii="Arial" w:hAnsi="Arial" w:eastAsia="宋体" w:cs="Arial"/>
          <w:b/>
          <w:bCs/>
          <w:color w:val="030303"/>
          <w:sz w:val="18"/>
          <w:szCs w:val="18"/>
        </w:rPr>
        <w:t xml:space="preserve">. </w:t>
      </w:r>
      <w:r>
        <w:rPr>
          <w:rFonts w:ascii="Arial" w:hAnsi="Arial" w:eastAsia="宋体" w:cs="Arial"/>
          <w:b/>
          <w:bCs/>
          <w:color w:val="000000"/>
          <w:sz w:val="18"/>
          <w:szCs w:val="18"/>
        </w:rPr>
        <w:t xml:space="preserve">Identification of Vu and Vs differentiation intervals through selective sweep analysis in cowpea genomes. a, </w:t>
      </w:r>
      <w:r>
        <w:rPr>
          <w:rFonts w:ascii="Arial" w:hAnsi="Arial" w:eastAsia="宋体" w:cs="Arial"/>
          <w:i/>
          <w:iCs/>
          <w:color w:val="000000"/>
          <w:sz w:val="18"/>
          <w:szCs w:val="18"/>
        </w:rPr>
        <w:t>F</w:t>
      </w:r>
      <w:r>
        <w:rPr>
          <w:rFonts w:hint="eastAsia" w:ascii="Arial" w:hAnsi="Arial" w:eastAsia="宋体" w:cs="Arial"/>
          <w:color w:val="000000"/>
          <w:sz w:val="18"/>
          <w:szCs w:val="18"/>
          <w:vertAlign w:val="subscript"/>
        </w:rPr>
        <w:t>ST</w:t>
      </w:r>
      <w:r>
        <w:rPr>
          <w:rFonts w:ascii="Arial" w:hAnsi="Arial" w:eastAsia="宋体" w:cs="Arial"/>
          <w:color w:val="000000"/>
          <w:sz w:val="18"/>
          <w:szCs w:val="18"/>
        </w:rPr>
        <w:t xml:space="preserve"> values across the cowpea genome.</w:t>
      </w:r>
      <w:r>
        <w:rPr>
          <w:rFonts w:ascii="Arial" w:hAnsi="Arial" w:eastAsia="宋体" w:cs="Arial"/>
          <w:b/>
          <w:bCs/>
          <w:color w:val="000000"/>
          <w:sz w:val="18"/>
          <w:szCs w:val="18"/>
        </w:rPr>
        <w:t xml:space="preserve"> b,</w:t>
      </w:r>
      <w:r>
        <w:rPr>
          <w:rFonts w:ascii="Arial" w:hAnsi="Arial" w:eastAsia="宋体" w:cs="Arial"/>
          <w:color w:val="000000"/>
          <w:sz w:val="18"/>
          <w:szCs w:val="18"/>
        </w:rPr>
        <w:t xml:space="preserve"> </w:t>
      </w:r>
      <w:r>
        <w:rPr>
          <w:rFonts w:hint="eastAsia" w:ascii="Arial" w:hAnsi="Arial" w:eastAsia="宋体" w:cs="Arial"/>
          <w:color w:val="000000"/>
          <w:sz w:val="18"/>
          <w:szCs w:val="18"/>
        </w:rPr>
        <w:t>Pi</w:t>
      </w:r>
      <w:r>
        <w:rPr>
          <w:rFonts w:ascii="Arial" w:hAnsi="Arial" w:eastAsia="宋体" w:cs="Arial"/>
          <w:color w:val="000000"/>
          <w:sz w:val="18"/>
          <w:szCs w:val="18"/>
        </w:rPr>
        <w:t>-ratio (π</w:t>
      </w:r>
      <w:r>
        <w:rPr>
          <w:rFonts w:ascii="Arial" w:hAnsi="Arial" w:eastAsia="宋体" w:cs="Arial"/>
          <w:color w:val="000000"/>
          <w:sz w:val="18"/>
          <w:szCs w:val="18"/>
          <w:vertAlign w:val="subscript"/>
        </w:rPr>
        <w:t>Vu</w:t>
      </w:r>
      <w:r>
        <w:rPr>
          <w:rFonts w:ascii="Arial" w:hAnsi="Arial" w:eastAsia="宋体" w:cs="Arial"/>
          <w:color w:val="000000"/>
          <w:sz w:val="18"/>
          <w:szCs w:val="18"/>
        </w:rPr>
        <w:t>/π</w:t>
      </w:r>
      <w:r>
        <w:rPr>
          <w:rFonts w:ascii="Arial" w:hAnsi="Arial" w:eastAsia="宋体" w:cs="Arial"/>
          <w:color w:val="000000"/>
          <w:sz w:val="18"/>
          <w:szCs w:val="18"/>
          <w:vertAlign w:val="subscript"/>
        </w:rPr>
        <w:t>Vs</w:t>
      </w:r>
      <w:r>
        <w:rPr>
          <w:rFonts w:ascii="Arial" w:hAnsi="Arial" w:eastAsia="宋体" w:cs="Arial"/>
          <w:color w:val="000000"/>
          <w:sz w:val="18"/>
          <w:szCs w:val="18"/>
        </w:rPr>
        <w:t>) values across the cowpea genome.</w:t>
      </w:r>
      <w:r>
        <w:rPr>
          <w:rFonts w:ascii="Arial" w:hAnsi="Arial" w:eastAsia="宋体" w:cs="Arial"/>
          <w:b/>
          <w:bCs/>
          <w:color w:val="000000"/>
          <w:sz w:val="18"/>
          <w:szCs w:val="18"/>
        </w:rPr>
        <w:t xml:space="preserve"> c,</w:t>
      </w:r>
      <w:r>
        <w:rPr>
          <w:rFonts w:ascii="Arial" w:hAnsi="Arial" w:eastAsia="宋体" w:cs="Arial"/>
          <w:color w:val="000000"/>
          <w:sz w:val="18"/>
          <w:szCs w:val="18"/>
        </w:rPr>
        <w:t xml:space="preserve"> XP-CLR scores across the cowpea genome. The horizontal dotted lines indicate the top 5% threshold for identifying selective sweeps.</w:t>
      </w:r>
      <w:r>
        <w:rPr>
          <w:rFonts w:hint="eastAsia" w:ascii="Arial" w:hAnsi="Arial" w:eastAsia="宋体" w:cs="Arial"/>
          <w:color w:val="000000"/>
          <w:sz w:val="18"/>
          <w:szCs w:val="18"/>
        </w:rPr>
        <w:br w:type="page"/>
      </w:r>
    </w:p>
    <w:p w14:paraId="4CA4321F">
      <w:pPr>
        <w:rPr>
          <w:rFonts w:ascii="Arial" w:hAnsi="Arial" w:eastAsia="宋体" w:cs="Arial"/>
          <w:color w:val="000000"/>
          <w:sz w:val="18"/>
          <w:szCs w:val="18"/>
        </w:rPr>
      </w:pPr>
      <w:r>
        <w:rPr>
          <w:rFonts w:hint="eastAsia" w:ascii="Arial" w:hAnsi="Arial" w:eastAsia="宋体" w:cs="Arial"/>
          <w:color w:val="000000"/>
          <w:sz w:val="18"/>
          <w:szCs w:val="18"/>
        </w:rPr>
        <w:drawing>
          <wp:inline distT="0" distB="0" distL="114300" distR="114300">
            <wp:extent cx="5273675" cy="6424930"/>
            <wp:effectExtent l="0" t="0" r="3175" b="4445"/>
            <wp:docPr id="32" name="图片 32" descr="Fig.S16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ig.S16_new"/>
                    <pic:cNvPicPr>
                      <a:picLocks noChangeAspect="1"/>
                    </pic:cNvPicPr>
                  </pic:nvPicPr>
                  <pic:blipFill>
                    <a:blip r:embed="rId20"/>
                    <a:stretch>
                      <a:fillRect/>
                    </a:stretch>
                  </pic:blipFill>
                  <pic:spPr>
                    <a:xfrm>
                      <a:off x="0" y="0"/>
                      <a:ext cx="5273675" cy="6424930"/>
                    </a:xfrm>
                    <a:prstGeom prst="rect">
                      <a:avLst/>
                    </a:prstGeom>
                  </pic:spPr>
                </pic:pic>
              </a:graphicData>
            </a:graphic>
          </wp:inline>
        </w:drawing>
      </w:r>
    </w:p>
    <w:p w14:paraId="2964B11B">
      <w:pPr>
        <w:pStyle w:val="3"/>
        <w:widowControl/>
        <w:spacing w:before="240" w:beforeAutospacing="0" w:after="240" w:afterAutospacing="0" w:line="10" w:lineRule="atLeast"/>
        <w:rPr>
          <w:rFonts w:hint="eastAsia" w:ascii="Arial" w:hAnsi="Arial" w:eastAsia="宋体" w:cs="Arial"/>
          <w:color w:val="000000"/>
          <w:sz w:val="18"/>
          <w:szCs w:val="18"/>
        </w:rPr>
      </w:pPr>
      <w:r>
        <w:rPr>
          <w:rFonts w:ascii="Arial" w:hAnsi="Arial" w:cs="Arial"/>
          <w:b/>
          <w:bCs/>
          <w:color w:val="030303"/>
          <w:sz w:val="18"/>
          <w:szCs w:val="18"/>
        </w:rPr>
        <w:t>Supplementary Fig. 1</w:t>
      </w:r>
      <w:r>
        <w:rPr>
          <w:rFonts w:hint="eastAsia" w:ascii="Arial" w:hAnsi="Arial" w:cs="Arial"/>
          <w:b/>
          <w:bCs/>
          <w:color w:val="030303"/>
          <w:sz w:val="18"/>
          <w:szCs w:val="18"/>
        </w:rPr>
        <w:t>7</w:t>
      </w:r>
      <w:r>
        <w:rPr>
          <w:rFonts w:ascii="Arial" w:hAnsi="Arial" w:cs="Arial"/>
          <w:b/>
          <w:bCs/>
          <w:color w:val="030303"/>
          <w:sz w:val="18"/>
          <w:szCs w:val="18"/>
        </w:rPr>
        <w:t xml:space="preserve">. Overrepresented terms in genetic differentiation genes identified in cowpea genomes. </w:t>
      </w:r>
      <w:r>
        <w:rPr>
          <w:rFonts w:ascii="Arial" w:hAnsi="Arial" w:cs="Arial"/>
          <w:color w:val="030303"/>
          <w:sz w:val="18"/>
          <w:szCs w:val="18"/>
        </w:rPr>
        <w:t xml:space="preserve">Bubble plot displaying the enriched functional terms based on </w:t>
      </w:r>
      <w:r>
        <w:rPr>
          <w:rFonts w:hint="eastAsia" w:ascii="Arial" w:hAnsi="Arial" w:cs="Arial"/>
          <w:color w:val="030303"/>
          <w:sz w:val="18"/>
          <w:szCs w:val="18"/>
        </w:rPr>
        <w:t>GO</w:t>
      </w:r>
      <w:r>
        <w:rPr>
          <w:rFonts w:ascii="Arial" w:hAnsi="Arial" w:cs="Arial"/>
          <w:color w:val="030303"/>
          <w:sz w:val="18"/>
          <w:szCs w:val="18"/>
        </w:rPr>
        <w:t>s for genes within selective sweep regions. Bubble size corresponds to the gene number.</w:t>
      </w:r>
      <w:r>
        <w:rPr>
          <w:rFonts w:hint="eastAsia" w:ascii="Arial" w:hAnsi="Arial" w:cs="Arial"/>
          <w:color w:val="030303"/>
          <w:sz w:val="18"/>
          <w:szCs w:val="18"/>
        </w:rPr>
        <w:t xml:space="preserve"> BP, b</w:t>
      </w:r>
      <w:r>
        <w:rPr>
          <w:rFonts w:ascii="Arial" w:hAnsi="Arial" w:cs="Arial"/>
          <w:color w:val="030303"/>
          <w:sz w:val="18"/>
          <w:szCs w:val="18"/>
        </w:rPr>
        <w:t xml:space="preserve">iological </w:t>
      </w:r>
      <w:r>
        <w:rPr>
          <w:rFonts w:hint="eastAsia" w:ascii="Arial" w:hAnsi="Arial" w:cs="Arial"/>
          <w:color w:val="030303"/>
          <w:sz w:val="18"/>
          <w:szCs w:val="18"/>
        </w:rPr>
        <w:t>p</w:t>
      </w:r>
      <w:r>
        <w:rPr>
          <w:rFonts w:ascii="Arial" w:hAnsi="Arial" w:cs="Arial"/>
          <w:color w:val="030303"/>
          <w:sz w:val="18"/>
          <w:szCs w:val="18"/>
        </w:rPr>
        <w:t>rocess</w:t>
      </w:r>
      <w:r>
        <w:rPr>
          <w:rFonts w:hint="eastAsia" w:ascii="Arial" w:hAnsi="Arial" w:cs="Arial"/>
          <w:color w:val="030303"/>
          <w:sz w:val="18"/>
          <w:szCs w:val="18"/>
        </w:rPr>
        <w:t>; CC, c</w:t>
      </w:r>
      <w:r>
        <w:rPr>
          <w:rFonts w:ascii="Arial" w:hAnsi="Arial" w:cs="Arial"/>
          <w:color w:val="030303"/>
          <w:sz w:val="18"/>
          <w:szCs w:val="18"/>
        </w:rPr>
        <w:t xml:space="preserve">ellular </w:t>
      </w:r>
      <w:r>
        <w:rPr>
          <w:rFonts w:hint="eastAsia" w:ascii="Arial" w:hAnsi="Arial" w:cs="Arial"/>
          <w:color w:val="030303"/>
          <w:sz w:val="18"/>
          <w:szCs w:val="18"/>
        </w:rPr>
        <w:t>c</w:t>
      </w:r>
      <w:r>
        <w:rPr>
          <w:rFonts w:ascii="Arial" w:hAnsi="Arial" w:cs="Arial"/>
          <w:color w:val="030303"/>
          <w:sz w:val="18"/>
          <w:szCs w:val="18"/>
        </w:rPr>
        <w:t>omponent</w:t>
      </w:r>
      <w:r>
        <w:rPr>
          <w:rFonts w:hint="eastAsia" w:ascii="Arial" w:hAnsi="Arial" w:cs="Arial"/>
          <w:color w:val="030303"/>
          <w:sz w:val="18"/>
          <w:szCs w:val="18"/>
        </w:rPr>
        <w:t>; MF, m</w:t>
      </w:r>
      <w:r>
        <w:rPr>
          <w:rFonts w:ascii="Arial" w:hAnsi="Arial" w:cs="Arial"/>
          <w:color w:val="030303"/>
          <w:sz w:val="18"/>
          <w:szCs w:val="18"/>
        </w:rPr>
        <w:t xml:space="preserve">olecular </w:t>
      </w:r>
      <w:r>
        <w:rPr>
          <w:rFonts w:hint="eastAsia" w:ascii="Arial" w:hAnsi="Arial" w:cs="Arial"/>
          <w:color w:val="030303"/>
          <w:sz w:val="18"/>
          <w:szCs w:val="18"/>
        </w:rPr>
        <w:t>f</w:t>
      </w:r>
      <w:r>
        <w:rPr>
          <w:rFonts w:ascii="Arial" w:hAnsi="Arial" w:cs="Arial"/>
          <w:color w:val="030303"/>
          <w:sz w:val="18"/>
          <w:szCs w:val="18"/>
        </w:rPr>
        <w:t>unction</w:t>
      </w:r>
      <w:r>
        <w:rPr>
          <w:rFonts w:hint="eastAsia" w:ascii="Arial" w:hAnsi="Arial" w:cs="Arial"/>
          <w:color w:val="030303"/>
          <w:sz w:val="18"/>
          <w:szCs w:val="18"/>
        </w:rPr>
        <w:t>.</w:t>
      </w:r>
      <w:r>
        <w:rPr>
          <w:rFonts w:hint="eastAsia" w:ascii="Arial" w:hAnsi="Arial" w:eastAsia="宋体" w:cs="Arial"/>
          <w:color w:val="000000"/>
          <w:sz w:val="18"/>
          <w:szCs w:val="18"/>
        </w:rPr>
        <w:br w:type="page"/>
      </w:r>
    </w:p>
    <w:p w14:paraId="7D936096">
      <w:pPr>
        <w:rPr>
          <w:rFonts w:ascii="Arial" w:hAnsi="Arial" w:eastAsia="宋体" w:cs="Arial"/>
          <w:color w:val="000000"/>
          <w:sz w:val="18"/>
          <w:szCs w:val="18"/>
        </w:rPr>
      </w:pPr>
      <w:r>
        <w:rPr>
          <w:rFonts w:hint="eastAsia" w:ascii="Arial" w:hAnsi="Arial" w:eastAsia="宋体" w:cs="Arial"/>
          <w:color w:val="000000"/>
          <w:sz w:val="18"/>
          <w:szCs w:val="18"/>
        </w:rPr>
        <w:drawing>
          <wp:inline distT="0" distB="0" distL="114300" distR="114300">
            <wp:extent cx="5271770" cy="4067810"/>
            <wp:effectExtent l="0" t="0" r="5080" b="8890"/>
            <wp:docPr id="17" name="图片 17" descr="Fig.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S17"/>
                    <pic:cNvPicPr>
                      <a:picLocks noChangeAspect="1"/>
                    </pic:cNvPicPr>
                  </pic:nvPicPr>
                  <pic:blipFill>
                    <a:blip r:embed="rId21"/>
                    <a:stretch>
                      <a:fillRect/>
                    </a:stretch>
                  </pic:blipFill>
                  <pic:spPr>
                    <a:xfrm>
                      <a:off x="0" y="0"/>
                      <a:ext cx="5271770" cy="4067810"/>
                    </a:xfrm>
                    <a:prstGeom prst="rect">
                      <a:avLst/>
                    </a:prstGeom>
                  </pic:spPr>
                </pic:pic>
              </a:graphicData>
            </a:graphic>
          </wp:inline>
        </w:drawing>
      </w:r>
    </w:p>
    <w:p w14:paraId="638D3EFF">
      <w:pPr>
        <w:rPr>
          <w:rFonts w:hint="eastAsia"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8</w:t>
      </w:r>
      <w:r>
        <w:rPr>
          <w:rFonts w:ascii="Arial" w:hAnsi="Arial" w:eastAsia="宋体" w:cs="Arial"/>
          <w:b/>
          <w:bCs/>
          <w:color w:val="030303"/>
          <w:sz w:val="18"/>
          <w:szCs w:val="18"/>
        </w:rPr>
        <w:t xml:space="preserve">. Two-dimensional frequency plot of fixed SVs in cowpea genomes. </w:t>
      </w:r>
      <w:r>
        <w:rPr>
          <w:rFonts w:ascii="Arial" w:hAnsi="Arial" w:eastAsia="宋体" w:cs="Arial"/>
          <w:color w:val="030303"/>
          <w:sz w:val="18"/>
          <w:szCs w:val="18"/>
        </w:rPr>
        <w:t xml:space="preserve">Two-dimensional frequency plot displaying the allele frequencies of SVs across Vu and Vs populations, with each point representing a single SV. The dashed box in the upper-left corner (Vu frequency &gt; 0.8, Vs frequency &lt; 0.2) indicates SVs fixed in the Vu population, while the dashed box in the lower-right corner (Vs frequency &gt; 0.8, Vu frequency &lt; 0.2) indicates SVs fixed in the Vs population. Point colors represent </w:t>
      </w:r>
      <w:r>
        <w:rPr>
          <w:rFonts w:ascii="Arial" w:hAnsi="Arial" w:eastAsia="宋体" w:cs="Arial"/>
          <w:i/>
          <w:iCs/>
          <w:color w:val="030303"/>
          <w:sz w:val="18"/>
          <w:szCs w:val="18"/>
        </w:rPr>
        <w:t>P</w:t>
      </w:r>
      <w:r>
        <w:rPr>
          <w:rFonts w:ascii="Arial" w:hAnsi="Arial" w:eastAsia="宋体" w:cs="Arial"/>
          <w:color w:val="030303"/>
          <w:sz w:val="18"/>
          <w:szCs w:val="18"/>
        </w:rPr>
        <w:t xml:space="preserve">-adjusted values, calculated from </w:t>
      </w:r>
      <w:r>
        <w:rPr>
          <w:rFonts w:ascii="Arial" w:hAnsi="Arial" w:eastAsia="宋体" w:cs="Arial"/>
          <w:i/>
          <w:iCs/>
          <w:color w:val="030303"/>
          <w:sz w:val="18"/>
          <w:szCs w:val="18"/>
        </w:rPr>
        <w:t>P</w:t>
      </w:r>
      <w:r>
        <w:rPr>
          <w:rFonts w:ascii="Arial" w:hAnsi="Arial" w:eastAsia="宋体" w:cs="Arial"/>
          <w:color w:val="030303"/>
          <w:sz w:val="18"/>
          <w:szCs w:val="18"/>
        </w:rPr>
        <w:t>-values obtained by two-tailed Fisher’s exact test.</w:t>
      </w:r>
      <w:r>
        <w:rPr>
          <w:rFonts w:hint="eastAsia" w:ascii="Arial" w:hAnsi="Arial" w:eastAsia="宋体" w:cs="Arial"/>
          <w:color w:val="030303"/>
          <w:sz w:val="18"/>
          <w:szCs w:val="18"/>
        </w:rPr>
        <w:br w:type="page"/>
      </w:r>
    </w:p>
    <w:p w14:paraId="57C75FD6">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1135" cy="2522855"/>
            <wp:effectExtent l="0" t="0" r="5715" b="1270"/>
            <wp:docPr id="18" name="图片 18" descr="Fig.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S18"/>
                    <pic:cNvPicPr>
                      <a:picLocks noChangeAspect="1"/>
                    </pic:cNvPicPr>
                  </pic:nvPicPr>
                  <pic:blipFill>
                    <a:blip r:embed="rId22"/>
                    <a:stretch>
                      <a:fillRect/>
                    </a:stretch>
                  </pic:blipFill>
                  <pic:spPr>
                    <a:xfrm>
                      <a:off x="0" y="0"/>
                      <a:ext cx="5271135" cy="2522855"/>
                    </a:xfrm>
                    <a:prstGeom prst="rect">
                      <a:avLst/>
                    </a:prstGeom>
                  </pic:spPr>
                </pic:pic>
              </a:graphicData>
            </a:graphic>
          </wp:inline>
        </w:drawing>
      </w:r>
    </w:p>
    <w:p w14:paraId="15AF0A4F">
      <w:pPr>
        <w:rPr>
          <w:rFonts w:hint="eastAsia" w:ascii="Arial" w:hAnsi="Arial" w:eastAsia="宋体" w:cs="Arial"/>
          <w:color w:val="030303"/>
          <w:sz w:val="18"/>
          <w:szCs w:val="18"/>
        </w:rPr>
      </w:pPr>
      <w:r>
        <w:rPr>
          <w:rFonts w:ascii="Arial" w:hAnsi="Arial" w:eastAsia="宋体" w:cs="Arial"/>
          <w:b/>
          <w:bCs/>
          <w:color w:val="030303"/>
          <w:sz w:val="18"/>
          <w:szCs w:val="18"/>
        </w:rPr>
        <w:t>Supplementary Fig. 1</w:t>
      </w:r>
      <w:r>
        <w:rPr>
          <w:rFonts w:hint="eastAsia" w:ascii="Arial" w:hAnsi="Arial" w:eastAsia="宋体" w:cs="Arial"/>
          <w:b/>
          <w:bCs/>
          <w:color w:val="030303"/>
          <w:sz w:val="18"/>
          <w:szCs w:val="18"/>
        </w:rPr>
        <w:t>9</w:t>
      </w:r>
      <w:r>
        <w:rPr>
          <w:rFonts w:ascii="Arial" w:hAnsi="Arial" w:eastAsia="宋体" w:cs="Arial"/>
          <w:b/>
          <w:bCs/>
          <w:color w:val="030303"/>
          <w:sz w:val="18"/>
          <w:szCs w:val="18"/>
        </w:rPr>
        <w:t xml:space="preserve">. Quantile-quantile plot assessing the distribution of </w:t>
      </w:r>
      <w:r>
        <w:rPr>
          <w:rFonts w:ascii="Arial" w:hAnsi="Arial" w:eastAsia="宋体" w:cs="Arial"/>
          <w:b/>
          <w:bCs/>
          <w:i/>
          <w:iCs/>
          <w:color w:val="030303"/>
          <w:sz w:val="18"/>
          <w:szCs w:val="18"/>
        </w:rPr>
        <w:t>P</w:t>
      </w:r>
      <w:r>
        <w:rPr>
          <w:rFonts w:ascii="Arial" w:hAnsi="Arial" w:eastAsia="宋体" w:cs="Arial"/>
          <w:b/>
          <w:bCs/>
          <w:color w:val="030303"/>
          <w:sz w:val="18"/>
          <w:szCs w:val="18"/>
        </w:rPr>
        <w:t xml:space="preserve">-values for SVs in SV-based GWAS. a, </w:t>
      </w:r>
      <w:r>
        <w:rPr>
          <w:rFonts w:ascii="Arial" w:hAnsi="Arial" w:eastAsia="宋体" w:cs="Arial"/>
          <w:color w:val="030303"/>
          <w:sz w:val="18"/>
          <w:szCs w:val="18"/>
        </w:rPr>
        <w:t>QQ-plot for pod length SV-based GWAS.</w:t>
      </w:r>
      <w:r>
        <w:rPr>
          <w:rFonts w:ascii="Arial" w:hAnsi="Arial" w:eastAsia="宋体" w:cs="Arial"/>
          <w:b/>
          <w:bCs/>
          <w:color w:val="030303"/>
          <w:sz w:val="18"/>
          <w:szCs w:val="18"/>
        </w:rPr>
        <w:t xml:space="preserve"> b, </w:t>
      </w:r>
      <w:r>
        <w:rPr>
          <w:rFonts w:ascii="Arial" w:hAnsi="Arial" w:eastAsia="宋体" w:cs="Arial"/>
          <w:color w:val="030303"/>
          <w:sz w:val="18"/>
          <w:szCs w:val="18"/>
        </w:rPr>
        <w:t xml:space="preserve">QQ-plot for </w:t>
      </w:r>
      <w:r>
        <w:rPr>
          <w:rFonts w:hint="eastAsia" w:ascii="Arial" w:hAnsi="Arial" w:eastAsia="宋体" w:cs="Arial"/>
          <w:color w:val="030303"/>
          <w:sz w:val="18"/>
          <w:szCs w:val="18"/>
        </w:rPr>
        <w:t>seed</w:t>
      </w:r>
      <w:r>
        <w:rPr>
          <w:rFonts w:ascii="Arial" w:hAnsi="Arial" w:eastAsia="宋体" w:cs="Arial"/>
          <w:color w:val="030303"/>
          <w:sz w:val="18"/>
          <w:szCs w:val="18"/>
        </w:rPr>
        <w:t xml:space="preserve"> number per pod SV-based GWAS.</w:t>
      </w:r>
      <w:r>
        <w:rPr>
          <w:rFonts w:hint="eastAsia" w:ascii="Arial" w:hAnsi="Arial" w:eastAsia="宋体" w:cs="Arial"/>
          <w:color w:val="030303"/>
          <w:sz w:val="18"/>
          <w:szCs w:val="18"/>
        </w:rPr>
        <w:br w:type="page"/>
      </w:r>
    </w:p>
    <w:p w14:paraId="1E1CF476">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68595" cy="3693160"/>
            <wp:effectExtent l="0" t="0" r="8255" b="2540"/>
            <wp:docPr id="21" name="图片 21" descr="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ig.S20"/>
                    <pic:cNvPicPr>
                      <a:picLocks noChangeAspect="1"/>
                    </pic:cNvPicPr>
                  </pic:nvPicPr>
                  <pic:blipFill>
                    <a:blip r:embed="rId23"/>
                    <a:stretch>
                      <a:fillRect/>
                    </a:stretch>
                  </pic:blipFill>
                  <pic:spPr>
                    <a:xfrm>
                      <a:off x="0" y="0"/>
                      <a:ext cx="5268595" cy="3693160"/>
                    </a:xfrm>
                    <a:prstGeom prst="rect">
                      <a:avLst/>
                    </a:prstGeom>
                  </pic:spPr>
                </pic:pic>
              </a:graphicData>
            </a:graphic>
          </wp:inline>
        </w:drawing>
      </w:r>
    </w:p>
    <w:p w14:paraId="67FD8487">
      <w:pPr>
        <w:rPr>
          <w:rFonts w:hint="eastAsia" w:ascii="Arial" w:hAnsi="Arial" w:eastAsia="宋体" w:cs="Arial"/>
          <w:b/>
          <w:bCs/>
          <w:color w:val="030303"/>
          <w:sz w:val="18"/>
          <w:szCs w:val="18"/>
        </w:rPr>
      </w:pPr>
      <w:r>
        <w:rPr>
          <w:rFonts w:ascii="Arial" w:hAnsi="Arial" w:eastAsia="宋体" w:cs="Arial"/>
          <w:b/>
          <w:bCs/>
          <w:color w:val="030303"/>
          <w:sz w:val="18"/>
          <w:szCs w:val="18"/>
        </w:rPr>
        <w:t xml:space="preserve">Supplementary Fig. 20. Allele frequencies of significant SV loci for pod length trait in Vu and Vs populations. </w:t>
      </w:r>
      <w:r>
        <w:rPr>
          <w:rFonts w:ascii="Arial" w:hAnsi="Arial" w:eastAsia="宋体" w:cs="Arial"/>
          <w:color w:val="030303"/>
          <w:sz w:val="18"/>
          <w:szCs w:val="18"/>
        </w:rPr>
        <w:t>Blue represents the reference (REF) genotype, while green represents the alternative (ALT) genotype.</w:t>
      </w:r>
      <w:r>
        <w:rPr>
          <w:rFonts w:hint="eastAsia" w:ascii="Arial" w:hAnsi="Arial" w:eastAsia="宋体" w:cs="Arial"/>
          <w:b/>
          <w:bCs/>
          <w:color w:val="030303"/>
          <w:sz w:val="18"/>
          <w:szCs w:val="18"/>
        </w:rPr>
        <w:br w:type="page"/>
      </w:r>
    </w:p>
    <w:p w14:paraId="3A56B15B">
      <w:pPr>
        <w:rPr>
          <w:rFonts w:ascii="Arial" w:hAnsi="Arial" w:eastAsia="宋体" w:cs="Arial"/>
          <w:b/>
          <w:bCs/>
          <w:color w:val="030303"/>
          <w:sz w:val="18"/>
          <w:szCs w:val="18"/>
        </w:rPr>
      </w:pPr>
      <w:r>
        <w:rPr>
          <w:rFonts w:hint="eastAsia" w:ascii="Arial" w:hAnsi="Arial" w:eastAsia="宋体" w:cs="Arial"/>
          <w:b/>
          <w:bCs/>
          <w:color w:val="030303"/>
          <w:sz w:val="18"/>
          <w:szCs w:val="18"/>
        </w:rPr>
        <w:drawing>
          <wp:inline distT="0" distB="0" distL="114300" distR="114300">
            <wp:extent cx="5268595" cy="2996565"/>
            <wp:effectExtent l="0" t="0" r="8255" b="3810"/>
            <wp:docPr id="23" name="图片 23" descr="Fig.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S22"/>
                    <pic:cNvPicPr>
                      <a:picLocks noChangeAspect="1"/>
                    </pic:cNvPicPr>
                  </pic:nvPicPr>
                  <pic:blipFill>
                    <a:blip r:embed="rId24"/>
                    <a:stretch>
                      <a:fillRect/>
                    </a:stretch>
                  </pic:blipFill>
                  <pic:spPr>
                    <a:xfrm>
                      <a:off x="0" y="0"/>
                      <a:ext cx="5268595" cy="2996565"/>
                    </a:xfrm>
                    <a:prstGeom prst="rect">
                      <a:avLst/>
                    </a:prstGeom>
                  </pic:spPr>
                </pic:pic>
              </a:graphicData>
            </a:graphic>
          </wp:inline>
        </w:drawing>
      </w:r>
    </w:p>
    <w:p w14:paraId="7E6D659B">
      <w:pPr>
        <w:rPr>
          <w:rFonts w:hint="eastAsia" w:ascii="Arial" w:hAnsi="Arial" w:eastAsia="宋体" w:cs="Arial"/>
          <w:color w:val="030303"/>
          <w:sz w:val="18"/>
          <w:szCs w:val="18"/>
        </w:rPr>
      </w:pPr>
      <w:r>
        <w:rPr>
          <w:rFonts w:ascii="Arial" w:hAnsi="Arial" w:eastAsia="宋体" w:cs="Arial"/>
          <w:b/>
          <w:bCs/>
          <w:color w:val="030303"/>
          <w:sz w:val="18"/>
          <w:szCs w:val="18"/>
        </w:rPr>
        <w:t>Supplementary Fig. 2</w:t>
      </w:r>
      <w:r>
        <w:rPr>
          <w:rFonts w:hint="eastAsia" w:ascii="Arial" w:hAnsi="Arial" w:eastAsia="宋体" w:cs="Arial"/>
          <w:b/>
          <w:bCs/>
          <w:color w:val="030303"/>
          <w:sz w:val="18"/>
          <w:szCs w:val="18"/>
        </w:rPr>
        <w:t>1</w:t>
      </w:r>
      <w:r>
        <w:rPr>
          <w:rFonts w:ascii="Arial" w:hAnsi="Arial" w:eastAsia="宋体" w:cs="Arial"/>
          <w:b/>
          <w:bCs/>
          <w:color w:val="030303"/>
          <w:sz w:val="18"/>
          <w:szCs w:val="18"/>
        </w:rPr>
        <w:t xml:space="preserve">. Box plots show the effects of favorable allelic combinations for pod length. </w:t>
      </w:r>
      <w:r>
        <w:rPr>
          <w:rFonts w:ascii="Arial" w:hAnsi="Arial" w:eastAsia="宋体" w:cs="Arial"/>
          <w:color w:val="030303"/>
          <w:sz w:val="18"/>
          <w:szCs w:val="18"/>
        </w:rPr>
        <w:t>NONE indicates accessions carrying no favorable allele. The upper and lower edges of the boxes represent the 75% and 25% quartiles, the central line denotes the median, and the whiskers extend to 1.5 × IQR.</w:t>
      </w:r>
      <w:r>
        <w:rPr>
          <w:rFonts w:hint="eastAsia" w:ascii="Arial" w:hAnsi="Arial" w:eastAsia="宋体" w:cs="Arial"/>
          <w:color w:val="030303"/>
          <w:sz w:val="18"/>
          <w:szCs w:val="18"/>
        </w:rPr>
        <w:br w:type="page"/>
      </w:r>
    </w:p>
    <w:p w14:paraId="247F0752">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4310" cy="3566795"/>
            <wp:effectExtent l="0" t="0" r="2540" b="5080"/>
            <wp:docPr id="11" name="图片 11" descr="wak-com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ak-combin"/>
                    <pic:cNvPicPr>
                      <a:picLocks noChangeAspect="1"/>
                    </pic:cNvPicPr>
                  </pic:nvPicPr>
                  <pic:blipFill>
                    <a:blip r:embed="rId25"/>
                    <a:stretch>
                      <a:fillRect/>
                    </a:stretch>
                  </pic:blipFill>
                  <pic:spPr>
                    <a:xfrm>
                      <a:off x="0" y="0"/>
                      <a:ext cx="5274310" cy="3566795"/>
                    </a:xfrm>
                    <a:prstGeom prst="rect">
                      <a:avLst/>
                    </a:prstGeom>
                  </pic:spPr>
                </pic:pic>
              </a:graphicData>
            </a:graphic>
          </wp:inline>
        </w:drawing>
      </w:r>
    </w:p>
    <w:p w14:paraId="10404FCB">
      <w:pPr>
        <w:rPr>
          <w:rFonts w:hint="eastAsia" w:ascii="Arial" w:hAnsi="Arial" w:eastAsia="宋体" w:cs="Arial"/>
          <w:color w:val="030303"/>
          <w:sz w:val="18"/>
          <w:szCs w:val="18"/>
        </w:rPr>
      </w:pPr>
      <w:r>
        <w:rPr>
          <w:rFonts w:ascii="Arial" w:hAnsi="Arial" w:eastAsia="宋体" w:cs="Arial"/>
          <w:b/>
          <w:bCs/>
          <w:color w:val="030303"/>
          <w:sz w:val="18"/>
          <w:szCs w:val="18"/>
        </w:rPr>
        <w:t>Supplementary Fig. 2</w:t>
      </w:r>
      <w:r>
        <w:rPr>
          <w:rFonts w:hint="eastAsia" w:ascii="Arial" w:hAnsi="Arial" w:eastAsia="宋体" w:cs="Arial"/>
          <w:b/>
          <w:bCs/>
          <w:color w:val="030303"/>
          <w:sz w:val="18"/>
          <w:szCs w:val="18"/>
        </w:rPr>
        <w:t>2</w:t>
      </w:r>
      <w:r>
        <w:rPr>
          <w:rFonts w:ascii="Arial" w:hAnsi="Arial" w:eastAsia="宋体" w:cs="Arial"/>
          <w:b/>
          <w:bCs/>
          <w:color w:val="030303"/>
          <w:sz w:val="18"/>
          <w:szCs w:val="18"/>
        </w:rPr>
        <w:t>.</w:t>
      </w:r>
      <w:r>
        <w:rPr>
          <w:rFonts w:hint="eastAsia" w:ascii="Arial" w:hAnsi="Arial" w:eastAsia="宋体" w:cs="Arial"/>
          <w:b/>
          <w:bCs/>
          <w:color w:val="030303"/>
          <w:sz w:val="18"/>
          <w:szCs w:val="18"/>
        </w:rPr>
        <w:t xml:space="preserve"> </w:t>
      </w:r>
      <w:r>
        <w:rPr>
          <w:rFonts w:ascii="Arial" w:hAnsi="Arial" w:eastAsia="宋体" w:cs="Arial"/>
          <w:b/>
          <w:bCs/>
          <w:color w:val="030303"/>
          <w:sz w:val="18"/>
          <w:szCs w:val="18"/>
        </w:rPr>
        <w:t xml:space="preserve">Expression patterns of </w:t>
      </w:r>
      <w:r>
        <w:rPr>
          <w:rFonts w:ascii="Arial" w:hAnsi="Arial" w:eastAsia="宋体" w:cs="Arial"/>
          <w:b/>
          <w:bCs/>
          <w:i/>
          <w:iCs/>
          <w:color w:val="030303"/>
          <w:sz w:val="18"/>
          <w:szCs w:val="18"/>
        </w:rPr>
        <w:t>VuWAK-1</w:t>
      </w:r>
      <w:r>
        <w:rPr>
          <w:rFonts w:ascii="Arial" w:hAnsi="Arial" w:eastAsia="宋体" w:cs="Arial"/>
          <w:b/>
          <w:bCs/>
          <w:color w:val="030303"/>
          <w:sz w:val="18"/>
          <w:szCs w:val="18"/>
        </w:rPr>
        <w:t xml:space="preserve"> and </w:t>
      </w:r>
      <w:r>
        <w:rPr>
          <w:rFonts w:ascii="Arial" w:hAnsi="Arial" w:eastAsia="宋体" w:cs="Arial"/>
          <w:b/>
          <w:bCs/>
          <w:i/>
          <w:iCs/>
          <w:color w:val="030303"/>
          <w:sz w:val="18"/>
          <w:szCs w:val="18"/>
        </w:rPr>
        <w:t>VuWAK-2</w:t>
      </w:r>
      <w:r>
        <w:rPr>
          <w:rFonts w:ascii="Arial" w:hAnsi="Arial" w:eastAsia="宋体" w:cs="Arial"/>
          <w:b/>
          <w:bCs/>
          <w:color w:val="030303"/>
          <w:sz w:val="18"/>
          <w:szCs w:val="18"/>
        </w:rPr>
        <w:t xml:space="preserve"> genes in leaves, flower buds, seeds, and pods at different developmental stages </w:t>
      </w:r>
      <w:r>
        <w:rPr>
          <w:rFonts w:hint="eastAsia" w:ascii="Arial" w:hAnsi="Arial" w:eastAsia="宋体" w:cs="Arial"/>
          <w:b/>
          <w:bCs/>
          <w:color w:val="030303"/>
          <w:sz w:val="18"/>
          <w:szCs w:val="18"/>
        </w:rPr>
        <w:t>between</w:t>
      </w:r>
      <w:r>
        <w:rPr>
          <w:rFonts w:ascii="Arial" w:hAnsi="Arial" w:eastAsia="宋体" w:cs="Arial"/>
          <w:b/>
          <w:bCs/>
          <w:color w:val="030303"/>
          <w:sz w:val="18"/>
          <w:szCs w:val="18"/>
        </w:rPr>
        <w:t xml:space="preserve"> </w:t>
      </w:r>
      <w:r>
        <w:rPr>
          <w:rFonts w:hint="eastAsia" w:ascii="Arial" w:hAnsi="Arial" w:eastAsia="宋体" w:cs="Arial"/>
          <w:b/>
          <w:bCs/>
          <w:color w:val="030303"/>
          <w:sz w:val="18"/>
          <w:szCs w:val="18"/>
        </w:rPr>
        <w:t>two</w:t>
      </w:r>
      <w:r>
        <w:rPr>
          <w:rFonts w:ascii="Arial" w:hAnsi="Arial" w:eastAsia="宋体" w:cs="Arial"/>
          <w:b/>
          <w:bCs/>
          <w:color w:val="030303"/>
          <w:sz w:val="18"/>
          <w:szCs w:val="18"/>
        </w:rPr>
        <w:t xml:space="preserve"> genotypes.</w:t>
      </w:r>
      <w:r>
        <w:rPr>
          <w:rFonts w:hint="eastAsia" w:ascii="Arial" w:hAnsi="Arial" w:eastAsia="宋体" w:cs="Arial"/>
          <w:color w:val="030303"/>
          <w:sz w:val="18"/>
          <w:szCs w:val="18"/>
        </w:rPr>
        <w:t xml:space="preserve"> </w:t>
      </w:r>
      <w:r>
        <w:rPr>
          <w:rFonts w:hint="eastAsia" w:ascii="Arial" w:hAnsi="Arial" w:eastAsia="宋体" w:cs="Arial"/>
          <w:b/>
          <w:bCs/>
          <w:color w:val="030303"/>
          <w:sz w:val="18"/>
          <w:szCs w:val="18"/>
        </w:rPr>
        <w:t xml:space="preserve">a, </w:t>
      </w:r>
      <w:r>
        <w:rPr>
          <w:rFonts w:ascii="Arial" w:hAnsi="Arial" w:eastAsia="宋体" w:cs="Arial"/>
          <w:color w:val="030303"/>
          <w:sz w:val="18"/>
          <w:szCs w:val="18"/>
        </w:rPr>
        <w:t xml:space="preserve">Expression patterns of </w:t>
      </w:r>
      <w:r>
        <w:rPr>
          <w:rFonts w:ascii="Arial" w:hAnsi="Arial" w:eastAsia="宋体" w:cs="Arial"/>
          <w:i/>
          <w:iCs/>
          <w:color w:val="030303"/>
          <w:sz w:val="18"/>
          <w:szCs w:val="18"/>
        </w:rPr>
        <w:t>VuWAK-1</w:t>
      </w:r>
      <w:r>
        <w:rPr>
          <w:rFonts w:hint="eastAsia" w:ascii="Arial" w:hAnsi="Arial" w:eastAsia="宋体" w:cs="Arial"/>
          <w:color w:val="030303"/>
          <w:sz w:val="18"/>
          <w:szCs w:val="18"/>
        </w:rPr>
        <w:t xml:space="preserve">. </w:t>
      </w:r>
      <w:r>
        <w:rPr>
          <w:rFonts w:hint="eastAsia" w:ascii="Arial" w:hAnsi="Arial" w:eastAsia="宋体" w:cs="Arial"/>
          <w:b/>
          <w:bCs/>
          <w:color w:val="030303"/>
          <w:sz w:val="18"/>
          <w:szCs w:val="18"/>
        </w:rPr>
        <w:t>b,</w:t>
      </w:r>
      <w:r>
        <w:rPr>
          <w:rFonts w:hint="eastAsia" w:ascii="Arial" w:hAnsi="Arial" w:eastAsia="宋体" w:cs="Arial"/>
          <w:i/>
          <w:iCs/>
          <w:color w:val="030303"/>
          <w:sz w:val="18"/>
          <w:szCs w:val="18"/>
        </w:rPr>
        <w:t xml:space="preserve"> </w:t>
      </w:r>
      <w:r>
        <w:rPr>
          <w:rFonts w:ascii="Arial" w:hAnsi="Arial" w:eastAsia="宋体" w:cs="Arial"/>
          <w:color w:val="030303"/>
          <w:sz w:val="18"/>
          <w:szCs w:val="18"/>
        </w:rPr>
        <w:t xml:space="preserve">Expression patterns of </w:t>
      </w:r>
      <w:r>
        <w:rPr>
          <w:rFonts w:ascii="Arial" w:hAnsi="Arial" w:eastAsia="宋体" w:cs="Arial"/>
          <w:i/>
          <w:iCs/>
          <w:color w:val="030303"/>
          <w:sz w:val="18"/>
          <w:szCs w:val="18"/>
        </w:rPr>
        <w:t>VuWAK-</w:t>
      </w:r>
      <w:r>
        <w:rPr>
          <w:rFonts w:hint="eastAsia" w:ascii="Arial" w:hAnsi="Arial" w:eastAsia="宋体" w:cs="Arial"/>
          <w:i/>
          <w:iCs/>
          <w:color w:val="030303"/>
          <w:sz w:val="18"/>
          <w:szCs w:val="18"/>
        </w:rPr>
        <w:t xml:space="preserve">2. </w:t>
      </w:r>
      <w:r>
        <w:rPr>
          <w:rFonts w:hint="eastAsia" w:ascii="Arial" w:hAnsi="Arial" w:eastAsia="宋体" w:cs="Arial"/>
          <w:color w:val="030303"/>
          <w:sz w:val="18"/>
          <w:szCs w:val="18"/>
        </w:rPr>
        <w:br w:type="page"/>
      </w:r>
    </w:p>
    <w:p w14:paraId="0BF0FAE8">
      <w:pPr>
        <w:rPr>
          <w:rFonts w:ascii="Arial" w:hAnsi="Arial" w:eastAsia="宋体" w:cs="Arial"/>
          <w:color w:val="030303"/>
          <w:sz w:val="18"/>
          <w:szCs w:val="18"/>
        </w:rPr>
      </w:pPr>
      <w:r>
        <w:rPr>
          <w:rFonts w:hint="eastAsia" w:ascii="Arial" w:hAnsi="Arial" w:eastAsia="宋体" w:cs="Arial"/>
          <w:color w:val="030303"/>
          <w:sz w:val="18"/>
          <w:szCs w:val="18"/>
        </w:rPr>
        <w:drawing>
          <wp:inline distT="0" distB="0" distL="114300" distR="114300">
            <wp:extent cx="5273675" cy="2969895"/>
            <wp:effectExtent l="0" t="0" r="3175" b="1905"/>
            <wp:docPr id="24" name="图片 24" descr="Fig.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S23"/>
                    <pic:cNvPicPr>
                      <a:picLocks noChangeAspect="1"/>
                    </pic:cNvPicPr>
                  </pic:nvPicPr>
                  <pic:blipFill>
                    <a:blip r:embed="rId26"/>
                    <a:stretch>
                      <a:fillRect/>
                    </a:stretch>
                  </pic:blipFill>
                  <pic:spPr>
                    <a:xfrm>
                      <a:off x="0" y="0"/>
                      <a:ext cx="5273675" cy="2969895"/>
                    </a:xfrm>
                    <a:prstGeom prst="rect">
                      <a:avLst/>
                    </a:prstGeom>
                  </pic:spPr>
                </pic:pic>
              </a:graphicData>
            </a:graphic>
          </wp:inline>
        </w:drawing>
      </w:r>
    </w:p>
    <w:p w14:paraId="1743CC80">
      <w:pPr>
        <w:pStyle w:val="3"/>
        <w:widowControl/>
        <w:spacing w:before="240" w:beforeAutospacing="0" w:after="240" w:afterAutospacing="0" w:line="10" w:lineRule="atLeast"/>
        <w:rPr>
          <w:rFonts w:hint="eastAsia" w:ascii="Arial" w:hAnsi="Arial" w:eastAsia="宋体" w:cs="Arial"/>
          <w:color w:val="030303"/>
          <w:sz w:val="18"/>
          <w:szCs w:val="18"/>
        </w:rPr>
      </w:pPr>
      <w:r>
        <w:rPr>
          <w:rFonts w:ascii="Arial" w:hAnsi="Arial" w:cs="Arial"/>
          <w:b/>
          <w:bCs/>
          <w:color w:val="030303"/>
          <w:sz w:val="18"/>
          <w:szCs w:val="18"/>
        </w:rPr>
        <w:t xml:space="preserve">Supplementary Fig. 23. Comparison of pod length between Vu and Vs populations. a, </w:t>
      </w:r>
      <w:r>
        <w:rPr>
          <w:rFonts w:ascii="Arial" w:hAnsi="Arial" w:cs="Arial"/>
          <w:color w:val="030303"/>
          <w:sz w:val="18"/>
          <w:szCs w:val="18"/>
        </w:rPr>
        <w:t>Comparison of pod length between Vu and Vs populations grown in Guangzhou</w:t>
      </w:r>
      <w:r>
        <w:rPr>
          <w:rFonts w:ascii="Arial" w:hAnsi="Arial" w:cs="Arial"/>
          <w:b/>
          <w:bCs/>
          <w:color w:val="030303"/>
          <w:sz w:val="18"/>
          <w:szCs w:val="18"/>
        </w:rPr>
        <w:t xml:space="preserve">. b, </w:t>
      </w:r>
      <w:r>
        <w:rPr>
          <w:rFonts w:ascii="Arial" w:hAnsi="Arial" w:cs="Arial"/>
          <w:color w:val="030303"/>
          <w:sz w:val="18"/>
          <w:szCs w:val="18"/>
        </w:rPr>
        <w:t xml:space="preserve">Comparison of pod length between Vu and Vs populations grown in Hangzhou. </w:t>
      </w:r>
      <w:r>
        <w:rPr>
          <w:rFonts w:ascii="Arial" w:hAnsi="Arial" w:cs="Arial"/>
          <w:color w:val="000000"/>
          <w:sz w:val="18"/>
          <w:szCs w:val="18"/>
        </w:rPr>
        <w:t>In box plots, boxes span the 25</w:t>
      </w:r>
      <w:r>
        <w:rPr>
          <w:rFonts w:ascii="Arial" w:hAnsi="Arial" w:cs="Arial"/>
          <w:color w:val="000000"/>
          <w:sz w:val="18"/>
          <w:szCs w:val="18"/>
          <w:vertAlign w:val="superscript"/>
        </w:rPr>
        <w:t>th</w:t>
      </w:r>
      <w:r>
        <w:rPr>
          <w:rFonts w:ascii="Arial" w:hAnsi="Arial" w:cs="Arial"/>
          <w:color w:val="000000"/>
          <w:sz w:val="18"/>
          <w:szCs w:val="18"/>
        </w:rPr>
        <w:t xml:space="preserve"> to 75</w:t>
      </w:r>
      <w:r>
        <w:rPr>
          <w:rFonts w:ascii="Arial" w:hAnsi="Arial" w:cs="Arial"/>
          <w:color w:val="000000"/>
          <w:sz w:val="18"/>
          <w:szCs w:val="18"/>
          <w:vertAlign w:val="superscript"/>
        </w:rPr>
        <w:t>th</w:t>
      </w:r>
      <w:r>
        <w:rPr>
          <w:rFonts w:ascii="Arial" w:hAnsi="Arial" w:cs="Arial"/>
          <w:color w:val="000000"/>
          <w:sz w:val="18"/>
          <w:szCs w:val="18"/>
        </w:rPr>
        <w:t xml:space="preserve"> percentiles, with central lines at the median and whiskers extending to 1.5× the interquartile range. Statistical significance was determined using a two-sided Wilcoxon test.</w:t>
      </w:r>
      <w:r>
        <w:rPr>
          <w:rFonts w:hint="eastAsia" w:ascii="Arial" w:hAnsi="Arial" w:eastAsia="宋体" w:cs="Arial"/>
          <w:color w:val="030303"/>
          <w:sz w:val="18"/>
          <w:szCs w:val="18"/>
        </w:rPr>
        <w:br w:type="page"/>
      </w:r>
    </w:p>
    <w:p w14:paraId="29F224DB">
      <w:pPr>
        <w:rPr>
          <w:rFonts w:ascii="Arial" w:hAnsi="Arial" w:eastAsia="宋体" w:cs="Arial"/>
          <w:color w:val="030303"/>
          <w:sz w:val="18"/>
          <w:szCs w:val="18"/>
        </w:rPr>
      </w:pPr>
      <w:r>
        <w:rPr>
          <w:rFonts w:hint="eastAsia" w:ascii="Arial" w:hAnsi="Arial" w:eastAsia="宋体" w:cs="Arial"/>
          <w:color w:val="030303"/>
          <w:sz w:val="18"/>
          <w:szCs w:val="18"/>
        </w:rPr>
        <w:t xml:space="preserve">            </w:t>
      </w:r>
      <w:r>
        <w:rPr>
          <w:rFonts w:hint="eastAsia" w:ascii="Arial" w:hAnsi="Arial" w:eastAsia="宋体" w:cs="Arial"/>
          <w:color w:val="030303"/>
          <w:sz w:val="18"/>
          <w:szCs w:val="18"/>
        </w:rPr>
        <w:drawing>
          <wp:inline distT="0" distB="0" distL="114300" distR="114300">
            <wp:extent cx="3870960" cy="2426335"/>
            <wp:effectExtent l="0" t="0" r="5715" b="2540"/>
            <wp:docPr id="20" name="图片 20" descr="Fig.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ig.S25"/>
                    <pic:cNvPicPr>
                      <a:picLocks noChangeAspect="1"/>
                    </pic:cNvPicPr>
                  </pic:nvPicPr>
                  <pic:blipFill>
                    <a:blip r:embed="rId27"/>
                    <a:stretch>
                      <a:fillRect/>
                    </a:stretch>
                  </pic:blipFill>
                  <pic:spPr>
                    <a:xfrm>
                      <a:off x="0" y="0"/>
                      <a:ext cx="3870960" cy="2426335"/>
                    </a:xfrm>
                    <a:prstGeom prst="rect">
                      <a:avLst/>
                    </a:prstGeom>
                  </pic:spPr>
                </pic:pic>
              </a:graphicData>
            </a:graphic>
          </wp:inline>
        </w:drawing>
      </w:r>
    </w:p>
    <w:p w14:paraId="48CAF400">
      <w:pPr>
        <w:rPr>
          <w:rFonts w:ascii="Arial" w:hAnsi="Arial" w:eastAsia="宋体" w:cs="Arial"/>
          <w:color w:val="000000"/>
          <w:sz w:val="18"/>
          <w:szCs w:val="18"/>
          <w:shd w:val="clear" w:color="auto" w:fill="FFFFFF"/>
        </w:rPr>
      </w:pPr>
      <w:r>
        <w:rPr>
          <w:rFonts w:ascii="Arial" w:hAnsi="Arial" w:eastAsia="宋体" w:cs="Arial"/>
          <w:b/>
          <w:bCs/>
          <w:color w:val="030303"/>
          <w:sz w:val="18"/>
          <w:szCs w:val="18"/>
        </w:rPr>
        <w:t>Supplementary Fig. 2</w:t>
      </w:r>
      <w:r>
        <w:rPr>
          <w:rFonts w:hint="eastAsia" w:ascii="Arial" w:hAnsi="Arial" w:eastAsia="宋体" w:cs="Arial"/>
          <w:b/>
          <w:bCs/>
          <w:color w:val="030303"/>
          <w:sz w:val="18"/>
          <w:szCs w:val="18"/>
        </w:rPr>
        <w:t>4</w:t>
      </w:r>
      <w:r>
        <w:rPr>
          <w:rFonts w:ascii="Arial" w:hAnsi="Arial" w:eastAsia="宋体" w:cs="Arial"/>
          <w:b/>
          <w:bCs/>
          <w:color w:val="030303"/>
          <w:sz w:val="18"/>
          <w:szCs w:val="18"/>
        </w:rPr>
        <w:t xml:space="preserve">. </w:t>
      </w:r>
      <w:r>
        <w:rPr>
          <w:rFonts w:ascii="Arial" w:hAnsi="Arial" w:eastAsia="宋体" w:cs="Arial"/>
          <w:b/>
          <w:bCs/>
          <w:color w:val="000000"/>
          <w:sz w:val="18"/>
          <w:szCs w:val="18"/>
        </w:rPr>
        <w:t xml:space="preserve">Phylogenetic tree of PPR proteins. </w:t>
      </w:r>
      <w:r>
        <w:rPr>
          <w:rFonts w:ascii="Arial" w:hAnsi="Arial" w:eastAsia="Georgia" w:cs="Arial"/>
          <w:color w:val="333333"/>
          <w:sz w:val="18"/>
          <w:szCs w:val="18"/>
          <w:shd w:val="clear" w:color="auto" w:fill="FFFFFF"/>
        </w:rPr>
        <w:t xml:space="preserve">The neighbor-joining phylogenetic tree was generated using </w:t>
      </w:r>
      <w:r>
        <w:rPr>
          <w:rFonts w:ascii="Arial" w:hAnsi="Arial" w:eastAsia="宋体" w:cs="Arial"/>
          <w:color w:val="333333"/>
          <w:sz w:val="18"/>
          <w:szCs w:val="18"/>
          <w:shd w:val="clear" w:color="auto" w:fill="FFFFFF"/>
        </w:rPr>
        <w:t>PPR</w:t>
      </w:r>
      <w:r>
        <w:rPr>
          <w:rFonts w:ascii="Arial" w:hAnsi="Arial" w:eastAsia="Georgia" w:cs="Arial"/>
          <w:color w:val="333333"/>
          <w:sz w:val="18"/>
          <w:szCs w:val="18"/>
          <w:shd w:val="clear" w:color="auto" w:fill="FFFFFF"/>
        </w:rPr>
        <w:t xml:space="preserve"> protein sequences from </w:t>
      </w:r>
      <w:r>
        <w:rPr>
          <w:rFonts w:ascii="Arial" w:hAnsi="Arial" w:eastAsia="宋体" w:cs="Arial"/>
          <w:i/>
          <w:iCs/>
          <w:color w:val="000000"/>
          <w:sz w:val="18"/>
          <w:szCs w:val="18"/>
          <w:shd w:val="clear" w:color="auto" w:fill="FFFFFF"/>
        </w:rPr>
        <w:t xml:space="preserve">Arabidopsis thaliana </w:t>
      </w:r>
      <w:r>
        <w:rPr>
          <w:rFonts w:ascii="Arial" w:hAnsi="Arial" w:eastAsia="宋体" w:cs="Arial"/>
          <w:color w:val="000000"/>
          <w:sz w:val="18"/>
          <w:szCs w:val="18"/>
          <w:shd w:val="clear" w:color="auto" w:fill="FFFFFF"/>
        </w:rPr>
        <w:t>(At)</w:t>
      </w:r>
      <w:r>
        <w:rPr>
          <w:rFonts w:ascii="Arial" w:hAnsi="Arial" w:eastAsia="宋体" w:cs="Arial"/>
          <w:i/>
          <w:iCs/>
          <w:color w:val="000000"/>
          <w:sz w:val="18"/>
          <w:szCs w:val="18"/>
          <w:shd w:val="clear" w:color="auto" w:fill="FFFFFF"/>
        </w:rPr>
        <w:t xml:space="preserve">, Oryza sativa </w:t>
      </w:r>
      <w:r>
        <w:rPr>
          <w:rFonts w:ascii="Arial" w:hAnsi="Arial" w:eastAsia="宋体" w:cs="Arial"/>
          <w:color w:val="000000"/>
          <w:sz w:val="18"/>
          <w:szCs w:val="18"/>
          <w:shd w:val="clear" w:color="auto" w:fill="FFFFFF"/>
        </w:rPr>
        <w:t>(Os),</w:t>
      </w:r>
      <w:r>
        <w:rPr>
          <w:rFonts w:ascii="Arial" w:hAnsi="Arial" w:eastAsia="宋体" w:cs="Arial"/>
          <w:i/>
          <w:iCs/>
          <w:color w:val="000000"/>
          <w:sz w:val="18"/>
          <w:szCs w:val="18"/>
          <w:shd w:val="clear" w:color="auto" w:fill="FFFFFF"/>
        </w:rPr>
        <w:t xml:space="preserve"> </w:t>
      </w:r>
      <w:r>
        <w:rPr>
          <w:rFonts w:ascii="Arial" w:hAnsi="Arial" w:eastAsia="宋体" w:cs="Arial"/>
          <w:i/>
          <w:iCs/>
          <w:color w:val="474747"/>
          <w:sz w:val="18"/>
          <w:szCs w:val="18"/>
          <w:shd w:val="clear" w:color="auto" w:fill="FFFFFF"/>
        </w:rPr>
        <w:t>Vigna unguiculata</w:t>
      </w:r>
      <w:r>
        <w:rPr>
          <w:rFonts w:ascii="Arial" w:hAnsi="Arial" w:eastAsia="宋体" w:cs="Arial"/>
          <w:color w:val="474747"/>
          <w:sz w:val="18"/>
          <w:szCs w:val="18"/>
          <w:shd w:val="clear" w:color="auto" w:fill="FFFFFF"/>
        </w:rPr>
        <w:t xml:space="preserve"> (Vu) and </w:t>
      </w:r>
      <w:r>
        <w:rPr>
          <w:rFonts w:ascii="Arial" w:hAnsi="Arial" w:eastAsia="宋体" w:cs="Arial"/>
          <w:i/>
          <w:iCs/>
          <w:color w:val="000000"/>
          <w:sz w:val="18"/>
          <w:szCs w:val="18"/>
          <w:shd w:val="clear" w:color="auto" w:fill="FFFFFF"/>
        </w:rPr>
        <w:t xml:space="preserve">Zea mays </w:t>
      </w:r>
      <w:r>
        <w:rPr>
          <w:rFonts w:ascii="Arial" w:hAnsi="Arial" w:eastAsia="宋体" w:cs="Arial"/>
          <w:color w:val="000000"/>
          <w:sz w:val="18"/>
          <w:szCs w:val="18"/>
          <w:shd w:val="clear" w:color="auto" w:fill="FFFFFF"/>
        </w:rPr>
        <w:t>(Zm).</w:t>
      </w:r>
      <w:bookmarkStart w:id="0" w:name="_GoBack"/>
      <w:bookmarkEnd w:id="0"/>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6CB"/>
    <w:rsid w:val="000E0417"/>
    <w:rsid w:val="0010005E"/>
    <w:rsid w:val="001826CB"/>
    <w:rsid w:val="054933A7"/>
    <w:rsid w:val="05706B86"/>
    <w:rsid w:val="0FFF1232"/>
    <w:rsid w:val="157E7416"/>
    <w:rsid w:val="16740020"/>
    <w:rsid w:val="18371EB1"/>
    <w:rsid w:val="1CF859BF"/>
    <w:rsid w:val="1D6628F1"/>
    <w:rsid w:val="21D20555"/>
    <w:rsid w:val="23072480"/>
    <w:rsid w:val="28E04120"/>
    <w:rsid w:val="29AF026C"/>
    <w:rsid w:val="2D870B72"/>
    <w:rsid w:val="319A665C"/>
    <w:rsid w:val="335A0C2E"/>
    <w:rsid w:val="3E962E4E"/>
    <w:rsid w:val="45953E86"/>
    <w:rsid w:val="479204BF"/>
    <w:rsid w:val="47A03554"/>
    <w:rsid w:val="4AEC627C"/>
    <w:rsid w:val="4DFC4A28"/>
    <w:rsid w:val="593C3F2A"/>
    <w:rsid w:val="59FE5684"/>
    <w:rsid w:val="5B811B33"/>
    <w:rsid w:val="5CA4525C"/>
    <w:rsid w:val="6037369D"/>
    <w:rsid w:val="6253342D"/>
    <w:rsid w:val="64B61035"/>
    <w:rsid w:val="674F751F"/>
    <w:rsid w:val="683F5F88"/>
    <w:rsid w:val="6A4915B9"/>
    <w:rsid w:val="6B33571C"/>
    <w:rsid w:val="6B5F6D11"/>
    <w:rsid w:val="6D97577B"/>
    <w:rsid w:val="734E3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uiPriority w:val="0"/>
    <w:rPr>
      <w:sz w:val="20"/>
      <w:szCs w:val="20"/>
    </w:rPr>
  </w:style>
  <w:style w:type="paragraph" w:styleId="3">
    <w:name w:val="Normal (Web)"/>
    <w:basedOn w:val="1"/>
    <w:qFormat/>
    <w:uiPriority w:val="0"/>
    <w:pPr>
      <w:spacing w:beforeAutospacing="1" w:afterAutospacing="1"/>
      <w:jc w:val="left"/>
    </w:pPr>
    <w:rPr>
      <w:rFonts w:cs="Times New Roman"/>
      <w:kern w:val="0"/>
      <w:sz w:val="24"/>
    </w:rPr>
  </w:style>
  <w:style w:type="paragraph" w:styleId="4">
    <w:name w:val="annotation subject"/>
    <w:basedOn w:val="2"/>
    <w:next w:val="2"/>
    <w:link w:val="11"/>
    <w:uiPriority w:val="0"/>
    <w:rPr>
      <w:b/>
      <w:bCs/>
    </w:r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styleId="9">
    <w:name w:val="annotation reference"/>
    <w:basedOn w:val="6"/>
    <w:uiPriority w:val="0"/>
    <w:rPr>
      <w:sz w:val="16"/>
      <w:szCs w:val="16"/>
    </w:rPr>
  </w:style>
  <w:style w:type="character" w:customStyle="1" w:styleId="10">
    <w:name w:val="Comment Text Char"/>
    <w:basedOn w:val="6"/>
    <w:link w:val="2"/>
    <w:uiPriority w:val="0"/>
    <w:rPr>
      <w:rFonts w:asciiTheme="minorHAnsi" w:hAnsiTheme="minorHAnsi" w:eastAsiaTheme="minorEastAsia" w:cstheme="minorBidi"/>
      <w:kern w:val="2"/>
      <w:lang w:val="en-US" w:eastAsia="zh-CN"/>
    </w:rPr>
  </w:style>
  <w:style w:type="character" w:customStyle="1" w:styleId="11">
    <w:name w:val="Comment Subject Char"/>
    <w:basedOn w:val="10"/>
    <w:link w:val="4"/>
    <w:qFormat/>
    <w:uiPriority w:val="0"/>
    <w:rPr>
      <w:rFonts w:asciiTheme="minorHAnsi" w:hAnsiTheme="minorHAnsi" w:eastAsiaTheme="minorEastAsia" w:cstheme="minorBidi"/>
      <w:b/>
      <w:bCs/>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The University of Queensland</Company>
  <Pages>24</Pages>
  <Words>1286</Words>
  <Characters>7391</Characters>
  <Lines>64</Lines>
  <Paragraphs>18</Paragraphs>
  <TotalTime>5</TotalTime>
  <ScaleCrop>false</ScaleCrop>
  <LinksUpToDate>false</LinksUpToDate>
  <CharactersWithSpaces>8733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2025-07-25T08:23:00Z</dcterms:created>
  <dc:creator>Sun Shichao</dc:creator>
  <cp:lastModifiedBy>Shichao Sun</cp:lastModifiedBy>
  <dcterms:modified xsi:type="dcterms:W3CDTF">2025-09-11T11:30:25Z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eyJoZGlkIjoiYTViZGY2YjQ4OTFiMzkwNjFkYjZmNzMyZDkxYjQ4N2UiLCJ1c2VySWQiOiI5Mzc1MzMyMTkifQ==</vt:lpwstr>
  </property>
  <property fmtid="{D5CDD505-2E9C-101B-9397-08002B2CF9AE}" pid="4" name="ICV">
    <vt:lpwstr>305E1C0A74694D84A8AB20183C1F6302_12</vt:lpwstr>
  </property>
  <property fmtid="{D5CDD505-2E9C-101B-9397-08002B2CF9AE}" pid="5" name="MSIP_Label_0f488380-630a-4f55-a077-a19445e3f360_Enabled">
    <vt:lpwstr>true</vt:lpwstr>
  </property>
  <property fmtid="{D5CDD505-2E9C-101B-9397-08002B2CF9AE}" pid="6" name="MSIP_Label_0f488380-630a-4f55-a077-a19445e3f360_SetDate">
    <vt:lpwstr>2025-09-03T07:25:58Z</vt:lpwstr>
  </property>
  <property fmtid="{D5CDD505-2E9C-101B-9397-08002B2CF9AE}" pid="7" name="MSIP_Label_0f488380-630a-4f55-a077-a19445e3f360_Method">
    <vt:lpwstr>Standard</vt:lpwstr>
  </property>
  <property fmtid="{D5CDD505-2E9C-101B-9397-08002B2CF9AE}" pid="8" name="MSIP_Label_0f488380-630a-4f55-a077-a19445e3f360_Name">
    <vt:lpwstr>OFFICIAL - INTERNAL</vt:lpwstr>
  </property>
  <property fmtid="{D5CDD505-2E9C-101B-9397-08002B2CF9AE}" pid="9" name="MSIP_Label_0f488380-630a-4f55-a077-a19445e3f360_SiteId">
    <vt:lpwstr>b6e377cf-9db3-46cb-91a2-fad9605bb15c</vt:lpwstr>
  </property>
  <property fmtid="{D5CDD505-2E9C-101B-9397-08002B2CF9AE}" pid="10" name="MSIP_Label_0f488380-630a-4f55-a077-a19445e3f360_ActionId">
    <vt:lpwstr>c875fba9-d710-4151-9bdc-b7c97e72a0ff</vt:lpwstr>
  </property>
  <property fmtid="{D5CDD505-2E9C-101B-9397-08002B2CF9AE}" pid="11" name="MSIP_Label_0f488380-630a-4f55-a077-a19445e3f360_ContentBits">
    <vt:lpwstr>0</vt:lpwstr>
  </property>
  <property fmtid="{D5CDD505-2E9C-101B-9397-08002B2CF9AE}" pid="12" name="MSIP_Label_0f488380-630a-4f55-a077-a19445e3f360_Tag">
    <vt:lpwstr>10, 3, 0, 1</vt:lpwstr>
  </property>
</Properties>
</file>