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AED533" w14:textId="77777777" w:rsidR="00E026B2" w:rsidRPr="00E026B2" w:rsidRDefault="00E026B2" w:rsidP="00E026B2">
      <w:pPr>
        <w:spacing w:line="480" w:lineRule="auto"/>
        <w:ind w:firstLineChars="200" w:firstLine="480"/>
        <w:rPr>
          <w:rFonts w:ascii="Times New Roman" w:eastAsia="宋体" w:hAnsi="Times New Roman" w:cs="Times New Roman"/>
          <w:sz w:val="24"/>
        </w:rPr>
      </w:pPr>
      <w:r w:rsidRPr="00E026B2">
        <w:rPr>
          <w:rFonts w:ascii="Times New Roman" w:eastAsia="宋体" w:hAnsi="Times New Roman" w:cs="Times New Roman"/>
          <w:sz w:val="24"/>
        </w:rPr>
        <w:t>The following content is supplementary material to the main text, primarily covering the model selection process in machine learning.</w:t>
      </w:r>
    </w:p>
    <w:p w14:paraId="1717272A" w14:textId="77777777" w:rsidR="00E026B2" w:rsidRPr="00E026B2" w:rsidRDefault="00E026B2">
      <w:pPr>
        <w:spacing w:line="480" w:lineRule="auto"/>
        <w:ind w:firstLineChars="200" w:firstLine="480"/>
        <w:rPr>
          <w:rFonts w:ascii="Times New Roman" w:eastAsia="宋体" w:hAnsi="Times New Roman" w:cs="Times New Roman"/>
          <w:sz w:val="24"/>
          <w:lang w:bidi="ar"/>
        </w:rPr>
      </w:pPr>
    </w:p>
    <w:p w14:paraId="18311B33" w14:textId="34C57B47" w:rsidR="00A65854" w:rsidRDefault="00000000">
      <w:pPr>
        <w:spacing w:line="480" w:lineRule="auto"/>
        <w:ind w:firstLineChars="200" w:firstLine="480"/>
        <w:rPr>
          <w:rFonts w:ascii="Times New Roman" w:eastAsia="宋体" w:hAnsi="Times New Roman" w:cs="Times New Roman"/>
          <w:sz w:val="24"/>
        </w:rPr>
      </w:pPr>
      <w:r>
        <w:rPr>
          <w:rFonts w:ascii="Times New Roman" w:eastAsia="宋体" w:hAnsi="Times New Roman" w:cs="Times New Roman" w:hint="eastAsia"/>
          <w:sz w:val="24"/>
          <w:lang w:bidi="ar"/>
        </w:rPr>
        <w:t xml:space="preserve">The ATE and CATE formula are as follows: </w:t>
      </w:r>
    </w:p>
    <w:p w14:paraId="2EED2DBF" w14:textId="77777777" w:rsidR="00A65854" w:rsidRDefault="00000000">
      <w:pPr>
        <w:widowControl/>
        <w:spacing w:line="480" w:lineRule="auto"/>
        <w:ind w:leftChars="400" w:left="840" w:firstLineChars="400" w:firstLine="960"/>
        <w:jc w:val="left"/>
        <w:rPr>
          <w:rFonts w:ascii="Cambria Math" w:eastAsia="KaTeX_Math" w:hAnsi="Cambria Math" w:cs="Times New Roman"/>
          <w:kern w:val="0"/>
          <w:sz w:val="24"/>
          <w:oMath/>
        </w:rPr>
      </w:pPr>
      <m:oMathPara>
        <m:oMathParaPr>
          <m:jc m:val="left"/>
        </m:oMathParaPr>
        <m:oMath>
          <m:r>
            <w:rPr>
              <w:rFonts w:ascii="Cambria Math" w:eastAsia="KaTeX_Math" w:hAnsi="Cambria Math" w:cs="Times New Roman"/>
              <w:kern w:val="0"/>
              <w:sz w:val="24"/>
              <w:lang w:bidi="ar"/>
            </w:rPr>
            <m:t>ATE=E[Y(1)-Y(0)]</m:t>
          </m:r>
        </m:oMath>
      </m:oMathPara>
    </w:p>
    <w:p w14:paraId="5C00D765" w14:textId="77777777" w:rsidR="00A65854" w:rsidRDefault="00000000">
      <w:pPr>
        <w:widowControl/>
        <w:spacing w:line="480" w:lineRule="auto"/>
        <w:ind w:leftChars="400" w:left="840" w:firstLineChars="400" w:firstLine="960"/>
        <w:jc w:val="left"/>
        <w:rPr>
          <w:rFonts w:ascii="Cambria Math" w:eastAsia="KaTeX_Math" w:hAnsi="Cambria Math" w:cs="Times New Roman"/>
          <w:kern w:val="0"/>
          <w:sz w:val="24"/>
          <w:oMath/>
        </w:rPr>
      </w:pPr>
      <m:oMathPara>
        <m:oMathParaPr>
          <m:jc m:val="left"/>
        </m:oMathParaPr>
        <m:oMath>
          <m:r>
            <w:rPr>
              <w:rFonts w:ascii="Cambria Math" w:eastAsia="KaTeX_Math" w:hAnsi="Cambria Math" w:cs="Times New Roman"/>
              <w:kern w:val="0"/>
              <w:sz w:val="24"/>
              <w:lang w:bidi="ar"/>
            </w:rPr>
            <m:t>CATE(X)=E[Y(1)-Y(0)∣X]</m:t>
          </m:r>
        </m:oMath>
      </m:oMathPara>
    </w:p>
    <w:p w14:paraId="275423D2" w14:textId="77777777" w:rsidR="00A65854" w:rsidRDefault="00000000">
      <w:pPr>
        <w:spacing w:line="480" w:lineRule="auto"/>
        <w:ind w:firstLineChars="200" w:firstLine="480"/>
        <w:rPr>
          <w:rFonts w:ascii="Cambria Math" w:eastAsia="宋体" w:hAnsi="Cambria Math" w:cs="宋体"/>
          <w:sz w:val="24"/>
          <w:oMath/>
        </w:rPr>
      </w:pPr>
      <m:oMathPara>
        <m:oMath>
          <m:r>
            <w:rPr>
              <w:rFonts w:ascii="Cambria Math" w:eastAsia="宋体" w:hAnsi="Cambria Math" w:cs="宋体" w:hint="eastAsia"/>
              <w:sz w:val="24"/>
              <w:lang w:bidi="ar"/>
            </w:rPr>
            <m:t xml:space="preserve"> </m:t>
          </m:r>
        </m:oMath>
      </m:oMathPara>
    </w:p>
    <w:p w14:paraId="61EEF8DE" w14:textId="77777777" w:rsidR="00A65854" w:rsidRDefault="00000000">
      <w:pPr>
        <w:spacing w:line="480" w:lineRule="auto"/>
        <w:ind w:firstLineChars="200" w:firstLine="480"/>
        <w:rPr>
          <w:rFonts w:ascii="Times New Roman" w:eastAsia="宋体" w:hAnsi="Times New Roman" w:cs="Times New Roman"/>
          <w:sz w:val="24"/>
        </w:rPr>
      </w:pPr>
      <w:r>
        <w:rPr>
          <w:rFonts w:ascii="Times New Roman" w:eastAsia="宋体" w:hAnsi="Times New Roman" w:cs="Times New Roman"/>
          <w:sz w:val="24"/>
        </w:rPr>
        <w:t>Here,</w:t>
      </w:r>
      <w:r>
        <w:rPr>
          <w:rFonts w:ascii="Times New Roman" w:eastAsia="宋体" w:hAnsi="Times New Roman" w:cs="Times New Roman" w:hint="eastAsia"/>
          <w:sz w:val="24"/>
        </w:rPr>
        <w:t xml:space="preserve"> </w:t>
      </w:r>
      <w:proofErr w:type="gramStart"/>
      <w:r>
        <w:rPr>
          <w:rFonts w:ascii="Times New Roman" w:eastAsia="宋体" w:hAnsi="Times New Roman" w:cs="Times New Roman"/>
          <w:i/>
          <w:iCs/>
          <w:sz w:val="24"/>
        </w:rPr>
        <w:t>Y</w:t>
      </w:r>
      <w:r>
        <w:rPr>
          <w:rFonts w:ascii="Times New Roman" w:eastAsia="宋体" w:hAnsi="Times New Roman" w:cs="Times New Roman"/>
          <w:sz w:val="24"/>
        </w:rPr>
        <w:t>(</w:t>
      </w:r>
      <w:proofErr w:type="gramEnd"/>
      <w:r>
        <w:rPr>
          <w:rFonts w:ascii="Times New Roman" w:eastAsia="宋体" w:hAnsi="Times New Roman" w:cs="Times New Roman"/>
          <w:sz w:val="24"/>
        </w:rPr>
        <w:t>1) is the outcome for an individual after receiving the intervention, while </w:t>
      </w:r>
      <w:r>
        <w:rPr>
          <w:rFonts w:ascii="Times New Roman" w:eastAsia="宋体" w:hAnsi="Times New Roman" w:cs="Times New Roman"/>
          <w:i/>
          <w:iCs/>
          <w:sz w:val="24"/>
        </w:rPr>
        <w:t>Y</w:t>
      </w:r>
      <w:r>
        <w:rPr>
          <w:rFonts w:ascii="Times New Roman" w:eastAsia="宋体" w:hAnsi="Times New Roman" w:cs="Times New Roman"/>
          <w:sz w:val="24"/>
        </w:rPr>
        <w:t xml:space="preserve">(0) is the outcome for the individual when not receiving the intervention. When examining how the treatment variable (peer relationships) affects </w:t>
      </w:r>
      <w:r>
        <w:rPr>
          <w:rFonts w:ascii="Times New Roman" w:eastAsia="宋体" w:hAnsi="Times New Roman" w:cs="Times New Roman" w:hint="eastAsia"/>
          <w:sz w:val="24"/>
          <w:lang w:bidi="ar"/>
        </w:rPr>
        <w:t>the</w:t>
      </w:r>
      <w:r>
        <w:rPr>
          <w:rFonts w:ascii="Times New Roman" w:eastAsia="宋体" w:hAnsi="Times New Roman" w:cs="Times New Roman"/>
          <w:sz w:val="24"/>
          <w:lang w:bidi="ar"/>
        </w:rPr>
        <w:t xml:space="preserve"> </w:t>
      </w:r>
      <w:r>
        <w:rPr>
          <w:rFonts w:ascii="Times New Roman" w:eastAsia="宋体" w:hAnsi="Times New Roman" w:cs="Times New Roman" w:hint="eastAsia"/>
          <w:sz w:val="24"/>
          <w:lang w:bidi="ar"/>
        </w:rPr>
        <w:t>excessive rumination on sexual issues among</w:t>
      </w:r>
      <w:r>
        <w:rPr>
          <w:rFonts w:ascii="Times New Roman" w:eastAsia="宋体" w:hAnsi="Times New Roman" w:cs="Times New Roman"/>
          <w:sz w:val="24"/>
        </w:rPr>
        <w:t xml:space="preserve"> rural children overall, we are concerned with the ATE value. In mechanism analysis, we are more interested in the variations and combinations of the CATE values.</w:t>
      </w:r>
    </w:p>
    <w:p w14:paraId="27CE44BA" w14:textId="77777777" w:rsidR="00A65854" w:rsidRDefault="00000000">
      <w:pPr>
        <w:spacing w:line="480" w:lineRule="auto"/>
        <w:ind w:firstLineChars="200" w:firstLine="480"/>
        <w:rPr>
          <w:rFonts w:ascii="宋体" w:eastAsia="宋体" w:hAnsi="宋体" w:cs="宋体"/>
          <w:sz w:val="24"/>
        </w:rPr>
      </w:pPr>
      <w:r>
        <w:rPr>
          <w:rFonts w:ascii="Times New Roman" w:eastAsia="宋体" w:hAnsi="Times New Roman" w:cs="Times New Roman"/>
          <w:sz w:val="24"/>
        </w:rPr>
        <w:t xml:space="preserve">There is a substantial body of research on causal inference using machine </w:t>
      </w:r>
      <w:proofErr w:type="gramStart"/>
      <w:r>
        <w:rPr>
          <w:rFonts w:ascii="Times New Roman" w:eastAsia="宋体" w:hAnsi="Times New Roman" w:cs="Times New Roman"/>
          <w:sz w:val="24"/>
        </w:rPr>
        <w:t>learning(</w:t>
      </w:r>
      <w:proofErr w:type="spellStart"/>
      <w:proofErr w:type="gramEnd"/>
      <w:r>
        <w:rPr>
          <w:rFonts w:ascii="Times New Roman" w:eastAsia="宋体" w:hAnsi="Times New Roman" w:cs="Times New Roman"/>
          <w:sz w:val="24"/>
        </w:rPr>
        <w:t>Syrgkanis</w:t>
      </w:r>
      <w:proofErr w:type="spellEnd"/>
      <w:r>
        <w:rPr>
          <w:rFonts w:ascii="Times New Roman" w:eastAsia="宋体" w:hAnsi="Times New Roman" w:cs="Times New Roman"/>
          <w:sz w:val="24"/>
        </w:rPr>
        <w:t xml:space="preserve"> et al., 2021) (Zhao &amp; Liu, 2023) (</w:t>
      </w:r>
      <w:proofErr w:type="spellStart"/>
      <w:r>
        <w:rPr>
          <w:rFonts w:ascii="Times New Roman" w:eastAsia="宋体" w:hAnsi="Times New Roman" w:cs="Times New Roman"/>
          <w:sz w:val="24"/>
        </w:rPr>
        <w:t>Feuerriegel</w:t>
      </w:r>
      <w:proofErr w:type="spellEnd"/>
      <w:r>
        <w:rPr>
          <w:rFonts w:ascii="Times New Roman" w:eastAsia="宋体" w:hAnsi="Times New Roman" w:cs="Times New Roman"/>
          <w:sz w:val="24"/>
        </w:rPr>
        <w:t xml:space="preserve"> et al., 2024) (Jiang &amp; Kazmi, 2025), but there is still a gap in the field of sexual psychology. Compared to traditional linear regression models or general machine learning models, </w:t>
      </w:r>
      <w:proofErr w:type="spellStart"/>
      <w:r>
        <w:rPr>
          <w:rFonts w:ascii="Times New Roman" w:eastAsia="宋体" w:hAnsi="Times New Roman" w:cs="Times New Roman"/>
          <w:sz w:val="24"/>
        </w:rPr>
        <w:t>EconML</w:t>
      </w:r>
      <w:proofErr w:type="spellEnd"/>
      <w:r>
        <w:rPr>
          <w:rFonts w:ascii="Times New Roman" w:eastAsia="宋体" w:hAnsi="Times New Roman" w:cs="Times New Roman"/>
          <w:sz w:val="24"/>
        </w:rPr>
        <w:t xml:space="preserve"> meets the requirements of significance and variable interpretability in econometric regression, while also being able to explain the nonlinear relationships of the model like general machine learning models and allowing for certain correlations between variables. Most current machine learning tools are designed to predict what will happen next under the current strategy, but </w:t>
      </w:r>
      <w:proofErr w:type="spellStart"/>
      <w:r>
        <w:rPr>
          <w:rFonts w:ascii="Times New Roman" w:eastAsia="宋体" w:hAnsi="Times New Roman" w:cs="Times New Roman"/>
          <w:sz w:val="24"/>
        </w:rPr>
        <w:t>EconML</w:t>
      </w:r>
      <w:proofErr w:type="spellEnd"/>
      <w:r>
        <w:rPr>
          <w:rFonts w:ascii="Times New Roman" w:eastAsia="宋体" w:hAnsi="Times New Roman" w:cs="Times New Roman"/>
          <w:sz w:val="24"/>
        </w:rPr>
        <w:t xml:space="preserve"> can explain or predict the impact of specific behavioral changes. It incorporates the interactions between multiple influencing factors into the causal inference model, which technically and </w:t>
      </w:r>
      <w:r>
        <w:rPr>
          <w:rFonts w:ascii="Times New Roman" w:eastAsia="宋体" w:hAnsi="Times New Roman" w:cs="Times New Roman"/>
          <w:sz w:val="24"/>
        </w:rPr>
        <w:lastRenderedPageBreak/>
        <w:t>operationally better meets the ecological validity sought in psychological research. Essentially, it aligns more closely with the real-world scenarios of interest in psychological research, allowing for better extension to other similar contexts and subjects.</w:t>
      </w:r>
      <w:r>
        <w:rPr>
          <w:rFonts w:ascii="宋体" w:eastAsia="宋体" w:hAnsi="宋体" w:cs="宋体" w:hint="eastAsia"/>
          <w:sz w:val="24"/>
          <w:lang w:bidi="ar"/>
        </w:rPr>
        <w:t xml:space="preserve"> </w:t>
      </w:r>
    </w:p>
    <w:p w14:paraId="2F2F5283" w14:textId="77777777" w:rsidR="00A65854" w:rsidRDefault="00000000">
      <w:pPr>
        <w:spacing w:line="480" w:lineRule="auto"/>
        <w:jc w:val="left"/>
        <w:rPr>
          <w:rFonts w:ascii="Calibri" w:eastAsia="宋体" w:hAnsi="Calibri" w:cs="Times New Roman"/>
          <w:b/>
          <w:bCs/>
          <w:sz w:val="24"/>
          <w:highlight w:val="yellow"/>
        </w:rPr>
      </w:pPr>
      <w:r>
        <w:rPr>
          <w:rStyle w:val="a5"/>
          <w:rFonts w:ascii="Times New Roman" w:eastAsia="Helvetica" w:hAnsi="Times New Roman" w:cs="Times New Roman"/>
          <w:bCs/>
          <w:color w:val="060607"/>
          <w:spacing w:val="3"/>
          <w:sz w:val="24"/>
          <w:shd w:val="clear" w:color="auto" w:fill="FFFFFF"/>
        </w:rPr>
        <w:t>Model Selection</w:t>
      </w:r>
      <w:r>
        <w:rPr>
          <w:rStyle w:val="a5"/>
          <w:rFonts w:ascii="Times New Roman" w:eastAsia="宋体" w:hAnsi="Times New Roman" w:cs="Times New Roman"/>
          <w:bCs/>
          <w:color w:val="060607"/>
          <w:spacing w:val="3"/>
          <w:sz w:val="24"/>
          <w:shd w:val="clear" w:color="auto" w:fill="FFFFFF"/>
        </w:rPr>
        <w:t xml:space="preserve"> and </w:t>
      </w:r>
      <w:r>
        <w:rPr>
          <w:rStyle w:val="a5"/>
          <w:rFonts w:ascii="Times New Roman" w:eastAsia="Helvetica" w:hAnsi="Times New Roman" w:cs="Times New Roman"/>
          <w:bCs/>
          <w:color w:val="060607"/>
          <w:spacing w:val="3"/>
          <w:sz w:val="24"/>
          <w:shd w:val="clear" w:color="auto" w:fill="FFFFFF"/>
        </w:rPr>
        <w:t>Effectiveness Improvement</w:t>
      </w:r>
    </w:p>
    <w:p w14:paraId="457D353F" w14:textId="77777777" w:rsidR="00A65854" w:rsidRDefault="00000000">
      <w:pPr>
        <w:widowControl/>
        <w:spacing w:line="480" w:lineRule="auto"/>
        <w:jc w:val="left"/>
        <w:rPr>
          <w:rFonts w:ascii="宋体" w:eastAsia="宋体" w:hAnsi="宋体" w:cs="宋体"/>
          <w:sz w:val="24"/>
          <w:lang w:bidi="ar"/>
        </w:rPr>
      </w:pPr>
      <w:r>
        <w:rPr>
          <w:rStyle w:val="a5"/>
          <w:rFonts w:ascii="Times New Roman" w:eastAsia="Helvetica" w:hAnsi="Times New Roman" w:cs="Times New Roman"/>
          <w:bCs/>
          <w:color w:val="060607"/>
          <w:spacing w:val="3"/>
          <w:sz w:val="24"/>
          <w:shd w:val="clear" w:color="auto" w:fill="FFFFFF"/>
        </w:rPr>
        <w:t>Model Selection</w:t>
      </w:r>
    </w:p>
    <w:p w14:paraId="6F707A91" w14:textId="308671B6" w:rsidR="00A65854" w:rsidRDefault="00000000">
      <w:pPr>
        <w:spacing w:line="480" w:lineRule="auto"/>
        <w:ind w:firstLineChars="200" w:firstLine="480"/>
        <w:rPr>
          <w:rFonts w:ascii="Times New Roman" w:eastAsia="宋体" w:hAnsi="Times New Roman" w:cs="Times New Roman"/>
          <w:sz w:val="24"/>
        </w:rPr>
      </w:pPr>
      <w:r>
        <w:rPr>
          <w:rFonts w:ascii="Times New Roman" w:eastAsia="宋体" w:hAnsi="Times New Roman" w:cs="Times New Roman"/>
          <w:sz w:val="24"/>
        </w:rPr>
        <w:t>In this study, we use the Cumulative Gain (CG)</w:t>
      </w:r>
      <w:r>
        <w:rPr>
          <w:rFonts w:ascii="Times New Roman" w:eastAsia="宋体" w:hAnsi="Times New Roman" w:cs="Times New Roman"/>
          <w:sz w:val="24"/>
          <w:lang w:eastAsia="zh" w:bidi="ar"/>
        </w:rPr>
        <w:t xml:space="preserve"> (</w:t>
      </w:r>
      <w:proofErr w:type="spellStart"/>
      <w:r>
        <w:rPr>
          <w:rFonts w:ascii="Times New Roman" w:eastAsia="宋体" w:hAnsi="Times New Roman" w:cs="Times New Roman"/>
          <w:sz w:val="24"/>
          <w:lang w:eastAsia="zh" w:bidi="ar"/>
        </w:rPr>
        <w:t>Järvelin</w:t>
      </w:r>
      <w:proofErr w:type="spellEnd"/>
      <w:r>
        <w:rPr>
          <w:rFonts w:ascii="Times New Roman" w:eastAsia="宋体" w:hAnsi="Times New Roman" w:cs="Times New Roman"/>
          <w:sz w:val="24"/>
          <w:lang w:eastAsia="zh" w:bidi="ar"/>
        </w:rPr>
        <w:t xml:space="preserve"> &amp; Kekäläinen, 2002) (Gutierrez &amp; </w:t>
      </w:r>
      <w:proofErr w:type="spellStart"/>
      <w:r>
        <w:rPr>
          <w:rFonts w:ascii="Times New Roman" w:eastAsia="宋体" w:hAnsi="Times New Roman" w:cs="Times New Roman"/>
          <w:sz w:val="24"/>
          <w:lang w:eastAsia="zh" w:bidi="ar"/>
        </w:rPr>
        <w:t>Gérardy</w:t>
      </w:r>
      <w:proofErr w:type="spellEnd"/>
      <w:r>
        <w:rPr>
          <w:rFonts w:ascii="Times New Roman" w:eastAsia="宋体" w:hAnsi="Times New Roman" w:cs="Times New Roman"/>
          <w:sz w:val="24"/>
          <w:lang w:eastAsia="zh" w:bidi="ar"/>
        </w:rPr>
        <w:t>, 2017)</w:t>
      </w:r>
      <w:r>
        <w:rPr>
          <w:rStyle w:val="a6"/>
          <w:rFonts w:ascii="Times New Roman" w:eastAsia="宋体" w:hAnsi="Times New Roman" w:cs="Times New Roman" w:hint="eastAsia"/>
          <w:sz w:val="24"/>
          <w:lang w:eastAsia="zh" w:bidi="ar"/>
        </w:rPr>
        <w:t xml:space="preserve"> </w:t>
      </w:r>
      <w:r>
        <w:rPr>
          <w:rFonts w:ascii="Times New Roman" w:eastAsia="宋体" w:hAnsi="Times New Roman" w:cs="Times New Roman"/>
          <w:sz w:val="24"/>
        </w:rPr>
        <w:t xml:space="preserve">algorithm to evaluate model performance and select models by comparing the CATE values across different models. The core idea of Cumulative Gain is to rank the predicted outcomes that differ due to the treatment variable, and to show the differential effects of various models as the sample size accumulates. This study uses CG to calculate the AUUC (Area Under Uplift Curve) and the area of cumulative gain, where a larger area indicates better discriminative performance of the model. Since this study involves three levels of treatment variables—general, </w:t>
      </w:r>
      <w:r>
        <w:rPr>
          <w:rFonts w:ascii="Times New Roman" w:eastAsia="宋体" w:hAnsi="Times New Roman" w:cs="Times New Roman" w:hint="eastAsia"/>
          <w:sz w:val="24"/>
        </w:rPr>
        <w:t>better</w:t>
      </w:r>
      <w:r>
        <w:rPr>
          <w:rFonts w:ascii="Times New Roman" w:eastAsia="宋体" w:hAnsi="Times New Roman" w:cs="Times New Roman"/>
          <w:sz w:val="24"/>
        </w:rPr>
        <w:t xml:space="preserve">, and excellent peer relationships—model selection is conducted in three stages. </w:t>
      </w:r>
    </w:p>
    <w:p w14:paraId="491AEDDC" w14:textId="77777777" w:rsidR="00A65854" w:rsidRDefault="00000000">
      <w:pPr>
        <w:spacing w:line="480" w:lineRule="auto"/>
        <w:ind w:firstLineChars="200" w:firstLine="480"/>
        <w:rPr>
          <w:rFonts w:ascii="Times New Roman" w:eastAsia="宋体" w:hAnsi="Times New Roman" w:cs="Times New Roman"/>
          <w:sz w:val="24"/>
        </w:rPr>
      </w:pPr>
      <w:r>
        <w:rPr>
          <w:rFonts w:ascii="Times New Roman" w:eastAsia="宋体" w:hAnsi="Times New Roman" w:cs="Times New Roman"/>
          <w:sz w:val="24"/>
        </w:rPr>
        <w:t>This study select</w:t>
      </w:r>
      <w:r>
        <w:rPr>
          <w:rFonts w:ascii="Times New Roman" w:eastAsia="宋体" w:hAnsi="Times New Roman" w:cs="Times New Roman" w:hint="eastAsia"/>
          <w:sz w:val="24"/>
          <w:lang w:eastAsia="zh"/>
        </w:rPr>
        <w:t>ed</w:t>
      </w:r>
      <w:r>
        <w:rPr>
          <w:rFonts w:ascii="Times New Roman" w:eastAsia="宋体" w:hAnsi="Times New Roman" w:cs="Times New Roman"/>
          <w:sz w:val="24"/>
        </w:rPr>
        <w:t xml:space="preserve"> five machine learning methods from </w:t>
      </w:r>
      <w:proofErr w:type="spellStart"/>
      <w:r>
        <w:rPr>
          <w:rFonts w:ascii="Times New Roman" w:eastAsia="宋体" w:hAnsi="Times New Roman" w:cs="Times New Roman"/>
          <w:sz w:val="24"/>
        </w:rPr>
        <w:t>EconML</w:t>
      </w:r>
      <w:proofErr w:type="spellEnd"/>
      <w:r>
        <w:rPr>
          <w:rFonts w:ascii="Times New Roman" w:eastAsia="宋体" w:hAnsi="Times New Roman" w:cs="Times New Roman"/>
          <w:sz w:val="24"/>
        </w:rPr>
        <w:t xml:space="preserve">: </w:t>
      </w:r>
      <w:proofErr w:type="spellStart"/>
      <w:r>
        <w:rPr>
          <w:rFonts w:ascii="Times New Roman" w:eastAsia="宋体" w:hAnsi="Times New Roman" w:cs="Times New Roman"/>
          <w:sz w:val="24"/>
        </w:rPr>
        <w:t>LinearDML</w:t>
      </w:r>
      <w:proofErr w:type="spellEnd"/>
      <w:r>
        <w:rPr>
          <w:rFonts w:ascii="Times New Roman" w:eastAsia="宋体" w:hAnsi="Times New Roman" w:cs="Times New Roman"/>
          <w:sz w:val="24"/>
        </w:rPr>
        <w:t xml:space="preserve">, </w:t>
      </w:r>
      <w:proofErr w:type="spellStart"/>
      <w:r>
        <w:rPr>
          <w:rFonts w:ascii="Times New Roman" w:eastAsia="宋体" w:hAnsi="Times New Roman" w:cs="Times New Roman"/>
          <w:sz w:val="24"/>
        </w:rPr>
        <w:t>CausalForestDML</w:t>
      </w:r>
      <w:proofErr w:type="spellEnd"/>
      <w:r>
        <w:rPr>
          <w:rFonts w:ascii="Times New Roman" w:eastAsia="宋体" w:hAnsi="Times New Roman" w:cs="Times New Roman"/>
          <w:sz w:val="24"/>
        </w:rPr>
        <w:t xml:space="preserve">, </w:t>
      </w:r>
      <w:proofErr w:type="spellStart"/>
      <w:r>
        <w:rPr>
          <w:rFonts w:ascii="Times New Roman" w:eastAsia="宋体" w:hAnsi="Times New Roman" w:cs="Times New Roman"/>
          <w:sz w:val="24"/>
        </w:rPr>
        <w:t>TLearner</w:t>
      </w:r>
      <w:proofErr w:type="spellEnd"/>
      <w:r>
        <w:rPr>
          <w:rFonts w:ascii="Times New Roman" w:eastAsia="宋体" w:hAnsi="Times New Roman" w:cs="Times New Roman"/>
          <w:sz w:val="24"/>
        </w:rPr>
        <w:t xml:space="preserve">, </w:t>
      </w:r>
      <w:proofErr w:type="spellStart"/>
      <w:r>
        <w:rPr>
          <w:rFonts w:ascii="Times New Roman" w:eastAsia="宋体" w:hAnsi="Times New Roman" w:cs="Times New Roman"/>
          <w:sz w:val="24"/>
        </w:rPr>
        <w:t>LinearDRLearner</w:t>
      </w:r>
      <w:proofErr w:type="spellEnd"/>
      <w:r>
        <w:rPr>
          <w:rFonts w:ascii="Times New Roman" w:eastAsia="宋体" w:hAnsi="Times New Roman" w:cs="Times New Roman"/>
          <w:sz w:val="24"/>
        </w:rPr>
        <w:t xml:space="preserve">, and </w:t>
      </w:r>
      <w:proofErr w:type="spellStart"/>
      <w:r>
        <w:rPr>
          <w:rFonts w:ascii="Times New Roman" w:eastAsia="宋体" w:hAnsi="Times New Roman" w:cs="Times New Roman"/>
          <w:sz w:val="24"/>
        </w:rPr>
        <w:t>XLearner</w:t>
      </w:r>
      <w:proofErr w:type="spellEnd"/>
      <w:r>
        <w:rPr>
          <w:rFonts w:ascii="Times New Roman" w:eastAsia="宋体" w:hAnsi="Times New Roman" w:cs="Times New Roman"/>
          <w:sz w:val="24"/>
        </w:rPr>
        <w:t xml:space="preserve"> to build models. Among them, </w:t>
      </w:r>
      <w:proofErr w:type="spellStart"/>
      <w:r>
        <w:rPr>
          <w:rFonts w:ascii="Times New Roman" w:eastAsia="宋体" w:hAnsi="Times New Roman" w:cs="Times New Roman"/>
          <w:sz w:val="24"/>
        </w:rPr>
        <w:t>LinearDML</w:t>
      </w:r>
      <w:proofErr w:type="spellEnd"/>
      <w:r>
        <w:rPr>
          <w:rFonts w:ascii="Times New Roman" w:eastAsia="宋体" w:hAnsi="Times New Roman" w:cs="Times New Roman"/>
          <w:sz w:val="24"/>
        </w:rPr>
        <w:t xml:space="preserve"> is a double machine learning method designed to estimate treatment effects by combining linear regression and machine learning to control for confounding factors, thereby reducing bias in causal inference. Therefore, this model assumes that there are linear relationships among all variables. The formula for </w:t>
      </w:r>
      <w:proofErr w:type="spellStart"/>
      <w:r>
        <w:rPr>
          <w:rFonts w:ascii="Times New Roman" w:eastAsia="宋体" w:hAnsi="Times New Roman" w:cs="Times New Roman"/>
          <w:sz w:val="24"/>
        </w:rPr>
        <w:t>LinearDML</w:t>
      </w:r>
      <w:proofErr w:type="spellEnd"/>
      <w:r>
        <w:rPr>
          <w:rFonts w:ascii="Times New Roman" w:eastAsia="宋体" w:hAnsi="Times New Roman" w:cs="Times New Roman"/>
          <w:sz w:val="24"/>
        </w:rPr>
        <w:t xml:space="preserve"> is as follows:</w:t>
      </w:r>
    </w:p>
    <w:p w14:paraId="2923DB07" w14:textId="77777777" w:rsidR="00A65854" w:rsidRDefault="00000000">
      <w:pPr>
        <w:widowControl/>
        <w:spacing w:line="480" w:lineRule="auto"/>
        <w:ind w:leftChars="400" w:left="840"/>
        <w:jc w:val="left"/>
        <w:rPr>
          <w:rFonts w:ascii="Times New Roman" w:eastAsia="宋体" w:hAnsi="Times New Roman" w:cs="Times New Roman"/>
          <w:kern w:val="0"/>
          <w:sz w:val="24"/>
        </w:rPr>
      </w:pPr>
      <m:oMathPara>
        <m:oMathParaPr>
          <m:jc m:val="left"/>
        </m:oMathParaPr>
        <m:oMath>
          <m:r>
            <w:rPr>
              <w:rFonts w:ascii="Cambria Math" w:eastAsia="KaTeX_Math" w:hAnsi="Cambria Math" w:cs="Times New Roman"/>
              <w:kern w:val="0"/>
              <w:sz w:val="24"/>
              <w:lang w:bidi="ar"/>
            </w:rPr>
            <m:t>Y(LinearDML)</m:t>
          </m:r>
          <m:r>
            <w:rPr>
              <w:rFonts w:ascii="Cambria Math" w:eastAsia="宋体" w:hAnsi="Cambria Math" w:cs="Times New Roman"/>
              <w:kern w:val="0"/>
              <w:sz w:val="24"/>
              <w:lang w:bidi="ar"/>
            </w:rPr>
            <m:t>=</m:t>
          </m:r>
          <m:r>
            <w:rPr>
              <w:rFonts w:ascii="Cambria Math" w:eastAsia="KaTeX_Math" w:hAnsi="Cambria Math" w:cs="Times New Roman"/>
              <w:kern w:val="0"/>
              <w:sz w:val="24"/>
              <w:lang w:bidi="ar"/>
            </w:rPr>
            <m:t>β</m:t>
          </m:r>
          <m:r>
            <w:rPr>
              <w:rFonts w:ascii="Cambria Math" w:eastAsia="宋体" w:hAnsi="Cambria Math" w:cs="Times New Roman"/>
              <w:kern w:val="0"/>
              <w:sz w:val="24"/>
              <w:lang w:bidi="ar"/>
            </w:rPr>
            <m:t>0​+</m:t>
          </m:r>
          <m:r>
            <w:rPr>
              <w:rFonts w:ascii="Cambria Math" w:eastAsia="KaTeX_Math" w:hAnsi="Cambria Math" w:cs="Times New Roman"/>
              <w:kern w:val="0"/>
              <w:sz w:val="24"/>
              <w:lang w:bidi="ar"/>
            </w:rPr>
            <m:t>β</m:t>
          </m:r>
          <m:r>
            <w:rPr>
              <w:rFonts w:ascii="Cambria Math" w:eastAsia="宋体" w:hAnsi="Cambria Math" w:cs="Times New Roman"/>
              <w:kern w:val="0"/>
              <w:sz w:val="24"/>
              <w:lang w:bidi="ar"/>
            </w:rPr>
            <m:t>1​</m:t>
          </m:r>
          <m:r>
            <w:rPr>
              <w:rFonts w:ascii="Cambria Math" w:eastAsia="KaTeX_Math" w:hAnsi="Cambria Math" w:cs="Times New Roman"/>
              <w:kern w:val="0"/>
              <w:sz w:val="24"/>
              <w:lang w:bidi="ar"/>
            </w:rPr>
            <m:t>T</m:t>
          </m:r>
          <m:r>
            <w:rPr>
              <w:rFonts w:ascii="Cambria Math" w:eastAsia="宋体" w:hAnsi="Cambria Math" w:cs="Times New Roman"/>
              <w:kern w:val="0"/>
              <w:sz w:val="24"/>
              <w:lang w:bidi="ar"/>
            </w:rPr>
            <m:t>+</m:t>
          </m:r>
          <m:r>
            <w:rPr>
              <w:rFonts w:ascii="Cambria Math" w:eastAsia="KaTeX_Math" w:hAnsi="Cambria Math" w:cs="Times New Roman"/>
              <w:kern w:val="0"/>
              <w:sz w:val="24"/>
              <w:lang w:bidi="ar"/>
            </w:rPr>
            <m:t>f</m:t>
          </m:r>
          <m:r>
            <w:rPr>
              <w:rFonts w:ascii="Cambria Math" w:eastAsia="宋体" w:hAnsi="Cambria Math" w:cs="Times New Roman"/>
              <w:kern w:val="0"/>
              <w:sz w:val="24"/>
              <w:lang w:bidi="ar"/>
            </w:rPr>
            <m:t>(</m:t>
          </m:r>
          <m:r>
            <w:rPr>
              <w:rFonts w:ascii="Cambria Math" w:eastAsia="KaTeX_Math" w:hAnsi="Cambria Math" w:cs="Times New Roman"/>
              <w:kern w:val="0"/>
              <w:sz w:val="24"/>
              <w:lang w:bidi="ar"/>
            </w:rPr>
            <m:t>X</m:t>
          </m:r>
          <m:r>
            <w:rPr>
              <w:rFonts w:ascii="Cambria Math" w:eastAsia="宋体" w:hAnsi="Cambria Math" w:cs="Times New Roman"/>
              <w:kern w:val="0"/>
              <w:sz w:val="24"/>
              <w:lang w:bidi="ar"/>
            </w:rPr>
            <m:t>)+</m:t>
          </m:r>
          <m:r>
            <w:rPr>
              <w:rFonts w:ascii="Cambria Math" w:eastAsia="KaTeX_Math" w:hAnsi="Cambria Math" w:cs="Times New Roman"/>
              <w:kern w:val="0"/>
              <w:sz w:val="24"/>
              <w:lang w:bidi="ar"/>
            </w:rPr>
            <m:t>ϵ</m:t>
          </m:r>
          <m:r>
            <w:rPr>
              <w:rFonts w:ascii="Cambria Math" w:eastAsia="宋体" w:hAnsi="Cambria Math" w:cs="Times New Roman"/>
              <w:kern w:val="0"/>
              <w:sz w:val="24"/>
              <w:lang w:bidi="ar"/>
            </w:rPr>
            <m:t xml:space="preserve"> </m:t>
          </m:r>
        </m:oMath>
      </m:oMathPara>
    </w:p>
    <w:p w14:paraId="5F9667AB" w14:textId="77777777" w:rsidR="00A65854" w:rsidRDefault="00000000">
      <w:pPr>
        <w:widowControl/>
        <w:spacing w:line="480" w:lineRule="auto"/>
        <w:ind w:firstLineChars="200" w:firstLine="480"/>
        <w:rPr>
          <w:rFonts w:ascii="Times New Roman" w:eastAsia="宋体" w:hAnsi="Times New Roman" w:cs="Times New Roman"/>
          <w:sz w:val="24"/>
        </w:rPr>
      </w:pPr>
      <w:r>
        <w:rPr>
          <w:rFonts w:ascii="Times New Roman" w:eastAsia="宋体" w:hAnsi="Times New Roman" w:cs="Times New Roman"/>
          <w:sz w:val="24"/>
        </w:rPr>
        <w:lastRenderedPageBreak/>
        <w:t>Here, Y is the outcome variable, T is the treatment variable, X is the covariate, and f(X) is a nonparametric estimate of the covariate.</w:t>
      </w:r>
    </w:p>
    <w:p w14:paraId="2813F9F1" w14:textId="77777777" w:rsidR="00A65854" w:rsidRDefault="00000000">
      <w:pPr>
        <w:widowControl/>
        <w:spacing w:line="480" w:lineRule="auto"/>
        <w:ind w:firstLineChars="200" w:firstLine="480"/>
        <w:rPr>
          <w:rFonts w:ascii="Times New Roman" w:eastAsia="宋体" w:hAnsi="Times New Roman" w:cs="Times New Roman"/>
          <w:sz w:val="24"/>
        </w:rPr>
      </w:pPr>
      <w:proofErr w:type="spellStart"/>
      <w:r>
        <w:rPr>
          <w:rFonts w:ascii="Times New Roman" w:eastAsia="宋体" w:hAnsi="Times New Roman" w:cs="Times New Roman"/>
          <w:sz w:val="24"/>
        </w:rPr>
        <w:t>CausalForestDML</w:t>
      </w:r>
      <w:proofErr w:type="spellEnd"/>
      <w:r>
        <w:rPr>
          <w:rFonts w:ascii="Times New Roman" w:eastAsia="宋体" w:hAnsi="Times New Roman" w:cs="Times New Roman"/>
          <w:sz w:val="24"/>
        </w:rPr>
        <w:t xml:space="preserve"> is a causal inference model based on random forests, aimed at capturing the heterogeneity of treatment effects. </w:t>
      </w:r>
      <w:proofErr w:type="spellStart"/>
      <w:r>
        <w:rPr>
          <w:rFonts w:ascii="Times New Roman" w:eastAsia="宋体" w:hAnsi="Times New Roman" w:cs="Times New Roman"/>
          <w:sz w:val="24"/>
        </w:rPr>
        <w:t>CausalForestDML</w:t>
      </w:r>
      <w:proofErr w:type="spellEnd"/>
      <w:r>
        <w:rPr>
          <w:rFonts w:ascii="Times New Roman" w:eastAsia="宋体" w:hAnsi="Times New Roman" w:cs="Times New Roman"/>
          <w:sz w:val="24"/>
        </w:rPr>
        <w:t xml:space="preserve"> combines the double machine learning framework with the random forest algorithm to enhance the accuracy and robustness of estimates. This model assumes that the relationships among all variables are nonlinear. The formula is as follows:</w:t>
      </w:r>
    </w:p>
    <w:p w14:paraId="21685ED4" w14:textId="77777777" w:rsidR="00A65854" w:rsidRDefault="00000000">
      <w:pPr>
        <w:widowControl/>
        <w:spacing w:line="480" w:lineRule="auto"/>
        <w:ind w:leftChars="400" w:left="840"/>
        <w:jc w:val="center"/>
        <w:rPr>
          <w:rFonts w:ascii="Cambria Math" w:eastAsia="KaTeX_Math" w:hAnsi="Cambria Math" w:cs="Times New Roman"/>
          <w:kern w:val="0"/>
          <w:sz w:val="24"/>
          <w:oMath/>
        </w:rPr>
      </w:pPr>
      <m:oMathPara>
        <m:oMathParaPr>
          <m:jc m:val="left"/>
        </m:oMathParaPr>
        <m:oMath>
          <m:r>
            <w:rPr>
              <w:rFonts w:ascii="Cambria Math" w:eastAsia="KaTeX_Math" w:hAnsi="Cambria Math" w:cs="Times New Roman"/>
              <w:kern w:val="0"/>
              <w:sz w:val="24"/>
              <w:lang w:bidi="ar"/>
            </w:rPr>
            <m:t>Y(0)CausalForestDML=f0(X)+ϵ0​</m:t>
          </m:r>
        </m:oMath>
      </m:oMathPara>
    </w:p>
    <w:p w14:paraId="3C0AC169" w14:textId="77777777" w:rsidR="00A65854" w:rsidRDefault="00000000">
      <w:pPr>
        <w:widowControl/>
        <w:spacing w:line="480" w:lineRule="auto"/>
        <w:ind w:leftChars="400" w:left="840" w:firstLineChars="400" w:firstLine="960"/>
        <w:jc w:val="center"/>
        <w:rPr>
          <w:rFonts w:ascii="KaTeX_Math" w:eastAsia="KaTeX_Math" w:hAnsi="KaTeX_Math" w:cs="KaTeX_Math"/>
          <w:i/>
          <w:iCs/>
          <w:kern w:val="0"/>
          <w:sz w:val="24"/>
        </w:rPr>
      </w:pPr>
      <m:oMathPara>
        <m:oMathParaPr>
          <m:jc m:val="left"/>
        </m:oMathParaPr>
        <m:oMath>
          <m:r>
            <w:rPr>
              <w:rFonts w:ascii="Cambria Math" w:eastAsia="KaTeX_Math" w:hAnsi="Cambria Math" w:cs="Times New Roman"/>
              <w:kern w:val="0"/>
              <w:sz w:val="24"/>
              <w:lang w:bidi="ar"/>
            </w:rPr>
            <m:t>Y(1)CausalForestDML=f1(X)+ϵ1Y(1)=f1(X)+ϵ1</m:t>
          </m:r>
          <m:r>
            <w:rPr>
              <w:rFonts w:ascii="Cambria Math" w:eastAsia="KaTeX_Math" w:hAnsi="Cambria Math" w:cs="KaTeX_Math"/>
              <w:kern w:val="0"/>
              <w:sz w:val="24"/>
              <w:lang w:bidi="ar"/>
            </w:rPr>
            <m:t>​</m:t>
          </m:r>
        </m:oMath>
      </m:oMathPara>
    </w:p>
    <w:p w14:paraId="03AA9D2F" w14:textId="77777777" w:rsidR="00A65854" w:rsidRDefault="00000000">
      <w:pPr>
        <w:widowControl/>
        <w:spacing w:line="480" w:lineRule="auto"/>
        <w:ind w:firstLineChars="200" w:firstLine="480"/>
        <w:rPr>
          <w:rFonts w:ascii="Times New Roman" w:eastAsia="宋体" w:hAnsi="Times New Roman" w:cs="Times New Roman"/>
          <w:sz w:val="24"/>
        </w:rPr>
      </w:pPr>
      <w:proofErr w:type="spellStart"/>
      <w:r>
        <w:rPr>
          <w:rFonts w:ascii="Times New Roman" w:eastAsia="宋体" w:hAnsi="Times New Roman" w:cs="Times New Roman"/>
          <w:sz w:val="24"/>
        </w:rPr>
        <w:t>TLearner</w:t>
      </w:r>
      <w:proofErr w:type="spellEnd"/>
      <w:r>
        <w:rPr>
          <w:rFonts w:ascii="Times New Roman" w:eastAsia="宋体" w:hAnsi="Times New Roman" w:cs="Times New Roman"/>
          <w:sz w:val="24"/>
        </w:rPr>
        <w:t xml:space="preserve"> is a built-in meta-learner in the </w:t>
      </w:r>
      <w:proofErr w:type="spellStart"/>
      <w:r>
        <w:rPr>
          <w:rFonts w:ascii="Times New Roman" w:eastAsia="宋体" w:hAnsi="Times New Roman" w:cs="Times New Roman"/>
          <w:sz w:val="24"/>
        </w:rPr>
        <w:t>EconML</w:t>
      </w:r>
      <w:proofErr w:type="spellEnd"/>
      <w:r>
        <w:rPr>
          <w:rFonts w:ascii="Times New Roman" w:eastAsia="宋体" w:hAnsi="Times New Roman" w:cs="Times New Roman"/>
          <w:sz w:val="24"/>
        </w:rPr>
        <w:t xml:space="preserve"> framework that estimates CATE values by fitting treatment and control groups separately. This learner is widely used in the field of causal inference. </w:t>
      </w:r>
      <w:proofErr w:type="spellStart"/>
      <w:r>
        <w:rPr>
          <w:rFonts w:ascii="Times New Roman" w:eastAsia="宋体" w:hAnsi="Times New Roman" w:cs="Times New Roman"/>
          <w:sz w:val="24"/>
        </w:rPr>
        <w:t>TLearner</w:t>
      </w:r>
      <w:proofErr w:type="spellEnd"/>
      <w:r>
        <w:rPr>
          <w:rFonts w:ascii="Times New Roman" w:eastAsia="宋体" w:hAnsi="Times New Roman" w:cs="Times New Roman"/>
          <w:sz w:val="24"/>
        </w:rPr>
        <w:t xml:space="preserve"> can accommodate both linear and nonlinear data depending on the choice of base models. The formula is as follows:</w:t>
      </w:r>
    </w:p>
    <w:p w14:paraId="435CC4DA" w14:textId="77777777" w:rsidR="00A65854" w:rsidRDefault="00000000">
      <w:pPr>
        <w:widowControl/>
        <w:spacing w:line="480" w:lineRule="auto"/>
        <w:ind w:leftChars="400" w:left="840" w:firstLineChars="400" w:firstLine="960"/>
        <w:jc w:val="left"/>
        <w:rPr>
          <w:rFonts w:ascii="Cambria Math" w:eastAsia="KaTeX_Math" w:hAnsi="Cambria Math" w:cs="Times New Roman"/>
          <w:kern w:val="0"/>
          <w:sz w:val="24"/>
          <w:oMath/>
        </w:rPr>
      </w:pPr>
      <m:oMathPara>
        <m:oMathParaPr>
          <m:jc m:val="left"/>
        </m:oMathParaPr>
        <m:oMath>
          <m:r>
            <w:rPr>
              <w:rFonts w:ascii="Cambria Math" w:eastAsia="KaTeX_Math" w:hAnsi="Cambria Math" w:cs="Times New Roman"/>
              <w:kern w:val="0"/>
              <w:sz w:val="24"/>
              <w:lang w:bidi="ar"/>
            </w:rPr>
            <m:t>Y(1)TLearner=f1(X)+ϵ1​</m:t>
          </m:r>
        </m:oMath>
      </m:oMathPara>
    </w:p>
    <w:p w14:paraId="58F8C28D" w14:textId="77777777" w:rsidR="00A65854" w:rsidRDefault="00000000">
      <w:pPr>
        <w:widowControl/>
        <w:spacing w:line="480" w:lineRule="auto"/>
        <w:ind w:leftChars="400" w:left="840" w:firstLineChars="400" w:firstLine="960"/>
        <w:jc w:val="left"/>
        <w:rPr>
          <w:rFonts w:ascii="宋体" w:eastAsia="宋体" w:hAnsi="宋体" w:cs="宋体"/>
          <w:sz w:val="24"/>
          <w:lang w:bidi="ar"/>
        </w:rPr>
      </w:pPr>
      <m:oMathPara>
        <m:oMathParaPr>
          <m:jc m:val="left"/>
        </m:oMathParaPr>
        <m:oMath>
          <m:r>
            <w:rPr>
              <w:rFonts w:ascii="Cambria Math" w:eastAsia="KaTeX_Math" w:hAnsi="Cambria Math" w:cs="Times New Roman"/>
              <w:kern w:val="0"/>
              <w:sz w:val="24"/>
              <w:lang w:bidi="ar"/>
            </w:rPr>
            <m:t>Y(0)TLearner=f0(X)+ϵ0Y(0)=f0(X)+ϵ0​</m:t>
          </m:r>
        </m:oMath>
      </m:oMathPara>
    </w:p>
    <w:p w14:paraId="5A4C6F84" w14:textId="77777777" w:rsidR="00A65854" w:rsidRDefault="00000000">
      <w:pPr>
        <w:widowControl/>
        <w:spacing w:line="480" w:lineRule="auto"/>
        <w:ind w:firstLineChars="200" w:firstLine="480"/>
        <w:rPr>
          <w:rFonts w:ascii="Times New Roman" w:eastAsia="宋体" w:hAnsi="Times New Roman" w:cs="Times New Roman"/>
          <w:sz w:val="24"/>
        </w:rPr>
      </w:pPr>
      <w:proofErr w:type="spellStart"/>
      <w:r>
        <w:rPr>
          <w:rFonts w:ascii="Times New Roman" w:eastAsia="宋体" w:hAnsi="Times New Roman" w:cs="Times New Roman"/>
          <w:sz w:val="24"/>
        </w:rPr>
        <w:t>XLearner</w:t>
      </w:r>
      <w:proofErr w:type="spellEnd"/>
      <w:r>
        <w:rPr>
          <w:rFonts w:ascii="Times New Roman" w:eastAsia="宋体" w:hAnsi="Times New Roman" w:cs="Times New Roman"/>
          <w:sz w:val="24"/>
        </w:rPr>
        <w:t xml:space="preserve"> is also a meta-learning method that improves causal effect estimation for small sample groups by utilizing information from larger sample groups when there is a significant difference in sample size between treatment and control groups. </w:t>
      </w:r>
      <w:proofErr w:type="spellStart"/>
      <w:r>
        <w:rPr>
          <w:rFonts w:ascii="Times New Roman" w:eastAsia="宋体" w:hAnsi="Times New Roman" w:cs="Times New Roman"/>
          <w:sz w:val="24"/>
        </w:rPr>
        <w:t>XLearner</w:t>
      </w:r>
      <w:proofErr w:type="spellEnd"/>
      <w:r>
        <w:rPr>
          <w:rFonts w:ascii="Times New Roman" w:eastAsia="宋体" w:hAnsi="Times New Roman" w:cs="Times New Roman"/>
          <w:sz w:val="24"/>
        </w:rPr>
        <w:t xml:space="preserve"> can also accommodate both linear and nonlinear data. The formula is as follows:</w:t>
      </w:r>
    </w:p>
    <w:p w14:paraId="415F020E" w14:textId="77777777" w:rsidR="00A65854" w:rsidRDefault="00000000">
      <w:pPr>
        <w:widowControl/>
        <w:spacing w:line="480" w:lineRule="auto"/>
        <w:ind w:leftChars="400" w:left="840" w:firstLineChars="400" w:firstLine="960"/>
        <w:jc w:val="left"/>
        <w:rPr>
          <w:rFonts w:ascii="Cambria Math" w:eastAsia="KaTeX_Math" w:hAnsi="Cambria Math" w:cs="Times New Roman"/>
          <w:kern w:val="0"/>
          <w:sz w:val="24"/>
          <w:oMath/>
        </w:rPr>
      </w:pPr>
      <m:oMathPara>
        <m:oMathParaPr>
          <m:jc m:val="left"/>
        </m:oMathParaPr>
        <m:oMath>
          <m:r>
            <w:rPr>
              <w:rFonts w:ascii="Cambria Math" w:eastAsia="KaTeX_Math" w:hAnsi="Cambria Math" w:cs="Times New Roman"/>
              <w:kern w:val="0"/>
              <w:sz w:val="24"/>
              <w:lang w:bidi="ar"/>
            </w:rPr>
            <m:t>Y(0)XLearner=fT=0(X)</m:t>
          </m:r>
        </m:oMath>
      </m:oMathPara>
    </w:p>
    <w:p w14:paraId="74DEAA86" w14:textId="77777777" w:rsidR="00A65854" w:rsidRDefault="00000000">
      <w:pPr>
        <w:widowControl/>
        <w:spacing w:line="480" w:lineRule="auto"/>
        <w:ind w:leftChars="400" w:left="840" w:firstLineChars="400" w:firstLine="960"/>
        <w:jc w:val="left"/>
        <w:rPr>
          <w:rFonts w:ascii="Times New Roman" w:eastAsia="KaTeX_Math" w:hAnsi="Times New Roman" w:cs="Times New Roman"/>
          <w:i/>
          <w:iCs/>
          <w:kern w:val="0"/>
          <w:sz w:val="24"/>
        </w:rPr>
      </w:pPr>
      <m:oMathPara>
        <m:oMathParaPr>
          <m:jc m:val="left"/>
        </m:oMathParaPr>
        <m:oMath>
          <m:r>
            <w:rPr>
              <w:rFonts w:ascii="Cambria Math" w:eastAsia="KaTeX_Math" w:hAnsi="Cambria Math" w:cs="Times New Roman"/>
              <w:kern w:val="0"/>
              <w:sz w:val="24"/>
              <w:lang w:bidi="ar"/>
            </w:rPr>
            <m:t>Y(1)XLearner=fT=1(X)Y(1)=fT=1(X)</m:t>
          </m:r>
        </m:oMath>
      </m:oMathPara>
    </w:p>
    <w:p w14:paraId="1D40D5E9" w14:textId="77777777" w:rsidR="00A65854" w:rsidRDefault="00000000">
      <w:pPr>
        <w:widowControl/>
        <w:spacing w:line="480" w:lineRule="auto"/>
        <w:ind w:firstLineChars="200" w:firstLine="480"/>
        <w:rPr>
          <w:rFonts w:ascii="Times New Roman" w:eastAsia="宋体" w:hAnsi="Times New Roman" w:cs="Times New Roman"/>
          <w:sz w:val="24"/>
        </w:rPr>
      </w:pPr>
      <w:proofErr w:type="spellStart"/>
      <w:r>
        <w:rPr>
          <w:rFonts w:ascii="Times New Roman" w:eastAsia="宋体" w:hAnsi="Times New Roman" w:cs="Times New Roman"/>
          <w:sz w:val="24"/>
        </w:rPr>
        <w:lastRenderedPageBreak/>
        <w:t>LinearDRLearner</w:t>
      </w:r>
      <w:proofErr w:type="spellEnd"/>
      <w:r>
        <w:rPr>
          <w:rFonts w:ascii="Times New Roman" w:eastAsia="宋体" w:hAnsi="Times New Roman" w:cs="Times New Roman"/>
          <w:sz w:val="24"/>
        </w:rPr>
        <w:t xml:space="preserve"> is a double regression learning method that combines the propensity score model with the outcome model. It improves the estimation accuracy of causal effects by adjusting for the bias in potential outcomes. </w:t>
      </w:r>
      <w:proofErr w:type="spellStart"/>
      <w:r>
        <w:rPr>
          <w:rFonts w:ascii="Times New Roman" w:eastAsia="宋体" w:hAnsi="Times New Roman" w:cs="Times New Roman"/>
          <w:sz w:val="24"/>
        </w:rPr>
        <w:t>LinearDRLearner</w:t>
      </w:r>
      <w:proofErr w:type="spellEnd"/>
      <w:r>
        <w:rPr>
          <w:rFonts w:ascii="Times New Roman" w:eastAsia="宋体" w:hAnsi="Times New Roman" w:cs="Times New Roman"/>
          <w:sz w:val="24"/>
        </w:rPr>
        <w:t xml:space="preserve"> typically requires that there are linear relationships among the data. The formula is as follows:</w:t>
      </w:r>
    </w:p>
    <w:p w14:paraId="5B5B0F9A" w14:textId="77777777" w:rsidR="00A65854" w:rsidRDefault="00000000">
      <w:pPr>
        <w:widowControl/>
        <w:spacing w:line="480" w:lineRule="auto"/>
        <w:ind w:firstLineChars="200" w:firstLine="480"/>
        <w:jc w:val="left"/>
        <w:rPr>
          <w:rFonts w:ascii="宋体" w:eastAsia="宋体" w:hAnsi="宋体" w:cs="宋体"/>
          <w:i/>
          <w:iCs/>
          <w:kern w:val="0"/>
          <w:sz w:val="24"/>
          <w:lang w:bidi="ar"/>
        </w:rPr>
      </w:pPr>
      <w:r>
        <w:rPr>
          <w:rFonts w:ascii="宋体" w:eastAsia="宋体" w:hAnsi="宋体" w:cs="宋体"/>
          <w:i/>
          <w:iCs/>
          <w:kern w:val="0"/>
          <w:sz w:val="24"/>
          <w:lang w:bidi="ar"/>
        </w:rPr>
        <w:t>Propensity Score Model</w:t>
      </w:r>
      <w:r>
        <w:rPr>
          <w:rFonts w:ascii="宋体" w:eastAsia="宋体" w:hAnsi="宋体" w:cs="宋体" w:hint="eastAsia"/>
          <w:sz w:val="24"/>
          <w:lang w:bidi="ar"/>
        </w:rPr>
        <w:t>：</w:t>
      </w:r>
    </w:p>
    <w:p w14:paraId="4F727D7B" w14:textId="77777777" w:rsidR="00A65854" w:rsidRDefault="00000000">
      <w:pPr>
        <w:widowControl/>
        <w:spacing w:line="480" w:lineRule="auto"/>
        <w:ind w:leftChars="400" w:left="840" w:firstLineChars="200" w:firstLine="480"/>
        <w:jc w:val="center"/>
        <w:rPr>
          <w:rFonts w:ascii="Times New Roman" w:eastAsia="KaTeX_Math" w:hAnsi="Times New Roman" w:cs="Times New Roman"/>
          <w:i/>
          <w:iCs/>
          <w:kern w:val="0"/>
          <w:sz w:val="24"/>
        </w:rPr>
      </w:pPr>
      <m:oMathPara>
        <m:oMathParaPr>
          <m:jc m:val="left"/>
        </m:oMathParaPr>
        <m:oMath>
          <m:r>
            <w:rPr>
              <w:rFonts w:ascii="Cambria Math" w:eastAsia="KaTeX_Math" w:hAnsi="Cambria Math" w:cs="Times New Roman"/>
              <w:kern w:val="0"/>
              <w:sz w:val="24"/>
              <w:lang w:bidi="ar"/>
            </w:rPr>
            <m:t>P(T=1∣X)=g(X)P(T=1∣X)=g(X)</m:t>
          </m:r>
        </m:oMath>
      </m:oMathPara>
    </w:p>
    <w:p w14:paraId="7644BF28" w14:textId="77777777" w:rsidR="00A65854" w:rsidRDefault="00000000">
      <w:pPr>
        <w:widowControl/>
        <w:spacing w:line="480" w:lineRule="auto"/>
        <w:ind w:firstLineChars="200" w:firstLine="480"/>
        <w:jc w:val="left"/>
        <w:rPr>
          <w:rFonts w:ascii="宋体" w:eastAsia="宋体" w:hAnsi="宋体" w:cs="宋体"/>
          <w:i/>
          <w:iCs/>
          <w:kern w:val="0"/>
          <w:sz w:val="24"/>
          <w:lang w:bidi="ar"/>
        </w:rPr>
      </w:pPr>
      <w:r>
        <w:rPr>
          <w:rFonts w:ascii="宋体" w:eastAsia="宋体" w:hAnsi="宋体" w:cs="宋体"/>
          <w:i/>
          <w:iCs/>
          <w:kern w:val="0"/>
          <w:sz w:val="24"/>
          <w:lang w:bidi="ar"/>
        </w:rPr>
        <w:t>Potential Outcomes Model</w:t>
      </w:r>
      <w:r>
        <w:rPr>
          <w:rFonts w:ascii="KaTeX_Math" w:eastAsia="KaTeX_Math" w:hAnsi="KaTeX_Math" w:cs="KaTeX_Math"/>
          <w:i/>
          <w:iCs/>
          <w:kern w:val="0"/>
          <w:sz w:val="24"/>
          <w:lang w:bidi="ar"/>
        </w:rPr>
        <w:t>：</w:t>
      </w:r>
    </w:p>
    <w:p w14:paraId="46665BD0" w14:textId="77777777" w:rsidR="00A65854" w:rsidRDefault="00000000">
      <w:pPr>
        <w:widowControl/>
        <w:spacing w:line="480" w:lineRule="auto"/>
        <w:ind w:leftChars="400" w:left="840" w:firstLineChars="200" w:firstLine="480"/>
        <w:jc w:val="center"/>
        <w:rPr>
          <w:rFonts w:ascii="Times New Roman" w:eastAsia="KaTeX_Math" w:hAnsi="Times New Roman" w:cs="Times New Roman"/>
          <w:i/>
          <w:iCs/>
          <w:kern w:val="0"/>
          <w:sz w:val="24"/>
          <w:lang w:bidi="ar"/>
        </w:rPr>
      </w:pPr>
      <m:oMathPara>
        <m:oMathParaPr>
          <m:jc m:val="left"/>
        </m:oMathParaPr>
        <m:oMath>
          <m:r>
            <w:rPr>
              <w:rFonts w:ascii="Cambria Math" w:eastAsia="KaTeX_Math" w:hAnsi="Cambria Math" w:cs="Times New Roman"/>
              <w:kern w:val="0"/>
              <w:sz w:val="24"/>
              <w:lang w:bidi="ar"/>
            </w:rPr>
            <m:t>Y(0)=</m:t>
          </m:r>
          <m:r>
            <w:rPr>
              <w:rFonts w:ascii="Cambria Math" w:eastAsia="KaTeX_Math" w:hAnsi="Cambria Math" w:cs="Times New Roman"/>
              <w:kern w:val="0"/>
              <w:sz w:val="24"/>
              <w:lang w:bidi="ar"/>
            </w:rPr>
            <m:t>h0(X),Y(1)=</m:t>
          </m:r>
          <m:r>
            <w:rPr>
              <w:rFonts w:ascii="Cambria Math" w:eastAsia="KaTeX_Math" w:hAnsi="Cambria Math" w:cs="Times New Roman"/>
              <w:kern w:val="0"/>
              <w:sz w:val="24"/>
              <w:lang w:bidi="ar"/>
            </w:rPr>
            <m:t>h</m:t>
          </m:r>
          <m:r>
            <w:rPr>
              <w:rFonts w:ascii="Cambria Math" w:eastAsia="KaTeX_Math" w:hAnsi="Cambria Math" w:cs="Times New Roman"/>
              <w:kern w:val="0"/>
              <w:sz w:val="24"/>
              <w:lang w:bidi="ar"/>
            </w:rPr>
            <m:t>1(X)Y(0)=</m:t>
          </m:r>
          <m:r>
            <w:rPr>
              <w:rFonts w:ascii="Cambria Math" w:eastAsia="KaTeX_Math" w:hAnsi="Cambria Math" w:cs="Times New Roman"/>
              <w:kern w:val="0"/>
              <w:sz w:val="24"/>
              <w:lang w:bidi="ar"/>
            </w:rPr>
            <m:t>h</m:t>
          </m:r>
          <m:r>
            <w:rPr>
              <w:rFonts w:ascii="Cambria Math" w:eastAsia="KaTeX_Math" w:hAnsi="Cambria Math" w:cs="Times New Roman"/>
              <w:kern w:val="0"/>
              <w:sz w:val="24"/>
              <w:lang w:bidi="ar"/>
            </w:rPr>
            <m:t>0(X),Y(1)=</m:t>
          </m:r>
          <m:r>
            <w:rPr>
              <w:rFonts w:ascii="Cambria Math" w:eastAsia="KaTeX_Math" w:hAnsi="Cambria Math" w:cs="Times New Roman"/>
              <w:kern w:val="0"/>
              <w:sz w:val="24"/>
              <w:lang w:bidi="ar"/>
            </w:rPr>
            <m:t>h</m:t>
          </m:r>
          <m:r>
            <w:rPr>
              <w:rFonts w:ascii="Cambria Math" w:eastAsia="KaTeX_Math" w:hAnsi="Cambria Math" w:cs="Times New Roman"/>
              <w:kern w:val="0"/>
              <w:sz w:val="24"/>
              <w:lang w:bidi="ar"/>
            </w:rPr>
            <m:t>1(X)</m:t>
          </m:r>
        </m:oMath>
      </m:oMathPara>
    </w:p>
    <w:p w14:paraId="5FDD252F" w14:textId="77777777" w:rsidR="00A65854" w:rsidRDefault="00A65854">
      <w:pPr>
        <w:widowControl/>
        <w:spacing w:line="480" w:lineRule="auto"/>
        <w:ind w:firstLineChars="200" w:firstLine="480"/>
        <w:jc w:val="center"/>
        <w:rPr>
          <w:rFonts w:ascii="Times New Roman" w:eastAsia="宋体" w:hAnsi="Times New Roman" w:cs="Times New Roman"/>
          <w:sz w:val="24"/>
          <w:lang w:bidi="ar"/>
        </w:rPr>
      </w:pPr>
    </w:p>
    <w:p w14:paraId="41E8681F" w14:textId="77777777" w:rsidR="00A65854" w:rsidRDefault="00000000">
      <w:pPr>
        <w:widowControl/>
        <w:spacing w:line="480" w:lineRule="auto"/>
        <w:ind w:firstLineChars="200" w:firstLine="480"/>
        <w:rPr>
          <w:rFonts w:ascii="Times New Roman" w:eastAsia="宋体" w:hAnsi="Times New Roman" w:cs="Times New Roman"/>
          <w:sz w:val="24"/>
        </w:rPr>
      </w:pPr>
      <w:r>
        <w:rPr>
          <w:rFonts w:ascii="Times New Roman" w:eastAsia="宋体" w:hAnsi="Times New Roman" w:cs="Times New Roman"/>
          <w:sz w:val="24"/>
        </w:rPr>
        <w:t xml:space="preserve">The AUUC curve calculated using Cumulative Gain (Cumulative Gain Curve) is shown in </w:t>
      </w:r>
      <w:r>
        <w:rPr>
          <w:rFonts w:ascii="Times New Roman" w:eastAsia="Helvetica" w:hAnsi="Times New Roman" w:cs="Times New Roman"/>
          <w:color w:val="060607"/>
          <w:spacing w:val="3"/>
          <w:sz w:val="24"/>
          <w:shd w:val="clear" w:color="auto" w:fill="FFFFFF"/>
        </w:rPr>
        <w:t>Fi</w:t>
      </w:r>
      <w:r>
        <w:rPr>
          <w:rFonts w:ascii="Times New Roman" w:eastAsia="宋体" w:hAnsi="Times New Roman" w:cs="Times New Roman" w:hint="eastAsia"/>
          <w:color w:val="060607"/>
          <w:spacing w:val="3"/>
          <w:sz w:val="24"/>
          <w:shd w:val="clear" w:color="auto" w:fill="FFFFFF"/>
        </w:rPr>
        <w:t>g.</w:t>
      </w:r>
      <w:r>
        <w:rPr>
          <w:rFonts w:ascii="Times New Roman" w:eastAsia="Helvetica" w:hAnsi="Times New Roman" w:cs="Times New Roman"/>
          <w:color w:val="060607"/>
          <w:spacing w:val="3"/>
          <w:sz w:val="24"/>
          <w:shd w:val="clear" w:color="auto" w:fill="FFFFFF"/>
        </w:rPr>
        <w:t xml:space="preserve"> 1</w:t>
      </w:r>
      <w:r>
        <w:rPr>
          <w:rFonts w:ascii="Times New Roman" w:eastAsia="宋体" w:hAnsi="Times New Roman" w:cs="Times New Roman"/>
          <w:sz w:val="24"/>
        </w:rPr>
        <w:t>. We can observe that all models perform better than the random baseline at the bottom. The random baseline is a hypothetical curve representing the potential effect of randomly selecting users without any model intervention or</w:t>
      </w:r>
      <w:r>
        <w:rPr>
          <w:rFonts w:ascii="Times New Roman" w:eastAsia="宋体" w:hAnsi="Times New Roman" w:cs="Times New Roman" w:hint="eastAsia"/>
          <w:sz w:val="24"/>
        </w:rPr>
        <w:t xml:space="preserve"> </w:t>
      </w:r>
      <w:r>
        <w:rPr>
          <w:rFonts w:ascii="Times New Roman" w:eastAsia="宋体" w:hAnsi="Times New Roman" w:cs="Times New Roman"/>
          <w:sz w:val="24"/>
        </w:rPr>
        <w:t xml:space="preserve">prediction. Such results preliminarily validate the effectiveness of the model design. At the same time, we find that using </w:t>
      </w:r>
      <w:proofErr w:type="spellStart"/>
      <w:r>
        <w:rPr>
          <w:rFonts w:ascii="Times New Roman" w:eastAsia="宋体" w:hAnsi="Times New Roman" w:cs="Times New Roman"/>
          <w:sz w:val="24"/>
        </w:rPr>
        <w:t>TLearner</w:t>
      </w:r>
      <w:proofErr w:type="spellEnd"/>
      <w:r>
        <w:rPr>
          <w:rFonts w:ascii="Times New Roman" w:eastAsia="宋体" w:hAnsi="Times New Roman" w:cs="Times New Roman"/>
          <w:sz w:val="24"/>
        </w:rPr>
        <w:t xml:space="preserve">, </w:t>
      </w:r>
      <w:proofErr w:type="spellStart"/>
      <w:r>
        <w:rPr>
          <w:rFonts w:ascii="Times New Roman" w:eastAsia="宋体" w:hAnsi="Times New Roman" w:cs="Times New Roman"/>
          <w:sz w:val="24"/>
        </w:rPr>
        <w:t>XLearner</w:t>
      </w:r>
      <w:proofErr w:type="spellEnd"/>
      <w:r>
        <w:rPr>
          <w:rFonts w:ascii="Times New Roman" w:eastAsia="宋体" w:hAnsi="Times New Roman" w:cs="Times New Roman"/>
          <w:sz w:val="24"/>
        </w:rPr>
        <w:t xml:space="preserve">, and </w:t>
      </w:r>
      <w:proofErr w:type="spellStart"/>
      <w:r>
        <w:rPr>
          <w:rFonts w:ascii="Times New Roman" w:eastAsia="宋体" w:hAnsi="Times New Roman" w:cs="Times New Roman"/>
          <w:sz w:val="24"/>
        </w:rPr>
        <w:t>CausalForestDML</w:t>
      </w:r>
      <w:proofErr w:type="spellEnd"/>
      <w:r>
        <w:rPr>
          <w:rFonts w:ascii="Times New Roman" w:eastAsia="宋体" w:hAnsi="Times New Roman" w:cs="Times New Roman"/>
          <w:sz w:val="24"/>
        </w:rPr>
        <w:t xml:space="preserve"> methods generally yields better treatment effects than other models in most cases, which is attributed to the complex nonlinear relationships present in the data used in this study. Linear models tend to be overly sensitive to a few outliers, failing to capture the interactions among multiple variables that may exist in complex psychological phenomena and behavioral studies. The evaluation criterion for the Cumulative Gain Curve is that if a model can reach a maximum value with fewer gain samples (on the x-axis), it indicates that the model has better discriminative performance. Among the five models, </w:t>
      </w:r>
      <w:proofErr w:type="spellStart"/>
      <w:r>
        <w:rPr>
          <w:rFonts w:ascii="Times New Roman" w:eastAsia="宋体" w:hAnsi="Times New Roman" w:cs="Times New Roman"/>
          <w:sz w:val="24"/>
        </w:rPr>
        <w:t>TLearner</w:t>
      </w:r>
      <w:proofErr w:type="spellEnd"/>
      <w:r>
        <w:rPr>
          <w:rFonts w:ascii="Times New Roman" w:eastAsia="宋体" w:hAnsi="Times New Roman" w:cs="Times New Roman"/>
          <w:sz w:val="24"/>
        </w:rPr>
        <w:t xml:space="preserve"> exhibits a larger area of cumulative gain and reaches its </w:t>
      </w:r>
      <w:r>
        <w:rPr>
          <w:rFonts w:ascii="Times New Roman" w:eastAsia="宋体" w:hAnsi="Times New Roman" w:cs="Times New Roman"/>
          <w:sz w:val="24"/>
        </w:rPr>
        <w:lastRenderedPageBreak/>
        <w:t xml:space="preserve">peak value first before declining, indicating it has the best performance. As mentioned earlier, one of the advantages of the </w:t>
      </w:r>
      <w:proofErr w:type="spellStart"/>
      <w:r>
        <w:rPr>
          <w:rFonts w:ascii="Times New Roman" w:eastAsia="宋体" w:hAnsi="Times New Roman" w:cs="Times New Roman"/>
          <w:sz w:val="24"/>
        </w:rPr>
        <w:t>EconML</w:t>
      </w:r>
      <w:proofErr w:type="spellEnd"/>
      <w:r>
        <w:rPr>
          <w:rFonts w:ascii="Times New Roman" w:eastAsia="宋体" w:hAnsi="Times New Roman" w:cs="Times New Roman"/>
          <w:sz w:val="24"/>
        </w:rPr>
        <w:t xml:space="preserve"> model is its ability to output model significance to test the validity of the model. As shown in the table, both </w:t>
      </w:r>
      <w:proofErr w:type="spellStart"/>
      <w:r>
        <w:rPr>
          <w:rFonts w:ascii="Times New Roman" w:eastAsia="宋体" w:hAnsi="Times New Roman" w:cs="Times New Roman"/>
          <w:sz w:val="24"/>
        </w:rPr>
        <w:t>TLearner</w:t>
      </w:r>
      <w:proofErr w:type="spellEnd"/>
      <w:r>
        <w:rPr>
          <w:rFonts w:ascii="Times New Roman" w:eastAsia="宋体" w:hAnsi="Times New Roman" w:cs="Times New Roman"/>
          <w:sz w:val="24"/>
        </w:rPr>
        <w:t xml:space="preserve"> and </w:t>
      </w:r>
      <w:proofErr w:type="spellStart"/>
      <w:r>
        <w:rPr>
          <w:rFonts w:ascii="Times New Roman" w:eastAsia="宋体" w:hAnsi="Times New Roman" w:cs="Times New Roman"/>
          <w:sz w:val="24"/>
        </w:rPr>
        <w:t>XLearner</w:t>
      </w:r>
      <w:proofErr w:type="spellEnd"/>
      <w:r>
        <w:rPr>
          <w:rFonts w:ascii="Times New Roman" w:eastAsia="宋体" w:hAnsi="Times New Roman" w:cs="Times New Roman"/>
          <w:sz w:val="24"/>
        </w:rPr>
        <w:t xml:space="preserve"> meet the significance level of 0.1. Given that this study has a moderately sized sample and there is not a significant difference between treatment and control group sizes, we chose </w:t>
      </w:r>
      <w:proofErr w:type="spellStart"/>
      <w:r>
        <w:rPr>
          <w:rFonts w:ascii="Times New Roman" w:eastAsia="宋体" w:hAnsi="Times New Roman" w:cs="Times New Roman"/>
          <w:sz w:val="24"/>
        </w:rPr>
        <w:t>TLearner</w:t>
      </w:r>
      <w:proofErr w:type="spellEnd"/>
      <w:r>
        <w:rPr>
          <w:rFonts w:ascii="Times New Roman" w:eastAsia="宋体" w:hAnsi="Times New Roman" w:cs="Times New Roman"/>
          <w:sz w:val="24"/>
        </w:rPr>
        <w:t xml:space="preserve"> as the meta-learner to construct our model and enhance its performance. Details can be found in Table </w:t>
      </w:r>
      <w:r>
        <w:rPr>
          <w:rFonts w:ascii="Times New Roman" w:eastAsia="宋体" w:hAnsi="Times New Roman" w:cs="Times New Roman" w:hint="eastAsia"/>
          <w:sz w:val="24"/>
        </w:rPr>
        <w:t>1</w:t>
      </w:r>
      <w:r>
        <w:rPr>
          <w:rFonts w:ascii="Times New Roman" w:eastAsia="宋体" w:hAnsi="Times New Roman" w:cs="Times New Roman"/>
          <w:sz w:val="24"/>
        </w:rPr>
        <w:t>.</w:t>
      </w:r>
    </w:p>
    <w:p w14:paraId="0BEF4442" w14:textId="77777777" w:rsidR="00A65854" w:rsidRDefault="00A65854">
      <w:pPr>
        <w:widowControl/>
        <w:spacing w:line="480" w:lineRule="auto"/>
        <w:rPr>
          <w:rFonts w:ascii="Times New Roman" w:eastAsia="宋体" w:hAnsi="Times New Roman" w:cs="Times New Roman"/>
          <w:sz w:val="24"/>
          <w:lang w:bidi="ar"/>
        </w:rPr>
      </w:pPr>
    </w:p>
    <w:p w14:paraId="751A4707" w14:textId="77777777" w:rsidR="00A65854" w:rsidRDefault="00000000">
      <w:pPr>
        <w:widowControl/>
        <w:spacing w:line="480" w:lineRule="auto"/>
        <w:ind w:firstLineChars="200" w:firstLine="420"/>
        <w:jc w:val="center"/>
        <w:rPr>
          <w:rFonts w:ascii="宋体" w:eastAsia="宋体" w:hAnsi="宋体" w:cs="宋体"/>
          <w:sz w:val="24"/>
          <w:lang w:bidi="ar"/>
        </w:rPr>
      </w:pPr>
      <w:r>
        <w:rPr>
          <w:noProof/>
          <w:position w:val="-79"/>
        </w:rPr>
        <w:drawing>
          <wp:inline distT="0" distB="0" distL="0" distR="0" wp14:anchorId="462BBC33" wp14:editId="74B3A2C0">
            <wp:extent cx="4033520" cy="3836256"/>
            <wp:effectExtent l="0" t="0" r="508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6"/>
                    <a:stretch>
                      <a:fillRect/>
                    </a:stretch>
                  </pic:blipFill>
                  <pic:spPr>
                    <a:xfrm>
                      <a:off x="0" y="0"/>
                      <a:ext cx="4033520" cy="3836256"/>
                    </a:xfrm>
                    <a:prstGeom prst="rect">
                      <a:avLst/>
                    </a:prstGeom>
                  </pic:spPr>
                </pic:pic>
              </a:graphicData>
            </a:graphic>
          </wp:inline>
        </w:drawing>
      </w:r>
    </w:p>
    <w:p w14:paraId="0C23DA72" w14:textId="77777777" w:rsidR="00A65854" w:rsidRDefault="00000000">
      <w:pPr>
        <w:pStyle w:val="a3"/>
        <w:spacing w:before="54" w:line="201" w:lineRule="auto"/>
        <w:ind w:left="1677"/>
        <w:jc w:val="center"/>
        <w:outlineLvl w:val="0"/>
      </w:pPr>
      <w:r>
        <w:rPr>
          <w:b/>
          <w:bCs/>
          <w:spacing w:val="4"/>
        </w:rPr>
        <w:t>Fig.</w:t>
      </w:r>
      <w:r>
        <w:rPr>
          <w:b/>
          <w:bCs/>
          <w:spacing w:val="38"/>
          <w:w w:val="101"/>
        </w:rPr>
        <w:t xml:space="preserve"> </w:t>
      </w:r>
      <w:proofErr w:type="gramStart"/>
      <w:r>
        <w:rPr>
          <w:b/>
          <w:bCs/>
          <w:spacing w:val="4"/>
        </w:rPr>
        <w:t xml:space="preserve">1  </w:t>
      </w:r>
      <w:r>
        <w:rPr>
          <w:spacing w:val="4"/>
        </w:rPr>
        <w:t>AUUC</w:t>
      </w:r>
      <w:proofErr w:type="gramEnd"/>
      <w:r>
        <w:rPr>
          <w:spacing w:val="12"/>
        </w:rPr>
        <w:t xml:space="preserve"> </w:t>
      </w:r>
      <w:r>
        <w:rPr>
          <w:spacing w:val="4"/>
        </w:rPr>
        <w:t>Curves</w:t>
      </w:r>
      <w:r>
        <w:rPr>
          <w:spacing w:val="15"/>
        </w:rPr>
        <w:t xml:space="preserve"> </w:t>
      </w:r>
      <w:r>
        <w:rPr>
          <w:spacing w:val="4"/>
        </w:rPr>
        <w:t>for Various</w:t>
      </w:r>
      <w:r>
        <w:rPr>
          <w:spacing w:val="8"/>
        </w:rPr>
        <w:t xml:space="preserve"> </w:t>
      </w:r>
      <w:r>
        <w:rPr>
          <w:spacing w:val="4"/>
        </w:rPr>
        <w:t>Mod</w:t>
      </w:r>
      <w:r>
        <w:rPr>
          <w:spacing w:val="3"/>
        </w:rPr>
        <w:t>els</w:t>
      </w:r>
    </w:p>
    <w:p w14:paraId="5680077A" w14:textId="77777777" w:rsidR="00A65854" w:rsidRDefault="00A65854">
      <w:pPr>
        <w:spacing w:line="480" w:lineRule="auto"/>
        <w:rPr>
          <w:rFonts w:ascii="Times New Roman" w:eastAsia="Times New Roman" w:hAnsi="Times New Roman" w:cs="Times New Roman"/>
          <w:spacing w:val="11"/>
          <w:sz w:val="24"/>
        </w:rPr>
      </w:pPr>
    </w:p>
    <w:p w14:paraId="08ABB8C7" w14:textId="77777777" w:rsidR="00A65854" w:rsidRDefault="00A65854">
      <w:pPr>
        <w:spacing w:line="480" w:lineRule="auto"/>
        <w:jc w:val="center"/>
        <w:rPr>
          <w:rFonts w:ascii="Times New Roman" w:eastAsia="Times New Roman" w:hAnsi="Times New Roman" w:cs="Times New Roman"/>
          <w:spacing w:val="11"/>
          <w:sz w:val="24"/>
        </w:rPr>
      </w:pPr>
    </w:p>
    <w:p w14:paraId="3EDC5B85" w14:textId="77777777" w:rsidR="00A65854" w:rsidRDefault="00A65854">
      <w:pPr>
        <w:spacing w:line="480" w:lineRule="auto"/>
        <w:jc w:val="center"/>
        <w:rPr>
          <w:rFonts w:ascii="Times New Roman" w:eastAsia="Times New Roman" w:hAnsi="Times New Roman" w:cs="Times New Roman"/>
          <w:spacing w:val="11"/>
          <w:sz w:val="24"/>
        </w:rPr>
      </w:pPr>
    </w:p>
    <w:p w14:paraId="26AFE41F" w14:textId="77777777" w:rsidR="00A65854" w:rsidRDefault="00A65854">
      <w:pPr>
        <w:spacing w:line="480" w:lineRule="auto"/>
        <w:jc w:val="center"/>
        <w:rPr>
          <w:rFonts w:ascii="Times New Roman" w:eastAsia="Times New Roman" w:hAnsi="Times New Roman" w:cs="Times New Roman"/>
          <w:spacing w:val="11"/>
          <w:sz w:val="24"/>
        </w:rPr>
      </w:pPr>
    </w:p>
    <w:p w14:paraId="44CF34D4" w14:textId="77777777" w:rsidR="00A65854" w:rsidRDefault="00A65854">
      <w:pPr>
        <w:spacing w:line="480" w:lineRule="auto"/>
        <w:jc w:val="center"/>
        <w:rPr>
          <w:rFonts w:ascii="Times New Roman" w:eastAsia="Times New Roman" w:hAnsi="Times New Roman" w:cs="Times New Roman"/>
          <w:spacing w:val="11"/>
          <w:sz w:val="24"/>
        </w:rPr>
      </w:pPr>
    </w:p>
    <w:p w14:paraId="5C2A925D" w14:textId="77777777" w:rsidR="00A65854" w:rsidRDefault="00A65854">
      <w:pPr>
        <w:spacing w:line="480" w:lineRule="auto"/>
        <w:jc w:val="center"/>
        <w:rPr>
          <w:rFonts w:ascii="Times New Roman" w:eastAsia="Times New Roman" w:hAnsi="Times New Roman" w:cs="Times New Roman"/>
          <w:spacing w:val="11"/>
          <w:sz w:val="24"/>
        </w:rPr>
      </w:pPr>
    </w:p>
    <w:p w14:paraId="683DE275" w14:textId="77777777" w:rsidR="00A65854" w:rsidRDefault="00000000">
      <w:pPr>
        <w:pStyle w:val="a3"/>
        <w:spacing w:line="200" w:lineRule="auto"/>
        <w:ind w:left="122"/>
      </w:pPr>
      <w:r>
        <w:rPr>
          <w:b/>
          <w:bCs/>
          <w:color w:val="060607"/>
          <w:spacing w:val="6"/>
        </w:rPr>
        <w:t>Table</w:t>
      </w:r>
      <w:r>
        <w:rPr>
          <w:b/>
          <w:bCs/>
          <w:color w:val="060607"/>
          <w:spacing w:val="20"/>
          <w:w w:val="101"/>
        </w:rPr>
        <w:t xml:space="preserve"> </w:t>
      </w:r>
      <w:r>
        <w:rPr>
          <w:rFonts w:eastAsia="宋体" w:hint="eastAsia"/>
          <w:b/>
          <w:bCs/>
          <w:color w:val="060607"/>
          <w:spacing w:val="6"/>
          <w:lang w:eastAsia="zh-CN"/>
        </w:rPr>
        <w:t>1</w:t>
      </w:r>
      <w:r>
        <w:rPr>
          <w:b/>
          <w:bCs/>
          <w:color w:val="060607"/>
          <w:spacing w:val="6"/>
        </w:rPr>
        <w:t xml:space="preserve"> </w:t>
      </w:r>
      <w:r>
        <w:rPr>
          <w:color w:val="060607"/>
          <w:spacing w:val="6"/>
        </w:rPr>
        <w:t>Model Validity</w:t>
      </w:r>
      <w:r>
        <w:rPr>
          <w:color w:val="060607"/>
          <w:spacing w:val="24"/>
        </w:rPr>
        <w:t xml:space="preserve"> </w:t>
      </w:r>
      <w:r>
        <w:rPr>
          <w:color w:val="060607"/>
          <w:spacing w:val="6"/>
        </w:rPr>
        <w:t>Significance</w:t>
      </w:r>
    </w:p>
    <w:tbl>
      <w:tblPr>
        <w:tblStyle w:val="TableNormal"/>
        <w:tblW w:w="8522" w:type="dxa"/>
        <w:tblInd w:w="40"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Look w:val="04A0" w:firstRow="1" w:lastRow="0" w:firstColumn="1" w:lastColumn="0" w:noHBand="0" w:noVBand="1"/>
      </w:tblPr>
      <w:tblGrid>
        <w:gridCol w:w="5283"/>
        <w:gridCol w:w="3239"/>
      </w:tblGrid>
      <w:tr w:rsidR="00A65854" w14:paraId="3BDA1F9B" w14:textId="77777777">
        <w:trPr>
          <w:trHeight w:val="813"/>
        </w:trPr>
        <w:tc>
          <w:tcPr>
            <w:tcW w:w="5283" w:type="dxa"/>
            <w:tcBorders>
              <w:top w:val="single" w:sz="10" w:space="0" w:color="000000"/>
              <w:bottom w:val="single" w:sz="6" w:space="0" w:color="000000"/>
            </w:tcBorders>
          </w:tcPr>
          <w:p w14:paraId="29259931" w14:textId="77777777" w:rsidR="00A65854" w:rsidRDefault="00A65854">
            <w:pPr>
              <w:spacing w:line="282" w:lineRule="auto"/>
              <w:rPr>
                <w:rFonts w:ascii="Arial"/>
              </w:rPr>
            </w:pPr>
          </w:p>
          <w:p w14:paraId="2272BBDA" w14:textId="77777777" w:rsidR="00A65854" w:rsidRDefault="00000000">
            <w:pPr>
              <w:pStyle w:val="TableText"/>
              <w:spacing w:before="55" w:line="199" w:lineRule="auto"/>
              <w:ind w:left="2816"/>
            </w:pPr>
            <w:r>
              <w:rPr>
                <w:spacing w:val="4"/>
              </w:rPr>
              <w:t>Model</w:t>
            </w:r>
          </w:p>
        </w:tc>
        <w:tc>
          <w:tcPr>
            <w:tcW w:w="3239" w:type="dxa"/>
            <w:tcBorders>
              <w:top w:val="single" w:sz="10" w:space="0" w:color="000000"/>
              <w:bottom w:val="single" w:sz="6" w:space="0" w:color="000000"/>
            </w:tcBorders>
          </w:tcPr>
          <w:p w14:paraId="269D65E0" w14:textId="77777777" w:rsidR="00A65854" w:rsidRDefault="00A65854">
            <w:pPr>
              <w:spacing w:line="282" w:lineRule="auto"/>
              <w:rPr>
                <w:rFonts w:ascii="Arial"/>
              </w:rPr>
            </w:pPr>
          </w:p>
          <w:p w14:paraId="7F5A0761" w14:textId="77777777" w:rsidR="00A65854" w:rsidRDefault="00000000">
            <w:pPr>
              <w:pStyle w:val="TableText"/>
              <w:spacing w:before="55" w:line="201" w:lineRule="auto"/>
              <w:ind w:left="1469"/>
            </w:pPr>
            <w:r>
              <w:rPr>
                <w:color w:val="060607"/>
                <w:spacing w:val="6"/>
              </w:rPr>
              <w:t xml:space="preserve">Significance </w:t>
            </w:r>
            <w:r>
              <w:rPr>
                <w:spacing w:val="6"/>
              </w:rPr>
              <w:t>p</w:t>
            </w:r>
          </w:p>
        </w:tc>
      </w:tr>
      <w:tr w:rsidR="00A65854" w14:paraId="71F59804" w14:textId="77777777">
        <w:trPr>
          <w:trHeight w:val="417"/>
        </w:trPr>
        <w:tc>
          <w:tcPr>
            <w:tcW w:w="5283" w:type="dxa"/>
            <w:tcBorders>
              <w:top w:val="single" w:sz="6" w:space="0" w:color="000000"/>
            </w:tcBorders>
          </w:tcPr>
          <w:p w14:paraId="39FB5174" w14:textId="77777777" w:rsidR="00A65854" w:rsidRDefault="00000000">
            <w:pPr>
              <w:pStyle w:val="TableText"/>
              <w:spacing w:before="156" w:line="199" w:lineRule="auto"/>
              <w:ind w:left="2596"/>
            </w:pPr>
            <w:proofErr w:type="spellStart"/>
            <w:r>
              <w:rPr>
                <w:spacing w:val="4"/>
              </w:rPr>
              <w:t>LinearDML</w:t>
            </w:r>
            <w:proofErr w:type="spellEnd"/>
          </w:p>
        </w:tc>
        <w:tc>
          <w:tcPr>
            <w:tcW w:w="3239" w:type="dxa"/>
            <w:tcBorders>
              <w:top w:val="single" w:sz="6" w:space="0" w:color="000000"/>
            </w:tcBorders>
          </w:tcPr>
          <w:p w14:paraId="7970A84D" w14:textId="77777777" w:rsidR="00A65854" w:rsidRDefault="00000000">
            <w:pPr>
              <w:pStyle w:val="TableText"/>
              <w:spacing w:before="160" w:line="195" w:lineRule="auto"/>
              <w:ind w:left="1884"/>
            </w:pPr>
            <w:r>
              <w:rPr>
                <w:spacing w:val="2"/>
              </w:rPr>
              <w:t>0.67</w:t>
            </w:r>
          </w:p>
        </w:tc>
      </w:tr>
      <w:tr w:rsidR="00A65854" w14:paraId="70CCF821" w14:textId="77777777">
        <w:trPr>
          <w:trHeight w:val="378"/>
        </w:trPr>
        <w:tc>
          <w:tcPr>
            <w:tcW w:w="5283" w:type="dxa"/>
          </w:tcPr>
          <w:p w14:paraId="75D5D001" w14:textId="77777777" w:rsidR="00A65854" w:rsidRDefault="00000000">
            <w:pPr>
              <w:pStyle w:val="TableText"/>
              <w:spacing w:before="140" w:line="199" w:lineRule="auto"/>
              <w:ind w:left="2338"/>
            </w:pPr>
            <w:proofErr w:type="spellStart"/>
            <w:r>
              <w:rPr>
                <w:spacing w:val="4"/>
              </w:rPr>
              <w:t>CausalForestDML</w:t>
            </w:r>
            <w:proofErr w:type="spellEnd"/>
          </w:p>
        </w:tc>
        <w:tc>
          <w:tcPr>
            <w:tcW w:w="3239" w:type="dxa"/>
          </w:tcPr>
          <w:p w14:paraId="2699AEA0" w14:textId="77777777" w:rsidR="00A65854" w:rsidRDefault="00000000">
            <w:pPr>
              <w:pStyle w:val="TableText"/>
              <w:spacing w:before="143" w:line="195" w:lineRule="auto"/>
              <w:ind w:left="1884"/>
            </w:pPr>
            <w:r>
              <w:rPr>
                <w:spacing w:val="2"/>
              </w:rPr>
              <w:t>0.34</w:t>
            </w:r>
          </w:p>
        </w:tc>
      </w:tr>
      <w:tr w:rsidR="00A65854" w14:paraId="7399D52A" w14:textId="77777777">
        <w:trPr>
          <w:trHeight w:val="361"/>
        </w:trPr>
        <w:tc>
          <w:tcPr>
            <w:tcW w:w="5283" w:type="dxa"/>
          </w:tcPr>
          <w:p w14:paraId="0257F930" w14:textId="77777777" w:rsidR="00A65854" w:rsidRDefault="00000000">
            <w:pPr>
              <w:pStyle w:val="TableText"/>
              <w:spacing w:before="124" w:line="199" w:lineRule="auto"/>
              <w:ind w:left="2742"/>
            </w:pPr>
            <w:proofErr w:type="spellStart"/>
            <w:r>
              <w:rPr>
                <w:spacing w:val="3"/>
              </w:rPr>
              <w:t>Tlearner</w:t>
            </w:r>
            <w:proofErr w:type="spellEnd"/>
          </w:p>
        </w:tc>
        <w:tc>
          <w:tcPr>
            <w:tcW w:w="3239" w:type="dxa"/>
          </w:tcPr>
          <w:p w14:paraId="03FF48D5" w14:textId="77777777" w:rsidR="00A65854" w:rsidRDefault="00000000">
            <w:pPr>
              <w:pStyle w:val="TableText"/>
              <w:spacing w:before="128" w:line="195" w:lineRule="auto"/>
              <w:ind w:left="1884"/>
            </w:pPr>
            <w:r>
              <w:rPr>
                <w:spacing w:val="2"/>
              </w:rPr>
              <w:t>0.07</w:t>
            </w:r>
          </w:p>
        </w:tc>
      </w:tr>
      <w:tr w:rsidR="00A65854" w14:paraId="0CA6E7AC" w14:textId="77777777">
        <w:trPr>
          <w:trHeight w:val="376"/>
        </w:trPr>
        <w:tc>
          <w:tcPr>
            <w:tcW w:w="5283" w:type="dxa"/>
          </w:tcPr>
          <w:p w14:paraId="6F93AF85" w14:textId="77777777" w:rsidR="00A65854" w:rsidRDefault="00000000">
            <w:pPr>
              <w:pStyle w:val="TableText"/>
              <w:spacing w:before="132" w:line="192" w:lineRule="auto"/>
              <w:ind w:left="2692"/>
            </w:pPr>
            <w:proofErr w:type="spellStart"/>
            <w:r>
              <w:rPr>
                <w:spacing w:val="4"/>
              </w:rPr>
              <w:t>XLearner</w:t>
            </w:r>
            <w:proofErr w:type="spellEnd"/>
          </w:p>
        </w:tc>
        <w:tc>
          <w:tcPr>
            <w:tcW w:w="3239" w:type="dxa"/>
          </w:tcPr>
          <w:p w14:paraId="0FC17B61" w14:textId="77777777" w:rsidR="00A65854" w:rsidRDefault="00000000">
            <w:pPr>
              <w:pStyle w:val="TableText"/>
              <w:spacing w:before="129" w:line="195" w:lineRule="auto"/>
              <w:ind w:left="1884"/>
            </w:pPr>
            <w:r>
              <w:rPr>
                <w:spacing w:val="2"/>
              </w:rPr>
              <w:t>0.02</w:t>
            </w:r>
          </w:p>
        </w:tc>
      </w:tr>
      <w:tr w:rsidR="00A65854" w14:paraId="2752E34D" w14:textId="77777777">
        <w:trPr>
          <w:trHeight w:val="444"/>
        </w:trPr>
        <w:tc>
          <w:tcPr>
            <w:tcW w:w="5283" w:type="dxa"/>
            <w:tcBorders>
              <w:bottom w:val="single" w:sz="10" w:space="0" w:color="000000"/>
            </w:tcBorders>
          </w:tcPr>
          <w:p w14:paraId="7A126422" w14:textId="77777777" w:rsidR="00A65854" w:rsidRDefault="00000000">
            <w:pPr>
              <w:pStyle w:val="TableText"/>
              <w:spacing w:before="150" w:line="199" w:lineRule="auto"/>
              <w:ind w:left="2368"/>
            </w:pPr>
            <w:proofErr w:type="spellStart"/>
            <w:r>
              <w:rPr>
                <w:spacing w:val="4"/>
              </w:rPr>
              <w:t>LinearDRLearner</w:t>
            </w:r>
            <w:proofErr w:type="spellEnd"/>
          </w:p>
        </w:tc>
        <w:tc>
          <w:tcPr>
            <w:tcW w:w="3239" w:type="dxa"/>
            <w:tcBorders>
              <w:bottom w:val="single" w:sz="10" w:space="0" w:color="000000"/>
            </w:tcBorders>
          </w:tcPr>
          <w:p w14:paraId="2E986477" w14:textId="77777777" w:rsidR="00A65854" w:rsidRDefault="00000000">
            <w:pPr>
              <w:pStyle w:val="TableText"/>
              <w:spacing w:before="154" w:line="195" w:lineRule="auto"/>
              <w:ind w:left="1884"/>
            </w:pPr>
            <w:r>
              <w:rPr>
                <w:spacing w:val="2"/>
              </w:rPr>
              <w:t>0.43</w:t>
            </w:r>
          </w:p>
        </w:tc>
      </w:tr>
    </w:tbl>
    <w:p w14:paraId="31E6D20C" w14:textId="77777777" w:rsidR="00A65854" w:rsidRDefault="00A65854">
      <w:pPr>
        <w:widowControl/>
        <w:spacing w:line="480" w:lineRule="auto"/>
        <w:jc w:val="left"/>
        <w:rPr>
          <w:rStyle w:val="a5"/>
          <w:rFonts w:ascii="Times New Roman" w:eastAsia="Helvetica" w:hAnsi="Times New Roman" w:cs="Times New Roman"/>
          <w:bCs/>
          <w:color w:val="060607"/>
          <w:spacing w:val="3"/>
          <w:sz w:val="24"/>
          <w:shd w:val="clear" w:color="auto" w:fill="FFFFFF"/>
        </w:rPr>
      </w:pPr>
    </w:p>
    <w:p w14:paraId="7F14DE5D" w14:textId="77777777" w:rsidR="00A65854" w:rsidRDefault="00000000">
      <w:pPr>
        <w:widowControl/>
        <w:spacing w:line="480" w:lineRule="auto"/>
        <w:jc w:val="left"/>
        <w:rPr>
          <w:rFonts w:ascii="Times New Roman" w:eastAsia="宋体" w:hAnsi="Times New Roman" w:cs="Times New Roman"/>
          <w:sz w:val="24"/>
          <w:lang w:bidi="ar"/>
        </w:rPr>
      </w:pPr>
      <w:r>
        <w:rPr>
          <w:rStyle w:val="a5"/>
          <w:rFonts w:ascii="Times New Roman" w:eastAsia="Helvetica" w:hAnsi="Times New Roman" w:cs="Times New Roman"/>
          <w:bCs/>
          <w:color w:val="060607"/>
          <w:spacing w:val="3"/>
          <w:sz w:val="24"/>
          <w:shd w:val="clear" w:color="auto" w:fill="FFFFFF"/>
        </w:rPr>
        <w:t>Effectiveness Improvement</w:t>
      </w:r>
    </w:p>
    <w:p w14:paraId="5EA384FA" w14:textId="77777777" w:rsidR="00A65854" w:rsidRDefault="00000000">
      <w:pPr>
        <w:widowControl/>
        <w:spacing w:line="480" w:lineRule="auto"/>
        <w:ind w:firstLineChars="200" w:firstLine="480"/>
        <w:rPr>
          <w:rFonts w:ascii="Times New Roman" w:eastAsia="宋体" w:hAnsi="Times New Roman" w:cs="Times New Roman"/>
          <w:sz w:val="24"/>
        </w:rPr>
      </w:pPr>
      <w:proofErr w:type="spellStart"/>
      <w:r>
        <w:rPr>
          <w:rFonts w:ascii="Times New Roman" w:eastAsia="宋体" w:hAnsi="Times New Roman" w:cs="Times New Roman"/>
          <w:sz w:val="24"/>
        </w:rPr>
        <w:t>TLearner</w:t>
      </w:r>
      <w:proofErr w:type="spellEnd"/>
      <w:r>
        <w:rPr>
          <w:rFonts w:ascii="Times New Roman" w:eastAsia="宋体" w:hAnsi="Times New Roman" w:cs="Times New Roman"/>
          <w:sz w:val="24"/>
        </w:rPr>
        <w:t xml:space="preserve"> can accommodate various learning functions, taking into account the complex nonlinear relationships present in the data. In this study, Support Vector Regression (SVR) is used as the base learning function for the </w:t>
      </w:r>
      <w:proofErr w:type="spellStart"/>
      <w:r>
        <w:rPr>
          <w:rFonts w:ascii="Times New Roman" w:eastAsia="宋体" w:hAnsi="Times New Roman" w:cs="Times New Roman"/>
          <w:sz w:val="24"/>
        </w:rPr>
        <w:t>TLearner</w:t>
      </w:r>
      <w:proofErr w:type="spellEnd"/>
      <w:r>
        <w:rPr>
          <w:rFonts w:ascii="Times New Roman" w:eastAsia="宋体" w:hAnsi="Times New Roman" w:cs="Times New Roman"/>
          <w:sz w:val="24"/>
        </w:rPr>
        <w:t xml:space="preserve"> meta-learner. The advantage of SVR is that it predicts variables by constructing a loss function that is as flat as possible while minimizing it, allowing for a certain degree of error (ϵ-insensitivity) while using different kernel functions to achieve linear or nonlinear model predictions. This results in relatively accurate predictions without making the model overly complex. The formula is as follows:</w:t>
      </w:r>
    </w:p>
    <w:p w14:paraId="5E32FA87" w14:textId="781C46B5" w:rsidR="00A07EFC" w:rsidRPr="00A07EFC" w:rsidRDefault="00A07EFC" w:rsidP="00A07EFC">
      <w:pPr>
        <w:pStyle w:val="Newparagraph"/>
        <w:rPr>
          <w:rFonts w:ascii="Cambria Math" w:hAnsi="Cambria Math"/>
          <w:oMath/>
        </w:rPr>
      </w:pPr>
      <m:oMathPara>
        <m:oMathParaPr>
          <m:jc m:val="center"/>
        </m:oMathParaPr>
        <m:oMath>
          <m:r>
            <m:rPr>
              <m:sty m:val="p"/>
            </m:rPr>
            <w:rPr>
              <w:rFonts w:ascii="Cambria Math" w:hAnsi="Cambria Math"/>
            </w:rPr>
            <m:t>min</m:t>
          </m:r>
          <m:f>
            <m:fPr>
              <m:ctrlPr>
                <w:rPr>
                  <w:rFonts w:ascii="Cambria Math" w:hAnsi="Cambria Math"/>
                </w:rPr>
              </m:ctrlPr>
            </m:fPr>
            <m:num>
              <m:r>
                <m:rPr>
                  <m:sty m:val="p"/>
                </m:rPr>
                <w:rPr>
                  <w:rFonts w:ascii="Cambria Math" w:hAnsi="Cambria Math"/>
                </w:rPr>
                <m:t>1</m:t>
              </m:r>
            </m:num>
            <m:den>
              <m:r>
                <m:rPr>
                  <m:sty m:val="p"/>
                </m:rPr>
                <w:rPr>
                  <w:rFonts w:ascii="Cambria Math" w:hAnsi="Cambria Math"/>
                </w:rPr>
                <m:t>2</m:t>
              </m:r>
            </m:den>
          </m:f>
          <m:r>
            <m:rPr>
              <m:lit/>
              <m:sty m:val="p"/>
            </m:rPr>
            <w:rPr>
              <w:rFonts w:ascii="Cambria Math" w:hAnsi="Cambria Math"/>
            </w:rPr>
            <m:t>|</m:t>
          </m:r>
          <m:r>
            <w:rPr>
              <w:rFonts w:ascii="Cambria Math" w:hAnsi="Cambria Math"/>
            </w:rPr>
            <m:t>w</m:t>
          </m:r>
          <m:sSup>
            <m:sSupPr>
              <m:ctrlPr>
                <w:rPr>
                  <w:rFonts w:ascii="Cambria Math" w:hAnsi="Cambria Math"/>
                </w:rPr>
              </m:ctrlPr>
            </m:sSupPr>
            <m:e>
              <m:r>
                <m:rPr>
                  <m:lit/>
                  <m:sty m:val="p"/>
                </m:rPr>
                <w:rPr>
                  <w:rFonts w:ascii="Cambria Math" w:hAnsi="Cambria Math"/>
                </w:rPr>
                <m:t>|</m:t>
              </m:r>
            </m:e>
            <m:sup>
              <m:r>
                <m:rPr>
                  <m:sty m:val="p"/>
                </m:rPr>
                <w:rPr>
                  <w:rFonts w:ascii="Cambria Math" w:hAnsi="Cambria Math"/>
                </w:rPr>
                <m:t>2</m:t>
              </m:r>
            </m:sup>
          </m:sSup>
          <m:r>
            <m:rPr>
              <m:sty m:val="p"/>
            </m:rPr>
            <w:rPr>
              <w:rFonts w:ascii="Cambria Math" w:hAnsi="Cambria Math"/>
            </w:rPr>
            <m:t>+</m:t>
          </m:r>
          <m:r>
            <w:rPr>
              <w:rFonts w:ascii="Cambria Math" w:hAnsi="Cambria Math"/>
            </w:rPr>
            <m:t>c</m:t>
          </m:r>
          <m:nary>
            <m:naryPr>
              <m:chr m:val="∑"/>
              <m:ctrlPr>
                <w:rPr>
                  <w:rFonts w:ascii="Cambria Math" w:hAnsi="Cambria Math"/>
                </w:rPr>
              </m:ctrlPr>
            </m:naryPr>
            <m:sub>
              <m:r>
                <w:rPr>
                  <w:rFonts w:ascii="Cambria Math" w:hAnsi="Cambria Math"/>
                </w:rPr>
                <m:t>i</m:t>
              </m:r>
              <m:r>
                <m:rPr>
                  <m:sty m:val="p"/>
                </m:rPr>
                <w:rPr>
                  <w:rFonts w:ascii="Cambria Math" w:hAnsi="Cambria Math"/>
                </w:rPr>
                <m:t>=1</m:t>
              </m:r>
            </m:sub>
            <m:sup>
              <m:r>
                <w:rPr>
                  <w:rFonts w:ascii="Cambria Math" w:hAnsi="Cambria Math"/>
                </w:rPr>
                <m:t>n</m:t>
              </m:r>
            </m:sup>
            <m:e>
              <m:d>
                <m:dPr>
                  <m:ctrlPr>
                    <w:rPr>
                      <w:rFonts w:ascii="Cambria Math" w:hAnsi="Cambria Math"/>
                    </w:rPr>
                  </m:ctrlPr>
                </m:dPr>
                <m:e>
                  <m:sSub>
                    <m:sSubPr>
                      <m:ctrlPr>
                        <w:rPr>
                          <w:rFonts w:ascii="Cambria Math" w:hAnsi="Cambria Math"/>
                        </w:rPr>
                      </m:ctrlPr>
                    </m:sSubPr>
                    <m:e>
                      <m:r>
                        <w:rPr>
                          <w:rFonts w:ascii="Cambria Math" w:hAnsi="Cambria Math"/>
                        </w:rPr>
                        <m:t>ξ</m:t>
                      </m:r>
                    </m:e>
                    <m:sub>
                      <m:r>
                        <w:rPr>
                          <w:rFonts w:ascii="Cambria Math" w:hAnsi="Cambria Math"/>
                        </w:rPr>
                        <m:t>i</m:t>
                      </m:r>
                    </m:sub>
                  </m:sSub>
                  <m:r>
                    <m:rPr>
                      <m:sty m:val="p"/>
                    </m:rPr>
                    <w:rPr>
                      <w:rFonts w:ascii="Cambria Math" w:hAnsi="Cambria Math"/>
                    </w:rPr>
                    <m:t>+</m:t>
                  </m:r>
                  <m:sSubSup>
                    <m:sSubSupPr>
                      <m:ctrlPr>
                        <w:rPr>
                          <w:rFonts w:ascii="Cambria Math" w:hAnsi="Cambria Math"/>
                        </w:rPr>
                      </m:ctrlPr>
                    </m:sSubSupPr>
                    <m:e>
                      <m:r>
                        <w:rPr>
                          <w:rFonts w:ascii="Cambria Math" w:hAnsi="Cambria Math"/>
                        </w:rPr>
                        <m:t>ξ</m:t>
                      </m:r>
                    </m:e>
                    <m:sub>
                      <m:r>
                        <w:rPr>
                          <w:rFonts w:ascii="Cambria Math" w:hAnsi="Cambria Math"/>
                        </w:rPr>
                        <m:t>i</m:t>
                      </m:r>
                    </m:sub>
                    <m:sup>
                      <m:r>
                        <m:rPr>
                          <m:sty m:val="p"/>
                        </m:rPr>
                        <w:rPr>
                          <w:rFonts w:ascii="Cambria Math" w:hAnsi="Cambria Math"/>
                        </w:rPr>
                        <m:t>*</m:t>
                      </m:r>
                    </m:sup>
                  </m:sSubSup>
                </m:e>
              </m:d>
            </m:e>
          </m:nary>
        </m:oMath>
      </m:oMathPara>
    </w:p>
    <w:p w14:paraId="51BABF63" w14:textId="77777777" w:rsidR="00A07EFC" w:rsidRDefault="00A07EFC" w:rsidP="00A07EFC">
      <w:pPr>
        <w:widowControl/>
        <w:spacing w:line="480" w:lineRule="auto"/>
        <w:rPr>
          <w:rFonts w:ascii="Calibri" w:eastAsia="宋体" w:hAnsi="Calibri" w:cs="Times New Roman"/>
          <w:sz w:val="24"/>
          <w:lang w:bidi="ar"/>
        </w:rPr>
      </w:pPr>
      <w:r>
        <w:rPr>
          <w:rFonts w:ascii="Calibri" w:eastAsia="宋体" w:hAnsi="Calibri" w:cs="Times New Roman" w:hint="eastAsia"/>
          <w:sz w:val="24"/>
          <w:lang w:bidi="ar"/>
        </w:rPr>
        <w:t xml:space="preserve">                               </w:t>
      </w:r>
    </w:p>
    <w:p w14:paraId="193F2857" w14:textId="4460D43B" w:rsidR="00A65854" w:rsidRPr="00A07EFC" w:rsidRDefault="00000000" w:rsidP="00A07EFC">
      <w:pPr>
        <w:widowControl/>
        <w:spacing w:line="480" w:lineRule="auto"/>
        <w:ind w:firstLineChars="200" w:firstLine="480"/>
        <w:rPr>
          <w:rFonts w:ascii="Calibri" w:eastAsia="宋体" w:hAnsi="Calibri" w:cs="Times New Roman"/>
          <w:sz w:val="24"/>
          <w:lang w:bidi="ar"/>
        </w:rPr>
      </w:pPr>
      <w:r>
        <w:rPr>
          <w:rFonts w:ascii="Times New Roman" w:eastAsia="宋体" w:hAnsi="Times New Roman" w:cs="Times New Roman"/>
          <w:sz w:val="24"/>
        </w:rPr>
        <w:t xml:space="preserve">Considering the characteristics of the data in this study, the Radial Basis Function (RBF) kernel is used for prediction. The core idea of the RBF kernel is to compute the Euclidean </w:t>
      </w:r>
      <w:r>
        <w:rPr>
          <w:rFonts w:ascii="Times New Roman" w:eastAsia="宋体" w:hAnsi="Times New Roman" w:cs="Times New Roman"/>
          <w:sz w:val="24"/>
        </w:rPr>
        <w:lastRenderedPageBreak/>
        <w:t>distance between two sample points, with closer distances indicating higher similarity. The formula is as follows:</w:t>
      </w:r>
    </w:p>
    <w:p w14:paraId="26FB44C9" w14:textId="77777777" w:rsidR="00A65854" w:rsidRDefault="00000000">
      <w:pPr>
        <w:widowControl/>
        <w:spacing w:line="480" w:lineRule="auto"/>
        <w:ind w:firstLineChars="200" w:firstLine="480"/>
        <w:jc w:val="center"/>
        <w:rPr>
          <w:rFonts w:ascii="Times New Roman" w:eastAsia="KaTeX_Math" w:hAnsi="Times New Roman" w:cs="Times New Roman"/>
          <w:i/>
          <w:iCs/>
          <w:kern w:val="0"/>
          <w:sz w:val="24"/>
          <w:lang w:bidi="ar"/>
        </w:rPr>
      </w:pPr>
      <w:r>
        <w:rPr>
          <w:rFonts w:ascii="Times New Roman" w:eastAsia="KaTeX_Math" w:hAnsi="Times New Roman" w:cs="Times New Roman" w:hint="eastAsia"/>
          <w:i/>
          <w:iCs/>
          <w:noProof/>
          <w:kern w:val="0"/>
          <w:sz w:val="24"/>
          <w:lang w:bidi="ar"/>
        </w:rPr>
        <w:drawing>
          <wp:inline distT="0" distB="0" distL="114300" distR="114300" wp14:anchorId="521F9F6F" wp14:editId="22345771">
            <wp:extent cx="838200" cy="156210"/>
            <wp:effectExtent l="0" t="0" r="0" b="9525"/>
            <wp:docPr id="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pic:cNvPicPr>
                  </pic:nvPicPr>
                  <pic:blipFill>
                    <a:blip r:embed="rId7">
                      <a:clrChange>
                        <a:clrFrom>
                          <a:srgbClr val="FFFFFF"/>
                        </a:clrFrom>
                        <a:clrTo>
                          <a:srgbClr val="FFFFFF">
                            <a:alpha val="0"/>
                          </a:srgbClr>
                        </a:clrTo>
                      </a:clrChange>
                    </a:blip>
                    <a:stretch>
                      <a:fillRect/>
                    </a:stretch>
                  </pic:blipFill>
                  <pic:spPr>
                    <a:xfrm>
                      <a:off x="0" y="0"/>
                      <a:ext cx="838200" cy="156210"/>
                    </a:xfrm>
                    <a:prstGeom prst="rect">
                      <a:avLst/>
                    </a:prstGeom>
                    <a:noFill/>
                    <a:ln>
                      <a:noFill/>
                    </a:ln>
                  </pic:spPr>
                </pic:pic>
              </a:graphicData>
            </a:graphic>
          </wp:inline>
        </w:drawing>
      </w:r>
      <w:r>
        <w:rPr>
          <w:rFonts w:ascii="Times New Roman" w:eastAsia="KaTeX_Math" w:hAnsi="Times New Roman" w:cs="Times New Roman" w:hint="eastAsia"/>
          <w:i/>
          <w:iCs/>
          <w:noProof/>
          <w:kern w:val="0"/>
          <w:sz w:val="24"/>
          <w:lang w:bidi="ar"/>
        </w:rPr>
        <w:drawing>
          <wp:inline distT="0" distB="0" distL="114300" distR="114300" wp14:anchorId="4D0B5607" wp14:editId="46F02B6D">
            <wp:extent cx="883920" cy="240030"/>
            <wp:effectExtent l="0" t="0" r="5080" b="1270"/>
            <wp:docPr id="1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icPr>
                  <pic:blipFill>
                    <a:blip r:embed="rId8">
                      <a:clrChange>
                        <a:clrFrom>
                          <a:srgbClr val="FFFFFF"/>
                        </a:clrFrom>
                        <a:clrTo>
                          <a:srgbClr val="FFFFFF">
                            <a:alpha val="0"/>
                          </a:srgbClr>
                        </a:clrTo>
                      </a:clrChange>
                    </a:blip>
                    <a:stretch>
                      <a:fillRect/>
                    </a:stretch>
                  </pic:blipFill>
                  <pic:spPr>
                    <a:xfrm>
                      <a:off x="0" y="0"/>
                      <a:ext cx="883920" cy="240030"/>
                    </a:xfrm>
                    <a:prstGeom prst="rect">
                      <a:avLst/>
                    </a:prstGeom>
                    <a:noFill/>
                    <a:ln>
                      <a:noFill/>
                    </a:ln>
                  </pic:spPr>
                </pic:pic>
              </a:graphicData>
            </a:graphic>
          </wp:inline>
        </w:drawing>
      </w:r>
    </w:p>
    <w:p w14:paraId="108A88D2" w14:textId="77777777" w:rsidR="00A65854" w:rsidRDefault="00000000">
      <w:pPr>
        <w:spacing w:line="480" w:lineRule="auto"/>
        <w:ind w:firstLineChars="200" w:firstLine="480"/>
        <w:rPr>
          <w:rFonts w:ascii="Times New Roman" w:eastAsia="宋体" w:hAnsi="Times New Roman" w:cs="Times New Roman"/>
          <w:b/>
          <w:bCs/>
          <w:sz w:val="24"/>
        </w:rPr>
      </w:pPr>
      <w:r>
        <w:rPr>
          <w:rFonts w:ascii="Times New Roman" w:eastAsia="宋体" w:hAnsi="Times New Roman" w:cs="Times New Roman"/>
          <w:sz w:val="24"/>
        </w:rPr>
        <w:t>Here,</w:t>
      </w:r>
      <w:r>
        <w:rPr>
          <w:rFonts w:ascii="Times New Roman" w:eastAsia="宋体" w:hAnsi="Times New Roman" w:cs="Times New Roman" w:hint="eastAsia"/>
          <w:sz w:val="24"/>
        </w:rPr>
        <w:t xml:space="preserve"> </w:t>
      </w:r>
      <w:r>
        <w:rPr>
          <w:rFonts w:ascii="Times New Roman" w:eastAsia="宋体" w:hAnsi="Times New Roman" w:cs="Times New Roman"/>
          <w:sz w:val="24"/>
        </w:rPr>
        <w:t>K(</w:t>
      </w:r>
      <w:proofErr w:type="spellStart"/>
      <w:proofErr w:type="gramStart"/>
      <w:r>
        <w:rPr>
          <w:rFonts w:ascii="Times New Roman" w:eastAsia="宋体" w:hAnsi="Times New Roman" w:cs="Times New Roman"/>
          <w:sz w:val="24"/>
        </w:rPr>
        <w:t>x,x</w:t>
      </w:r>
      <w:proofErr w:type="spellEnd"/>
      <w:proofErr w:type="gramEnd"/>
      <w:r>
        <w:rPr>
          <w:rFonts w:ascii="Times New Roman" w:eastAsia="宋体" w:hAnsi="Times New Roman" w:cs="Times New Roman"/>
          <w:sz w:val="24"/>
        </w:rPr>
        <w:t>′) is the RBF kernel value for the input samples</w:t>
      </w:r>
      <w:r>
        <w:rPr>
          <w:rFonts w:ascii="Times New Roman" w:eastAsia="宋体" w:hAnsi="Times New Roman" w:cs="Times New Roman" w:hint="eastAsia"/>
          <w:sz w:val="24"/>
        </w:rPr>
        <w:t xml:space="preserve"> </w:t>
      </w:r>
      <w:r>
        <w:rPr>
          <w:rFonts w:ascii="Times New Roman" w:eastAsia="宋体" w:hAnsi="Times New Roman" w:cs="Times New Roman"/>
          <w:sz w:val="24"/>
        </w:rPr>
        <w:t>x and x′. </w:t>
      </w:r>
      <w:r>
        <w:rPr>
          <w:rFonts w:ascii="Times New Roman" w:eastAsia="等线" w:hAnsi="Times New Roman" w:cs="Times New Roman"/>
          <w:noProof/>
          <w:sz w:val="24"/>
          <w:lang w:bidi="ar"/>
        </w:rPr>
        <w:drawing>
          <wp:inline distT="0" distB="0" distL="114300" distR="114300" wp14:anchorId="06BEC91F" wp14:editId="6036598A">
            <wp:extent cx="582930" cy="209550"/>
            <wp:effectExtent l="0" t="0" r="1270" b="5715"/>
            <wp:docPr id="1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4"/>
                    <pic:cNvPicPr>
                      <a:picLocks noChangeAspect="1"/>
                    </pic:cNvPicPr>
                  </pic:nvPicPr>
                  <pic:blipFill>
                    <a:blip r:embed="rId9">
                      <a:clrChange>
                        <a:clrFrom>
                          <a:srgbClr val="FFFFFF"/>
                        </a:clrFrom>
                        <a:clrTo>
                          <a:srgbClr val="FFFFFF">
                            <a:alpha val="0"/>
                          </a:srgbClr>
                        </a:clrTo>
                      </a:clrChange>
                    </a:blip>
                    <a:stretch>
                      <a:fillRect/>
                    </a:stretch>
                  </pic:blipFill>
                  <pic:spPr>
                    <a:xfrm>
                      <a:off x="0" y="0"/>
                      <a:ext cx="582930" cy="209550"/>
                    </a:xfrm>
                    <a:prstGeom prst="rect">
                      <a:avLst/>
                    </a:prstGeom>
                    <a:noFill/>
                    <a:ln>
                      <a:noFill/>
                    </a:ln>
                  </pic:spPr>
                </pic:pic>
              </a:graphicData>
            </a:graphic>
          </wp:inline>
        </w:drawing>
      </w:r>
      <w:r>
        <w:rPr>
          <w:rFonts w:ascii="Times New Roman" w:eastAsia="宋体" w:hAnsi="Times New Roman" w:cs="Times New Roman"/>
          <w:sz w:val="24"/>
        </w:rPr>
        <w:t> is the squared Euclidean distance between the sample points. </w:t>
      </w:r>
      <w:r>
        <w:rPr>
          <w:rFonts w:ascii="等线" w:eastAsia="等线" w:hAnsi="等线" w:cs="Times New Roman" w:hint="eastAsia"/>
          <w:noProof/>
          <w:sz w:val="24"/>
          <w:lang w:bidi="ar"/>
        </w:rPr>
        <w:drawing>
          <wp:inline distT="0" distB="0" distL="114300" distR="114300" wp14:anchorId="2015F494" wp14:editId="05548565">
            <wp:extent cx="416560" cy="267335"/>
            <wp:effectExtent l="0" t="0" r="2540" b="12065"/>
            <wp:docPr id="8"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7"/>
                    <pic:cNvPicPr>
                      <a:picLocks noChangeAspect="1"/>
                    </pic:cNvPicPr>
                  </pic:nvPicPr>
                  <pic:blipFill>
                    <a:blip r:embed="rId10">
                      <a:clrChange>
                        <a:clrFrom>
                          <a:srgbClr val="FFFFFF"/>
                        </a:clrFrom>
                        <a:clrTo>
                          <a:srgbClr val="FFFFFF">
                            <a:alpha val="0"/>
                          </a:srgbClr>
                        </a:clrTo>
                      </a:clrChange>
                    </a:blip>
                    <a:stretch>
                      <a:fillRect/>
                    </a:stretch>
                  </pic:blipFill>
                  <pic:spPr>
                    <a:xfrm>
                      <a:off x="0" y="0"/>
                      <a:ext cx="416560" cy="267335"/>
                    </a:xfrm>
                    <a:prstGeom prst="rect">
                      <a:avLst/>
                    </a:prstGeom>
                    <a:noFill/>
                    <a:ln>
                      <a:noFill/>
                    </a:ln>
                  </pic:spPr>
                </pic:pic>
              </a:graphicData>
            </a:graphic>
          </wp:inline>
        </w:drawing>
      </w:r>
      <w:r>
        <w:rPr>
          <w:rFonts w:ascii="Times New Roman" w:eastAsia="宋体" w:hAnsi="Times New Roman" w:cs="Times New Roman"/>
          <w:sz w:val="24"/>
        </w:rPr>
        <w:t>​ is another commonly used hyperparameter that determines the shape of the RBF kernel. To enhance model performance, this study sets the regularization parameter C in the SVR model to 2 to relatively strongly reduce training error and improve model performance, while setting γ in the RBF function to 0.05 to moderately enhance control over the global trend of the model and improve local data sensitivity. The ϵϵ is set to 0.04 to control sensitivity to small fluctuations in data and avoid overfitting. After these adjustments, the model significance p-value reached 0.027 (&lt;0.05).</w:t>
      </w:r>
    </w:p>
    <w:p w14:paraId="2DAFA3CD" w14:textId="77777777" w:rsidR="00A65854" w:rsidRDefault="00A65854"/>
    <w:sectPr w:rsidR="00A65854">
      <w:pgSz w:w="11906" w:h="16838"/>
      <w:pgMar w:top="1440" w:right="1440" w:bottom="144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28ADBB" w14:textId="77777777" w:rsidR="003F7A33" w:rsidRDefault="003F7A33" w:rsidP="002E425D">
      <w:r>
        <w:separator/>
      </w:r>
    </w:p>
  </w:endnote>
  <w:endnote w:type="continuationSeparator" w:id="0">
    <w:p w14:paraId="2C28BF3F" w14:textId="77777777" w:rsidR="003F7A33" w:rsidRDefault="003F7A33" w:rsidP="002E4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KaTeX_Math">
    <w:altName w:val="Times New Roman"/>
    <w:charset w:val="00"/>
    <w:family w:val="auto"/>
    <w:pitch w:val="default"/>
  </w:font>
  <w:font w:name="Helvetica">
    <w:panose1 w:val="020B0604020202020204"/>
    <w:charset w:val="00"/>
    <w:family w:val="auto"/>
    <w:pitch w:val="default"/>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0A554E" w14:textId="77777777" w:rsidR="003F7A33" w:rsidRDefault="003F7A33" w:rsidP="002E425D">
      <w:r>
        <w:separator/>
      </w:r>
    </w:p>
  </w:footnote>
  <w:footnote w:type="continuationSeparator" w:id="0">
    <w:p w14:paraId="355A2362" w14:textId="77777777" w:rsidR="003F7A33" w:rsidRDefault="003F7A33" w:rsidP="002E425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OThmZTI3NTlkMTE0MDAyYTY3ZGVjYzUyODRjMGY0MGQifQ=="/>
  </w:docVars>
  <w:rsids>
    <w:rsidRoot w:val="72B55AC5"/>
    <w:rsid w:val="00027B28"/>
    <w:rsid w:val="000313EE"/>
    <w:rsid w:val="002E425D"/>
    <w:rsid w:val="003F7A33"/>
    <w:rsid w:val="009034EA"/>
    <w:rsid w:val="00A07EFC"/>
    <w:rsid w:val="00A65854"/>
    <w:rsid w:val="00AC279C"/>
    <w:rsid w:val="00CC0653"/>
    <w:rsid w:val="00D537A6"/>
    <w:rsid w:val="00DF2745"/>
    <w:rsid w:val="00E026B2"/>
    <w:rsid w:val="1C0F0A4F"/>
    <w:rsid w:val="221F3F19"/>
    <w:rsid w:val="24973D02"/>
    <w:rsid w:val="2F186CC9"/>
    <w:rsid w:val="324E3C27"/>
    <w:rsid w:val="72B55A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04B95E2C"/>
  <w14:defaultImageDpi w14:val="32767"/>
  <w15:docId w15:val="{ED0FB2CD-C335-4A97-8FAA-09313394A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footnote reference" w:qFormat="1"/>
    <w:lsdException w:name="Title" w:qFormat="1"/>
    <w:lsdException w:name="Default Paragraph Font" w:semiHidden="1" w:qFormat="1"/>
    <w:lsdException w:name="Body Tex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qFormat/>
    <w:rPr>
      <w:rFonts w:ascii="Times New Roman" w:eastAsia="Times New Roman" w:hAnsi="Times New Roman" w:cs="Times New Roman"/>
      <w:sz w:val="19"/>
      <w:szCs w:val="19"/>
      <w:lang w:eastAsia="en-US"/>
    </w:rPr>
  </w:style>
  <w:style w:type="table" w:styleId="a4">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Strong"/>
    <w:basedOn w:val="a0"/>
    <w:qFormat/>
    <w:rPr>
      <w:b/>
    </w:rPr>
  </w:style>
  <w:style w:type="character" w:styleId="a6">
    <w:name w:val="footnote reference"/>
    <w:basedOn w:val="a0"/>
    <w:qFormat/>
    <w:rPr>
      <w:vertAlign w:val="superscript"/>
    </w:rPr>
  </w:style>
  <w:style w:type="table" w:customStyle="1" w:styleId="TableNormal">
    <w:name w:val="Table Normal"/>
    <w:semiHidden/>
    <w:unhideWhenUsed/>
    <w:qFormat/>
    <w:tblPr>
      <w:tblCellMar>
        <w:top w:w="0" w:type="dxa"/>
        <w:left w:w="0" w:type="dxa"/>
        <w:bottom w:w="0" w:type="dxa"/>
        <w:right w:w="0" w:type="dxa"/>
      </w:tblCellMar>
    </w:tblPr>
  </w:style>
  <w:style w:type="paragraph" w:customStyle="1" w:styleId="TableText">
    <w:name w:val="Table Text"/>
    <w:basedOn w:val="a"/>
    <w:semiHidden/>
    <w:qFormat/>
    <w:rPr>
      <w:rFonts w:ascii="Times New Roman" w:eastAsia="Times New Roman" w:hAnsi="Times New Roman" w:cs="Times New Roman"/>
      <w:sz w:val="19"/>
      <w:szCs w:val="19"/>
      <w:lang w:eastAsia="en-US"/>
    </w:rPr>
  </w:style>
  <w:style w:type="paragraph" w:styleId="a7">
    <w:name w:val="header"/>
    <w:basedOn w:val="a"/>
    <w:link w:val="a8"/>
    <w:rsid w:val="002E425D"/>
    <w:pPr>
      <w:tabs>
        <w:tab w:val="center" w:pos="4153"/>
        <w:tab w:val="right" w:pos="8306"/>
      </w:tabs>
      <w:snapToGrid w:val="0"/>
      <w:jc w:val="center"/>
    </w:pPr>
    <w:rPr>
      <w:sz w:val="18"/>
      <w:szCs w:val="18"/>
    </w:rPr>
  </w:style>
  <w:style w:type="character" w:customStyle="1" w:styleId="a8">
    <w:name w:val="页眉 字符"/>
    <w:basedOn w:val="a0"/>
    <w:link w:val="a7"/>
    <w:rsid w:val="002E425D"/>
    <w:rPr>
      <w:kern w:val="2"/>
      <w:sz w:val="18"/>
      <w:szCs w:val="18"/>
    </w:rPr>
  </w:style>
  <w:style w:type="paragraph" w:styleId="a9">
    <w:name w:val="footer"/>
    <w:basedOn w:val="a"/>
    <w:link w:val="aa"/>
    <w:rsid w:val="002E425D"/>
    <w:pPr>
      <w:tabs>
        <w:tab w:val="center" w:pos="4153"/>
        <w:tab w:val="right" w:pos="8306"/>
      </w:tabs>
      <w:snapToGrid w:val="0"/>
      <w:jc w:val="left"/>
    </w:pPr>
    <w:rPr>
      <w:sz w:val="18"/>
      <w:szCs w:val="18"/>
    </w:rPr>
  </w:style>
  <w:style w:type="character" w:customStyle="1" w:styleId="aa">
    <w:name w:val="页脚 字符"/>
    <w:basedOn w:val="a0"/>
    <w:link w:val="a9"/>
    <w:rsid w:val="002E425D"/>
    <w:rPr>
      <w:kern w:val="2"/>
      <w:sz w:val="18"/>
      <w:szCs w:val="18"/>
    </w:rPr>
  </w:style>
  <w:style w:type="character" w:styleId="ab">
    <w:name w:val="Placeholder Text"/>
    <w:basedOn w:val="a0"/>
    <w:uiPriority w:val="99"/>
    <w:unhideWhenUsed/>
    <w:rsid w:val="00A07EFC"/>
    <w:rPr>
      <w:color w:val="666666"/>
    </w:rPr>
  </w:style>
  <w:style w:type="paragraph" w:customStyle="1" w:styleId="Newparagraph">
    <w:name w:val="New paragraph"/>
    <w:basedOn w:val="a"/>
    <w:qFormat/>
    <w:rsid w:val="00A07EFC"/>
    <w:pPr>
      <w:widowControl/>
      <w:spacing w:line="480" w:lineRule="auto"/>
      <w:ind w:firstLine="720"/>
      <w:jc w:val="left"/>
    </w:pPr>
    <w:rPr>
      <w:rFonts w:ascii="Times New Roman" w:hAnsi="Times New Roman" w:cs="Times New Roman"/>
      <w:kern w:val="0"/>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7</Pages>
  <Words>1317</Words>
  <Characters>7510</Characters>
  <Application>Microsoft Office Word</Application>
  <DocSecurity>0</DocSecurity>
  <Lines>62</Lines>
  <Paragraphs>17</Paragraphs>
  <ScaleCrop>false</ScaleCrop>
  <Company/>
  <LinksUpToDate>false</LinksUpToDate>
  <CharactersWithSpaces>8810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Knight</dc:creator>
  <cp:lastModifiedBy>ff gg</cp:lastModifiedBy>
  <cp:revision>5</cp:revision>
  <dcterms:created xsi:type="dcterms:W3CDTF">2024-12-07T07:03:00Z</dcterms:created>
  <dcterms:modified xsi:type="dcterms:W3CDTF">2025-01-05T12:33:00Z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DE2943C174EB42DAB4156CBDB42509B6_11</vt:lpwstr>
  </property>
</Properties>
</file>