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7602">
      <w:pPr>
        <w:spacing w:line="360" w:lineRule="auto"/>
        <w:rPr>
          <w:rFonts w:hint="default" w:ascii="Arial Regular" w:hAnsi="Arial Regular" w:cs="Arial Regular"/>
          <w:b w:val="0"/>
          <w:bCs/>
          <w:sz w:val="24"/>
          <w:szCs w:val="24"/>
          <w:lang w:val="en-US"/>
        </w:rPr>
      </w:pPr>
      <w:r>
        <w:rPr>
          <w:rFonts w:hint="default" w:ascii="Arial Regular" w:hAnsi="Arial Regular" w:cs="Arial Regular"/>
          <w:b w:val="0"/>
          <w:bCs/>
          <w:sz w:val="24"/>
          <w:szCs w:val="24"/>
          <w:lang w:val="en-US"/>
        </w:rPr>
        <w:t>Supplementary materials</w:t>
      </w:r>
    </w:p>
    <w:p w14:paraId="1C435ADB">
      <w:pPr>
        <w:spacing w:line="360" w:lineRule="auto"/>
        <w:rPr>
          <w:rFonts w:hint="default" w:ascii="Arial Regular" w:hAnsi="Arial Regular" w:cs="Arial Regular"/>
          <w:b w:val="0"/>
          <w:sz w:val="24"/>
          <w:szCs w:val="24"/>
          <w:lang w:val="en-US"/>
        </w:rPr>
      </w:pPr>
      <w:r>
        <w:rPr>
          <w:rFonts w:hint="default" w:ascii="Arial Regular" w:hAnsi="Arial Regular" w:cs="Arial Regular"/>
          <w:b w:val="0"/>
          <w:sz w:val="24"/>
          <w:szCs w:val="24"/>
          <w:lang w:val="en-US"/>
        </w:rPr>
        <w:drawing>
          <wp:inline distT="0" distB="0" distL="114300" distR="114300">
            <wp:extent cx="5273040" cy="6614160"/>
            <wp:effectExtent l="0" t="0" r="10160" b="15240"/>
            <wp:docPr id="1" name="图片 1" descr="Fig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1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241A4">
      <w:pPr>
        <w:spacing w:line="360" w:lineRule="auto"/>
        <w:rPr>
          <w:rFonts w:hint="default" w:ascii="Arial Regular" w:hAnsi="Arial Regular" w:cs="Arial Regular"/>
          <w:b w:val="0"/>
          <w:sz w:val="24"/>
          <w:szCs w:val="24"/>
          <w:lang w:val="en-US"/>
        </w:rPr>
      </w:pPr>
      <w:r>
        <w:rPr>
          <w:rFonts w:hint="default" w:ascii="Arial Bold" w:hAnsi="Arial Bold" w:cs="Arial Bold"/>
          <w:b/>
          <w:bCs w:val="0"/>
          <w:sz w:val="24"/>
          <w:szCs w:val="24"/>
          <w:lang w:val="en-US"/>
        </w:rPr>
        <w:t>Fig. S1 | Genomic location, phylogeny and normal tissue expression of LILRB4.</w:t>
      </w:r>
      <w:r>
        <w:rPr>
          <w:rFonts w:hint="default" w:ascii="Arial Regular" w:hAnsi="Arial Regular" w:cs="Arial Regular"/>
          <w:b w:val="0"/>
          <w:sz w:val="24"/>
          <w:szCs w:val="24"/>
          <w:lang w:val="en-US"/>
        </w:rPr>
        <w:t xml:space="preserve"> a) Chromosomal location of LILRB4 at 19p13.1. b) Phylogenetic tree generated from Ensembl showing the evolutionary relationship of LILRB4 with other immune receptors. c) Tissue-level expression distribution from the Human Protein Atlas (Consensus dataset). d) Single-cell expression profiles of LILRB4 in immune cell types from the Human Protein Atlas.</w:t>
      </w:r>
    </w:p>
    <w:p w14:paraId="3EBB89CB">
      <w:pPr>
        <w:spacing w:line="360" w:lineRule="auto"/>
        <w:rPr>
          <w:rFonts w:hint="default" w:ascii="Arial Regular" w:hAnsi="Arial Regular" w:cs="Arial Regular"/>
          <w:b w:val="0"/>
          <w:sz w:val="24"/>
          <w:szCs w:val="24"/>
          <w:lang w:val="en-US"/>
        </w:rPr>
      </w:pPr>
      <w:r>
        <w:rPr>
          <w:rFonts w:hint="default" w:ascii="Arial Regular" w:hAnsi="Arial Regular" w:cs="Arial Regular"/>
          <w:b w:val="0"/>
          <w:sz w:val="24"/>
          <w:szCs w:val="24"/>
          <w:lang w:val="en-US"/>
        </w:rPr>
        <w:drawing>
          <wp:inline distT="0" distB="0" distL="114300" distR="114300">
            <wp:extent cx="5272405" cy="3759200"/>
            <wp:effectExtent l="0" t="0" r="10795" b="0"/>
            <wp:docPr id="2" name="图片 2" descr="Fig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A8934">
      <w:pPr>
        <w:spacing w:line="360" w:lineRule="auto"/>
        <w:rPr>
          <w:rFonts w:hint="default" w:ascii="Arial Regular" w:hAnsi="Arial Regular" w:cs="Arial Regular"/>
          <w:b w:val="0"/>
          <w:sz w:val="24"/>
          <w:szCs w:val="24"/>
          <w:lang w:val="en-US"/>
        </w:rPr>
      </w:pPr>
      <w:r>
        <w:rPr>
          <w:rFonts w:hint="default" w:ascii="Arial Bold" w:hAnsi="Arial Bold" w:cs="Arial Bold"/>
          <w:b/>
          <w:bCs/>
          <w:sz w:val="24"/>
          <w:szCs w:val="24"/>
          <w:lang w:val="en-US"/>
        </w:rPr>
        <w:t xml:space="preserve">Fig. S2 | Expression differences of LILRB4 across pathological stages of cancer types. </w:t>
      </w:r>
      <w:r>
        <w:rPr>
          <w:rFonts w:hint="default" w:ascii="Arial Regular" w:hAnsi="Arial Regular" w:cs="Arial Regular"/>
          <w:b w:val="0"/>
          <w:sz w:val="24"/>
          <w:szCs w:val="24"/>
          <w:lang w:val="en-US"/>
        </w:rPr>
        <w:t>Comparison of LI</w:t>
      </w:r>
      <w:bookmarkStart w:id="0" w:name="_GoBack"/>
      <w:bookmarkEnd w:id="0"/>
      <w:r>
        <w:rPr>
          <w:rFonts w:hint="default" w:ascii="Arial Regular" w:hAnsi="Arial Regular" w:cs="Arial Regular"/>
          <w:b w:val="0"/>
          <w:sz w:val="24"/>
          <w:szCs w:val="24"/>
          <w:lang w:val="en-US"/>
        </w:rPr>
        <w:t>LRB4 expression levels across pathological stages in multiple TCGA cohorts, analyzed using the GEPIA2 platform.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4FD074"/>
    <w:rsid w:val="7BFDDAEE"/>
    <w:rsid w:val="7FED34CB"/>
    <w:rsid w:val="AF4FD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2025-08-28T22:18:00Z</dcterms:created>
  <dc:creator>miguel</dc:creator>
  <cp:lastModifiedBy>miguel</cp:lastModifiedBy>
  <dcterms:modified xsi:type="dcterms:W3CDTF">2025-08-28T22:21:35Z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9C43748DE12B52E33065B06871FDC799_41</vt:lpwstr>
  </property>
</Properties>
</file>