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B8FE4" w14:textId="77777777" w:rsidR="00B14271" w:rsidRDefault="00B14271" w:rsidP="00B14271">
      <w:pPr>
        <w:rPr>
          <w:rFonts w:hint="eastAsia"/>
          <w:b/>
          <w:color w:val="000000"/>
          <w:sz w:val="18"/>
          <w:szCs w:val="18"/>
        </w:rPr>
      </w:pPr>
      <w:r>
        <w:rPr>
          <w:rFonts w:hint="eastAsia"/>
          <w:b/>
          <w:color w:val="000000"/>
          <w:sz w:val="18"/>
          <w:szCs w:val="18"/>
        </w:rPr>
        <w:t>Supplement materials</w:t>
      </w:r>
    </w:p>
    <w:p w14:paraId="7D6BE8D4" w14:textId="0DA56050" w:rsidR="00B14271" w:rsidRDefault="00B14271" w:rsidP="00B14271">
      <w:pPr>
        <w:rPr>
          <w:rFonts w:hint="eastAsia"/>
          <w:color w:val="000000"/>
          <w:sz w:val="18"/>
          <w:szCs w:val="18"/>
        </w:rPr>
      </w:pPr>
      <w:r>
        <w:rPr>
          <w:noProof/>
          <w:color w:val="000000"/>
          <w:sz w:val="18"/>
          <w:szCs w:val="18"/>
        </w:rPr>
        <w:drawing>
          <wp:inline distT="0" distB="0" distL="0" distR="0" wp14:anchorId="7EEBBF6C" wp14:editId="78856BF1">
            <wp:extent cx="5193030" cy="4967605"/>
            <wp:effectExtent l="0" t="0" r="7620" b="4445"/>
            <wp:docPr id="1016520749" name="Picture 1" descr="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f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9" t="2809" r="1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030" cy="496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FD00667" w14:textId="77777777" w:rsidR="00B14271" w:rsidRDefault="00B14271" w:rsidP="00B14271">
      <w:pPr>
        <w:rPr>
          <w:rFonts w:hint="eastAsia"/>
          <w:color w:val="000000"/>
          <w:sz w:val="16"/>
          <w:szCs w:val="16"/>
        </w:rPr>
      </w:pPr>
      <w:r>
        <w:rPr>
          <w:rFonts w:hint="eastAsia"/>
          <w:b/>
          <w:color w:val="000000"/>
          <w:sz w:val="16"/>
          <w:szCs w:val="16"/>
        </w:rPr>
        <w:t>Sup1</w:t>
      </w:r>
      <w:r>
        <w:rPr>
          <w:b/>
          <w:color w:val="000000"/>
          <w:sz w:val="16"/>
          <w:szCs w:val="16"/>
        </w:rPr>
        <w:t>Fig</w:t>
      </w:r>
      <w:r>
        <w:rPr>
          <w:rFonts w:hint="eastAsia"/>
          <w:b/>
          <w:color w:val="000000"/>
          <w:sz w:val="16"/>
          <w:szCs w:val="16"/>
        </w:rPr>
        <w:t>.</w:t>
      </w:r>
      <w:r>
        <w:rPr>
          <w:b/>
          <w:color w:val="000000"/>
          <w:sz w:val="16"/>
          <w:szCs w:val="16"/>
        </w:rPr>
        <w:t xml:space="preserve"> </w:t>
      </w:r>
      <w:r>
        <w:rPr>
          <w:rFonts w:hint="eastAsia"/>
          <w:b/>
          <w:color w:val="000000"/>
          <w:sz w:val="16"/>
          <w:szCs w:val="16"/>
        </w:rPr>
        <w:t xml:space="preserve">1 </w:t>
      </w:r>
      <w:r>
        <w:rPr>
          <w:rFonts w:hint="eastAsia"/>
          <w:color w:val="000000"/>
          <w:sz w:val="16"/>
          <w:szCs w:val="16"/>
        </w:rPr>
        <w:t xml:space="preserve">Correlation analysis of grain yield, grain quality and N-related indices </w:t>
      </w:r>
    </w:p>
    <w:p w14:paraId="5A925AC8" w14:textId="77777777" w:rsidR="00B14271" w:rsidRDefault="00B14271" w:rsidP="00B14271">
      <w:pPr>
        <w:snapToGrid w:val="0"/>
        <w:rPr>
          <w:color w:val="000000"/>
          <w:sz w:val="15"/>
          <w:szCs w:val="15"/>
        </w:rPr>
      </w:pPr>
      <w:r>
        <w:rPr>
          <w:rFonts w:hint="eastAsia"/>
          <w:color w:val="000000"/>
          <w:sz w:val="15"/>
          <w:szCs w:val="15"/>
        </w:rPr>
        <w:t>X1-X5 represent grain yield, spike number, grain number per spike, 1000-grain weight and harvest index; X6-X13 represent grain protein yield, protein content, albumin, globulin, gliadin, glutenin, glutenin/gliadin and storage protein; X14-X16 represent plants N accumulation at jointing, anthesis and maturity; X17-X18 represent t</w:t>
      </w:r>
      <w:r>
        <w:rPr>
          <w:color w:val="000000"/>
          <w:sz w:val="15"/>
          <w:szCs w:val="15"/>
        </w:rPr>
        <w:t>ranslocation</w:t>
      </w:r>
      <w:r>
        <w:rPr>
          <w:rFonts w:hint="eastAsia"/>
          <w:color w:val="000000"/>
          <w:sz w:val="15"/>
          <w:szCs w:val="15"/>
        </w:rPr>
        <w:t xml:space="preserve"> a</w:t>
      </w:r>
      <w:r>
        <w:rPr>
          <w:color w:val="000000"/>
          <w:sz w:val="15"/>
          <w:szCs w:val="15"/>
        </w:rPr>
        <w:t>mount</w:t>
      </w:r>
      <w:r>
        <w:rPr>
          <w:rFonts w:hint="eastAsia"/>
          <w:color w:val="000000"/>
          <w:sz w:val="15"/>
          <w:szCs w:val="15"/>
        </w:rPr>
        <w:t xml:space="preserve"> and c</w:t>
      </w:r>
      <w:r>
        <w:rPr>
          <w:color w:val="000000"/>
          <w:sz w:val="15"/>
          <w:szCs w:val="15"/>
        </w:rPr>
        <w:t>ontribution</w:t>
      </w:r>
      <w:r>
        <w:rPr>
          <w:rFonts w:hint="eastAsia"/>
          <w:color w:val="000000"/>
          <w:sz w:val="15"/>
          <w:szCs w:val="15"/>
        </w:rPr>
        <w:t xml:space="preserve"> </w:t>
      </w:r>
      <w:r>
        <w:rPr>
          <w:color w:val="000000"/>
          <w:sz w:val="15"/>
          <w:szCs w:val="15"/>
        </w:rPr>
        <w:t>rate to grain</w:t>
      </w:r>
      <w:r>
        <w:rPr>
          <w:rFonts w:hint="eastAsia"/>
          <w:color w:val="000000"/>
          <w:sz w:val="15"/>
          <w:szCs w:val="15"/>
        </w:rPr>
        <w:t xml:space="preserve"> of p</w:t>
      </w:r>
      <w:r>
        <w:rPr>
          <w:color w:val="000000"/>
          <w:sz w:val="15"/>
          <w:szCs w:val="15"/>
        </w:rPr>
        <w:t>re-anthesis N</w:t>
      </w:r>
      <w:r>
        <w:rPr>
          <w:rFonts w:hint="eastAsia"/>
          <w:color w:val="000000"/>
          <w:sz w:val="15"/>
          <w:szCs w:val="15"/>
        </w:rPr>
        <w:t>; X19-X20 represent accumulation a</w:t>
      </w:r>
      <w:r>
        <w:rPr>
          <w:color w:val="000000"/>
          <w:sz w:val="15"/>
          <w:szCs w:val="15"/>
        </w:rPr>
        <w:t>mount</w:t>
      </w:r>
      <w:r>
        <w:rPr>
          <w:rFonts w:hint="eastAsia"/>
          <w:color w:val="000000"/>
          <w:sz w:val="15"/>
          <w:szCs w:val="15"/>
        </w:rPr>
        <w:t xml:space="preserve"> and c</w:t>
      </w:r>
      <w:r>
        <w:rPr>
          <w:color w:val="000000"/>
          <w:sz w:val="15"/>
          <w:szCs w:val="15"/>
        </w:rPr>
        <w:t>ontribution</w:t>
      </w:r>
      <w:r>
        <w:rPr>
          <w:rFonts w:hint="eastAsia"/>
          <w:color w:val="000000"/>
          <w:sz w:val="15"/>
          <w:szCs w:val="15"/>
        </w:rPr>
        <w:t xml:space="preserve"> </w:t>
      </w:r>
      <w:r>
        <w:rPr>
          <w:color w:val="000000"/>
          <w:sz w:val="15"/>
          <w:szCs w:val="15"/>
        </w:rPr>
        <w:t>rate to grain</w:t>
      </w:r>
      <w:r>
        <w:rPr>
          <w:rFonts w:hint="eastAsia"/>
          <w:color w:val="000000"/>
          <w:sz w:val="15"/>
          <w:szCs w:val="15"/>
        </w:rPr>
        <w:t xml:space="preserve"> of post</w:t>
      </w:r>
      <w:r>
        <w:rPr>
          <w:color w:val="000000"/>
          <w:sz w:val="15"/>
          <w:szCs w:val="15"/>
        </w:rPr>
        <w:t>-anthesis N</w:t>
      </w:r>
      <w:r>
        <w:rPr>
          <w:rFonts w:hint="eastAsia"/>
          <w:color w:val="000000"/>
          <w:sz w:val="15"/>
          <w:szCs w:val="15"/>
        </w:rPr>
        <w:t xml:space="preserve">; X21-X23 represent </w:t>
      </w:r>
      <w:r>
        <w:rPr>
          <w:color w:val="000000"/>
          <w:sz w:val="15"/>
          <w:szCs w:val="15"/>
        </w:rPr>
        <w:t>N accumulation</w:t>
      </w:r>
      <w:r>
        <w:rPr>
          <w:rFonts w:hint="eastAsia"/>
          <w:color w:val="000000"/>
          <w:sz w:val="15"/>
          <w:szCs w:val="15"/>
        </w:rPr>
        <w:t xml:space="preserve"> </w:t>
      </w:r>
      <w:r>
        <w:rPr>
          <w:color w:val="000000"/>
          <w:sz w:val="15"/>
          <w:szCs w:val="15"/>
        </w:rPr>
        <w:t>amount in grain</w:t>
      </w:r>
      <w:r>
        <w:rPr>
          <w:rFonts w:hint="eastAsia"/>
          <w:color w:val="000000"/>
          <w:sz w:val="15"/>
          <w:szCs w:val="15"/>
        </w:rPr>
        <w:t xml:space="preserve">, N harvest index and </w:t>
      </w:r>
      <w:r>
        <w:rPr>
          <w:color w:val="000000"/>
          <w:sz w:val="15"/>
          <w:szCs w:val="15"/>
        </w:rPr>
        <w:t>N internal efficiency</w:t>
      </w:r>
      <w:r>
        <w:rPr>
          <w:rFonts w:hint="eastAsia"/>
          <w:color w:val="000000"/>
          <w:sz w:val="15"/>
          <w:szCs w:val="15"/>
        </w:rPr>
        <w:t xml:space="preserve">; X24-X26 represent nitrate-N residue in 0-100 cm, 100-200 cm and 0-200 cm soil depth; respectively. </w:t>
      </w:r>
      <w:r>
        <w:rPr>
          <w:color w:val="000000"/>
          <w:sz w:val="15"/>
          <w:szCs w:val="15"/>
        </w:rPr>
        <w:t>* and ** indicate significant correlation</w:t>
      </w:r>
      <w:r>
        <w:rPr>
          <w:rFonts w:hint="eastAsia"/>
          <w:color w:val="000000"/>
          <w:sz w:val="15"/>
          <w:szCs w:val="15"/>
        </w:rPr>
        <w:t>s</w:t>
      </w:r>
      <w:r>
        <w:rPr>
          <w:color w:val="000000"/>
          <w:sz w:val="15"/>
          <w:szCs w:val="15"/>
        </w:rPr>
        <w:t xml:space="preserve"> at the 0.05 and 0.01 level, respectively.</w:t>
      </w:r>
    </w:p>
    <w:p w14:paraId="3BB1A1CB" w14:textId="77777777" w:rsidR="00B14271" w:rsidRDefault="00B14271" w:rsidP="00B14271">
      <w:pPr>
        <w:adjustRightInd w:val="0"/>
        <w:ind w:left="360" w:hangingChars="200" w:hanging="360"/>
        <w:rPr>
          <w:rFonts w:hint="eastAsia"/>
          <w:color w:val="000000"/>
          <w:sz w:val="18"/>
          <w:szCs w:val="18"/>
        </w:rPr>
      </w:pPr>
    </w:p>
    <w:p w14:paraId="2898BB3E" w14:textId="77777777" w:rsidR="00B14271" w:rsidRDefault="00B14271" w:rsidP="00B14271">
      <w:pPr>
        <w:rPr>
          <w:rFonts w:hint="eastAsia"/>
          <w:color w:val="000000"/>
          <w:sz w:val="15"/>
          <w:szCs w:val="15"/>
        </w:rPr>
      </w:pPr>
      <w:r>
        <w:rPr>
          <w:rFonts w:hint="eastAsia"/>
          <w:b/>
          <w:color w:val="000000"/>
          <w:sz w:val="15"/>
          <w:szCs w:val="15"/>
        </w:rPr>
        <w:t>Sup</w:t>
      </w:r>
      <w:r>
        <w:rPr>
          <w:b/>
          <w:color w:val="000000"/>
          <w:sz w:val="15"/>
          <w:szCs w:val="15"/>
        </w:rPr>
        <w:t>Table</w:t>
      </w:r>
      <w:r>
        <w:rPr>
          <w:rFonts w:hint="eastAsia"/>
          <w:b/>
          <w:color w:val="000000"/>
          <w:sz w:val="15"/>
          <w:szCs w:val="15"/>
        </w:rPr>
        <w:t xml:space="preserve"> 1 </w:t>
      </w:r>
      <w:r>
        <w:rPr>
          <w:color w:val="000000"/>
          <w:sz w:val="15"/>
          <w:szCs w:val="15"/>
        </w:rPr>
        <w:t>Score coefficient and contribution rate of principal component</w:t>
      </w:r>
    </w:p>
    <w:tbl>
      <w:tblPr>
        <w:tblW w:w="6446" w:type="pct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2212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</w:tblGrid>
      <w:tr w:rsidR="00B14271" w14:paraId="42D459C2" w14:textId="77777777" w:rsidTr="005431B4">
        <w:trPr>
          <w:trHeight w:val="312"/>
          <w:jc w:val="center"/>
        </w:trPr>
        <w:tc>
          <w:tcPr>
            <w:tcW w:w="1007" w:type="pct"/>
            <w:vMerge w:val="restart"/>
            <w:noWrap/>
            <w:vAlign w:val="center"/>
          </w:tcPr>
          <w:p w14:paraId="065412D8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Indexes</w:t>
            </w:r>
          </w:p>
        </w:tc>
        <w:tc>
          <w:tcPr>
            <w:tcW w:w="887" w:type="pct"/>
            <w:gridSpan w:val="2"/>
            <w:tcBorders>
              <w:bottom w:val="single" w:sz="2" w:space="0" w:color="000000"/>
              <w:right w:val="single" w:sz="24" w:space="0" w:color="FFFFFF"/>
            </w:tcBorders>
            <w:noWrap/>
            <w:vAlign w:val="center"/>
          </w:tcPr>
          <w:p w14:paraId="6263895C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t>MF 2022-2023</w:t>
            </w:r>
          </w:p>
        </w:tc>
        <w:tc>
          <w:tcPr>
            <w:tcW w:w="1331" w:type="pct"/>
            <w:gridSpan w:val="3"/>
            <w:tcBorders>
              <w:left w:val="single" w:sz="24" w:space="0" w:color="FFFFFF"/>
              <w:bottom w:val="single" w:sz="2" w:space="0" w:color="000000"/>
              <w:right w:val="single" w:sz="24" w:space="0" w:color="FFFFFF"/>
            </w:tcBorders>
            <w:noWrap/>
            <w:vAlign w:val="center"/>
          </w:tcPr>
          <w:p w14:paraId="1F9984A9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t>MF 2023-2024</w:t>
            </w:r>
          </w:p>
        </w:tc>
        <w:tc>
          <w:tcPr>
            <w:tcW w:w="887" w:type="pct"/>
            <w:gridSpan w:val="2"/>
            <w:tcBorders>
              <w:left w:val="single" w:sz="24" w:space="0" w:color="FFFFFF"/>
              <w:bottom w:val="single" w:sz="2" w:space="0" w:color="000000"/>
              <w:right w:val="single" w:sz="24" w:space="0" w:color="FFFFFF"/>
            </w:tcBorders>
            <w:noWrap/>
            <w:vAlign w:val="center"/>
          </w:tcPr>
          <w:p w14:paraId="5F8312FF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t>PF 2022-2023</w:t>
            </w:r>
          </w:p>
        </w:tc>
        <w:tc>
          <w:tcPr>
            <w:tcW w:w="887" w:type="pct"/>
            <w:gridSpan w:val="2"/>
            <w:tcBorders>
              <w:left w:val="single" w:sz="24" w:space="0" w:color="FFFFFF"/>
              <w:bottom w:val="single" w:sz="2" w:space="0" w:color="000000"/>
            </w:tcBorders>
            <w:noWrap/>
            <w:vAlign w:val="center"/>
          </w:tcPr>
          <w:p w14:paraId="427CA50A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t>PF 2023-2024</w:t>
            </w:r>
          </w:p>
        </w:tc>
      </w:tr>
      <w:tr w:rsidR="00B14271" w14:paraId="06FEE1B3" w14:textId="77777777" w:rsidTr="005431B4">
        <w:trPr>
          <w:trHeight w:val="324"/>
          <w:jc w:val="center"/>
        </w:trPr>
        <w:tc>
          <w:tcPr>
            <w:tcW w:w="1007" w:type="pct"/>
            <w:vMerge/>
            <w:tcBorders>
              <w:bottom w:val="single" w:sz="2" w:space="0" w:color="000000"/>
            </w:tcBorders>
            <w:noWrap/>
            <w:vAlign w:val="center"/>
          </w:tcPr>
          <w:p w14:paraId="67843B3F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44" w:type="pct"/>
            <w:tcBorders>
              <w:top w:val="single" w:sz="2" w:space="0" w:color="000000"/>
              <w:bottom w:val="single" w:sz="2" w:space="0" w:color="000000"/>
            </w:tcBorders>
            <w:noWrap/>
            <w:vAlign w:val="center"/>
          </w:tcPr>
          <w:p w14:paraId="56E1BC92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Component 1</w:t>
            </w:r>
          </w:p>
          <w:p w14:paraId="2D0C2154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 xml:space="preserve"> (C</w:t>
            </w:r>
            <w:r>
              <w:rPr>
                <w:rFonts w:hint="eastAsia"/>
                <w:color w:val="000000"/>
                <w:kern w:val="0"/>
                <w:sz w:val="14"/>
                <w:szCs w:val="14"/>
                <w:vertAlign w:val="subscript"/>
              </w:rPr>
              <w:t>1</w:t>
            </w: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44" w:type="pct"/>
            <w:tcBorders>
              <w:top w:val="single" w:sz="2" w:space="0" w:color="000000"/>
              <w:bottom w:val="single" w:sz="2" w:space="0" w:color="000000"/>
              <w:right w:val="single" w:sz="24" w:space="0" w:color="FFFFFF"/>
            </w:tcBorders>
            <w:noWrap/>
            <w:vAlign w:val="center"/>
          </w:tcPr>
          <w:p w14:paraId="456769C2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 xml:space="preserve">Component 2 </w:t>
            </w:r>
          </w:p>
          <w:p w14:paraId="2B5113F1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(C</w:t>
            </w:r>
            <w:r>
              <w:rPr>
                <w:rFonts w:hint="eastAsia"/>
                <w:color w:val="000000"/>
                <w:kern w:val="0"/>
                <w:sz w:val="14"/>
                <w:szCs w:val="14"/>
                <w:vertAlign w:val="subscript"/>
              </w:rPr>
              <w:t>2</w:t>
            </w: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44" w:type="pct"/>
            <w:tcBorders>
              <w:top w:val="single" w:sz="2" w:space="0" w:color="000000"/>
              <w:left w:val="single" w:sz="24" w:space="0" w:color="FFFFFF"/>
              <w:bottom w:val="single" w:sz="2" w:space="0" w:color="000000"/>
            </w:tcBorders>
            <w:noWrap/>
            <w:vAlign w:val="center"/>
          </w:tcPr>
          <w:p w14:paraId="6076BD92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Component 1</w:t>
            </w:r>
          </w:p>
          <w:p w14:paraId="46536CA5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 xml:space="preserve"> (C</w:t>
            </w:r>
            <w:r>
              <w:rPr>
                <w:rFonts w:hint="eastAsia"/>
                <w:color w:val="000000"/>
                <w:kern w:val="0"/>
                <w:sz w:val="14"/>
                <w:szCs w:val="14"/>
                <w:vertAlign w:val="subscript"/>
              </w:rPr>
              <w:t>1</w:t>
            </w: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44" w:type="pct"/>
            <w:tcBorders>
              <w:top w:val="single" w:sz="2" w:space="0" w:color="000000"/>
              <w:bottom w:val="single" w:sz="2" w:space="0" w:color="000000"/>
            </w:tcBorders>
            <w:noWrap/>
            <w:vAlign w:val="center"/>
          </w:tcPr>
          <w:p w14:paraId="097BD148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 xml:space="preserve">Component 2 </w:t>
            </w:r>
          </w:p>
          <w:p w14:paraId="6E187ABD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(C</w:t>
            </w:r>
            <w:r>
              <w:rPr>
                <w:rFonts w:hint="eastAsia"/>
                <w:color w:val="000000"/>
                <w:kern w:val="0"/>
                <w:sz w:val="14"/>
                <w:szCs w:val="14"/>
                <w:vertAlign w:val="subscript"/>
              </w:rPr>
              <w:t>2</w:t>
            </w: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44" w:type="pct"/>
            <w:tcBorders>
              <w:top w:val="single" w:sz="2" w:space="0" w:color="000000"/>
              <w:bottom w:val="single" w:sz="2" w:space="0" w:color="000000"/>
              <w:right w:val="single" w:sz="24" w:space="0" w:color="FFFFFF"/>
            </w:tcBorders>
            <w:noWrap/>
            <w:vAlign w:val="center"/>
          </w:tcPr>
          <w:p w14:paraId="3C299EB8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Component 3</w:t>
            </w:r>
          </w:p>
          <w:p w14:paraId="23BACEA4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 xml:space="preserve"> (C</w:t>
            </w:r>
            <w:r>
              <w:rPr>
                <w:rFonts w:hint="eastAsia"/>
                <w:color w:val="000000"/>
                <w:kern w:val="0"/>
                <w:sz w:val="14"/>
                <w:szCs w:val="14"/>
                <w:vertAlign w:val="subscript"/>
              </w:rPr>
              <w:t>3</w:t>
            </w: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44" w:type="pct"/>
            <w:tcBorders>
              <w:top w:val="single" w:sz="2" w:space="0" w:color="000000"/>
              <w:left w:val="single" w:sz="24" w:space="0" w:color="FFFFFF"/>
              <w:bottom w:val="single" w:sz="2" w:space="0" w:color="000000"/>
            </w:tcBorders>
            <w:noWrap/>
            <w:vAlign w:val="center"/>
          </w:tcPr>
          <w:p w14:paraId="50961C3B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Component 1</w:t>
            </w:r>
          </w:p>
          <w:p w14:paraId="29C5D52F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 xml:space="preserve"> (C</w:t>
            </w:r>
            <w:r>
              <w:rPr>
                <w:rFonts w:hint="eastAsia"/>
                <w:color w:val="000000"/>
                <w:kern w:val="0"/>
                <w:sz w:val="14"/>
                <w:szCs w:val="14"/>
                <w:vertAlign w:val="subscript"/>
              </w:rPr>
              <w:t>1</w:t>
            </w: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44" w:type="pct"/>
            <w:tcBorders>
              <w:top w:val="single" w:sz="2" w:space="0" w:color="000000"/>
              <w:bottom w:val="single" w:sz="2" w:space="0" w:color="000000"/>
              <w:right w:val="single" w:sz="24" w:space="0" w:color="FFFFFF"/>
            </w:tcBorders>
            <w:noWrap/>
            <w:vAlign w:val="center"/>
          </w:tcPr>
          <w:p w14:paraId="25902612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 xml:space="preserve">Component 2 </w:t>
            </w:r>
          </w:p>
          <w:p w14:paraId="26114AA5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(C</w:t>
            </w:r>
            <w:r>
              <w:rPr>
                <w:rFonts w:hint="eastAsia"/>
                <w:color w:val="000000"/>
                <w:kern w:val="0"/>
                <w:sz w:val="14"/>
                <w:szCs w:val="14"/>
                <w:vertAlign w:val="subscript"/>
              </w:rPr>
              <w:t>2</w:t>
            </w: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44" w:type="pct"/>
            <w:tcBorders>
              <w:top w:val="single" w:sz="2" w:space="0" w:color="000000"/>
              <w:left w:val="single" w:sz="24" w:space="0" w:color="FFFFFF"/>
              <w:bottom w:val="single" w:sz="2" w:space="0" w:color="000000"/>
            </w:tcBorders>
            <w:noWrap/>
            <w:vAlign w:val="center"/>
          </w:tcPr>
          <w:p w14:paraId="00696813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Component 1</w:t>
            </w:r>
          </w:p>
          <w:p w14:paraId="66CA42FE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 xml:space="preserve"> (C</w:t>
            </w:r>
            <w:r>
              <w:rPr>
                <w:rFonts w:hint="eastAsia"/>
                <w:color w:val="000000"/>
                <w:kern w:val="0"/>
                <w:sz w:val="14"/>
                <w:szCs w:val="14"/>
                <w:vertAlign w:val="subscript"/>
              </w:rPr>
              <w:t>1</w:t>
            </w: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44" w:type="pct"/>
            <w:tcBorders>
              <w:top w:val="single" w:sz="2" w:space="0" w:color="000000"/>
              <w:bottom w:val="single" w:sz="2" w:space="0" w:color="000000"/>
            </w:tcBorders>
            <w:noWrap/>
            <w:vAlign w:val="center"/>
          </w:tcPr>
          <w:p w14:paraId="7878FCE9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 xml:space="preserve">Component 2 </w:t>
            </w:r>
          </w:p>
          <w:p w14:paraId="548B81C9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(C</w:t>
            </w:r>
            <w:r>
              <w:rPr>
                <w:rFonts w:hint="eastAsia"/>
                <w:color w:val="000000"/>
                <w:kern w:val="0"/>
                <w:sz w:val="14"/>
                <w:szCs w:val="14"/>
                <w:vertAlign w:val="subscript"/>
              </w:rPr>
              <w:t>2</w:t>
            </w:r>
            <w:r>
              <w:rPr>
                <w:rFonts w:hint="eastAsia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B14271" w14:paraId="42E5E613" w14:textId="77777777" w:rsidTr="005431B4">
        <w:trPr>
          <w:trHeight w:val="324"/>
          <w:jc w:val="center"/>
        </w:trPr>
        <w:tc>
          <w:tcPr>
            <w:tcW w:w="1007" w:type="pct"/>
            <w:tcBorders>
              <w:top w:val="single" w:sz="2" w:space="0" w:color="000000"/>
              <w:bottom w:val="nil"/>
            </w:tcBorders>
            <w:vAlign w:val="center"/>
          </w:tcPr>
          <w:p w14:paraId="7B25562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t>G</w:t>
            </w: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rain yield</w:t>
            </w:r>
          </w:p>
        </w:tc>
        <w:tc>
          <w:tcPr>
            <w:tcW w:w="444" w:type="pct"/>
            <w:tcBorders>
              <w:top w:val="single" w:sz="2" w:space="0" w:color="000000"/>
              <w:bottom w:val="nil"/>
            </w:tcBorders>
            <w:noWrap/>
            <w:vAlign w:val="center"/>
          </w:tcPr>
          <w:p w14:paraId="62673D5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0.048</w:t>
            </w:r>
          </w:p>
        </w:tc>
        <w:tc>
          <w:tcPr>
            <w:tcW w:w="444" w:type="pct"/>
            <w:tcBorders>
              <w:top w:val="single" w:sz="2" w:space="0" w:color="000000"/>
              <w:bottom w:val="nil"/>
            </w:tcBorders>
            <w:noWrap/>
            <w:vAlign w:val="center"/>
          </w:tcPr>
          <w:p w14:paraId="2DA8C90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0.048</w:t>
            </w:r>
          </w:p>
        </w:tc>
        <w:tc>
          <w:tcPr>
            <w:tcW w:w="444" w:type="pct"/>
            <w:tcBorders>
              <w:top w:val="single" w:sz="2" w:space="0" w:color="000000"/>
              <w:bottom w:val="nil"/>
            </w:tcBorders>
            <w:shd w:val="clear" w:color="auto" w:fill="FFFFFF"/>
            <w:vAlign w:val="center"/>
          </w:tcPr>
          <w:p w14:paraId="3F34377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0.044</w:t>
            </w:r>
          </w:p>
        </w:tc>
        <w:tc>
          <w:tcPr>
            <w:tcW w:w="444" w:type="pct"/>
            <w:tcBorders>
              <w:top w:val="single" w:sz="2" w:space="0" w:color="000000"/>
              <w:bottom w:val="nil"/>
            </w:tcBorders>
            <w:shd w:val="clear" w:color="auto" w:fill="FFFFFF"/>
            <w:vAlign w:val="center"/>
          </w:tcPr>
          <w:p w14:paraId="514136C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0.221</w:t>
            </w:r>
          </w:p>
        </w:tc>
        <w:tc>
          <w:tcPr>
            <w:tcW w:w="444" w:type="pct"/>
            <w:tcBorders>
              <w:top w:val="single" w:sz="2" w:space="0" w:color="000000"/>
              <w:bottom w:val="nil"/>
            </w:tcBorders>
            <w:shd w:val="clear" w:color="auto" w:fill="FFFFFF"/>
            <w:vAlign w:val="center"/>
          </w:tcPr>
          <w:p w14:paraId="4DDF935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0.027</w:t>
            </w:r>
          </w:p>
        </w:tc>
        <w:tc>
          <w:tcPr>
            <w:tcW w:w="444" w:type="pct"/>
            <w:tcBorders>
              <w:top w:val="single" w:sz="2" w:space="0" w:color="000000"/>
              <w:bottom w:val="nil"/>
            </w:tcBorders>
            <w:shd w:val="clear" w:color="auto" w:fill="FFFFFF"/>
            <w:vAlign w:val="center"/>
          </w:tcPr>
          <w:p w14:paraId="15242DA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0.048</w:t>
            </w:r>
          </w:p>
        </w:tc>
        <w:tc>
          <w:tcPr>
            <w:tcW w:w="444" w:type="pct"/>
            <w:tcBorders>
              <w:top w:val="single" w:sz="2" w:space="0" w:color="000000"/>
              <w:bottom w:val="nil"/>
            </w:tcBorders>
            <w:shd w:val="clear" w:color="auto" w:fill="FFFFFF"/>
            <w:vAlign w:val="center"/>
          </w:tcPr>
          <w:p w14:paraId="27F8FAC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0.083</w:t>
            </w:r>
          </w:p>
        </w:tc>
        <w:tc>
          <w:tcPr>
            <w:tcW w:w="444" w:type="pct"/>
            <w:tcBorders>
              <w:top w:val="single" w:sz="2" w:space="0" w:color="000000"/>
              <w:bottom w:val="nil"/>
            </w:tcBorders>
            <w:shd w:val="clear" w:color="auto" w:fill="FFFFFF"/>
            <w:vAlign w:val="center"/>
          </w:tcPr>
          <w:p w14:paraId="15B8545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0.044</w:t>
            </w:r>
          </w:p>
        </w:tc>
        <w:tc>
          <w:tcPr>
            <w:tcW w:w="444" w:type="pct"/>
            <w:tcBorders>
              <w:top w:val="single" w:sz="2" w:space="0" w:color="000000"/>
              <w:bottom w:val="nil"/>
            </w:tcBorders>
            <w:shd w:val="clear" w:color="auto" w:fill="FFFFFF"/>
            <w:vAlign w:val="center"/>
          </w:tcPr>
          <w:p w14:paraId="5B8971F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0.160</w:t>
            </w:r>
          </w:p>
        </w:tc>
      </w:tr>
      <w:tr w:rsidR="00B14271" w14:paraId="6ED7E74D" w14:textId="77777777" w:rsidTr="005431B4">
        <w:trPr>
          <w:trHeight w:val="312"/>
          <w:jc w:val="center"/>
        </w:trPr>
        <w:tc>
          <w:tcPr>
            <w:tcW w:w="1007" w:type="pct"/>
            <w:tcBorders>
              <w:top w:val="nil"/>
            </w:tcBorders>
            <w:vAlign w:val="center"/>
          </w:tcPr>
          <w:p w14:paraId="08B83C7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t>S</w:t>
            </w: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pike number</w:t>
            </w:r>
          </w:p>
        </w:tc>
        <w:tc>
          <w:tcPr>
            <w:tcW w:w="444" w:type="pct"/>
            <w:tcBorders>
              <w:top w:val="nil"/>
            </w:tcBorders>
            <w:noWrap/>
            <w:vAlign w:val="center"/>
          </w:tcPr>
          <w:p w14:paraId="1EF4B21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tcBorders>
              <w:top w:val="nil"/>
            </w:tcBorders>
            <w:noWrap/>
            <w:vAlign w:val="center"/>
          </w:tcPr>
          <w:p w14:paraId="2C60144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0.119</w:t>
            </w:r>
          </w:p>
        </w:tc>
        <w:tc>
          <w:tcPr>
            <w:tcW w:w="444" w:type="pct"/>
            <w:tcBorders>
              <w:top w:val="nil"/>
            </w:tcBorders>
            <w:shd w:val="clear" w:color="auto" w:fill="FFFFFF"/>
            <w:vAlign w:val="center"/>
          </w:tcPr>
          <w:p w14:paraId="7CF713C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tcBorders>
              <w:top w:val="nil"/>
            </w:tcBorders>
            <w:shd w:val="clear" w:color="auto" w:fill="FFFFFF"/>
            <w:vAlign w:val="center"/>
          </w:tcPr>
          <w:p w14:paraId="2DBDA7C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0.011</w:t>
            </w:r>
          </w:p>
        </w:tc>
        <w:tc>
          <w:tcPr>
            <w:tcW w:w="444" w:type="pct"/>
            <w:tcBorders>
              <w:top w:val="nil"/>
            </w:tcBorders>
            <w:shd w:val="clear" w:color="auto" w:fill="FFFFFF"/>
            <w:vAlign w:val="center"/>
          </w:tcPr>
          <w:p w14:paraId="5FDA876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0.025</w:t>
            </w:r>
          </w:p>
        </w:tc>
        <w:tc>
          <w:tcPr>
            <w:tcW w:w="444" w:type="pct"/>
            <w:tcBorders>
              <w:top w:val="nil"/>
            </w:tcBorders>
            <w:shd w:val="clear" w:color="auto" w:fill="FFFFFF"/>
            <w:vAlign w:val="center"/>
          </w:tcPr>
          <w:p w14:paraId="5D88B1B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0.039</w:t>
            </w:r>
          </w:p>
        </w:tc>
        <w:tc>
          <w:tcPr>
            <w:tcW w:w="444" w:type="pct"/>
            <w:tcBorders>
              <w:top w:val="nil"/>
            </w:tcBorders>
            <w:shd w:val="clear" w:color="auto" w:fill="FFFFFF"/>
            <w:vAlign w:val="center"/>
          </w:tcPr>
          <w:p w14:paraId="6017722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0.223</w:t>
            </w:r>
          </w:p>
        </w:tc>
        <w:tc>
          <w:tcPr>
            <w:tcW w:w="444" w:type="pct"/>
            <w:tcBorders>
              <w:top w:val="nil"/>
            </w:tcBorders>
            <w:shd w:val="clear" w:color="auto" w:fill="FFFFFF"/>
            <w:vAlign w:val="center"/>
          </w:tcPr>
          <w:p w14:paraId="7E8341D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0.043</w:t>
            </w:r>
          </w:p>
        </w:tc>
        <w:tc>
          <w:tcPr>
            <w:tcW w:w="444" w:type="pct"/>
            <w:tcBorders>
              <w:top w:val="nil"/>
            </w:tcBorders>
            <w:shd w:val="clear" w:color="auto" w:fill="FFFFFF"/>
            <w:vAlign w:val="center"/>
          </w:tcPr>
          <w:p w14:paraId="0C81E91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0.214</w:t>
            </w:r>
          </w:p>
        </w:tc>
      </w:tr>
      <w:tr w:rsidR="00B14271" w14:paraId="2B20B665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6BD16DE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t>G</w:t>
            </w: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rain number per spike</w:t>
            </w:r>
          </w:p>
        </w:tc>
        <w:tc>
          <w:tcPr>
            <w:tcW w:w="444" w:type="pct"/>
            <w:noWrap/>
            <w:vAlign w:val="center"/>
          </w:tcPr>
          <w:p w14:paraId="5C723DB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0.047</w:t>
            </w:r>
          </w:p>
        </w:tc>
        <w:tc>
          <w:tcPr>
            <w:tcW w:w="444" w:type="pct"/>
            <w:noWrap/>
            <w:vAlign w:val="center"/>
          </w:tcPr>
          <w:p w14:paraId="25B666A1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-0.034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18BFD7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28782F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0.257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3B720A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-0.139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36D97D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E66EAC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0.017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D49755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0.044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627422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0.142</w:t>
            </w:r>
          </w:p>
        </w:tc>
      </w:tr>
      <w:tr w:rsidR="00B14271" w14:paraId="56EC6186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2102025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1000-grain weight</w:t>
            </w:r>
          </w:p>
        </w:tc>
        <w:tc>
          <w:tcPr>
            <w:tcW w:w="444" w:type="pct"/>
            <w:noWrap/>
            <w:vAlign w:val="center"/>
          </w:tcPr>
          <w:p w14:paraId="65202ED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noWrap/>
            <w:vAlign w:val="center"/>
          </w:tcPr>
          <w:p w14:paraId="1EB22EF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-0.089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4C0CEC4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-0.032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3C8F38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0.235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F33FA2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0.380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80FADA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C85246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-0.072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AD24354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F6DEB6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-0.150</w:t>
            </w:r>
          </w:p>
        </w:tc>
      </w:tr>
      <w:tr w:rsidR="00B14271" w14:paraId="1CCD5927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456637B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Harvest index</w:t>
            </w:r>
          </w:p>
        </w:tc>
        <w:tc>
          <w:tcPr>
            <w:tcW w:w="444" w:type="pct"/>
            <w:noWrap/>
            <w:vAlign w:val="center"/>
          </w:tcPr>
          <w:p w14:paraId="7D74E9E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-0.001</w:t>
            </w:r>
          </w:p>
        </w:tc>
        <w:tc>
          <w:tcPr>
            <w:tcW w:w="444" w:type="pct"/>
            <w:noWrap/>
            <w:vAlign w:val="center"/>
          </w:tcPr>
          <w:p w14:paraId="093E557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-0.271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7620E4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-0.024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7C97A6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0.345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76A84E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-0.348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C78B16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D3AE4C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0.028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767AC3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F459E0E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0.017</w:t>
            </w:r>
          </w:p>
        </w:tc>
      </w:tr>
      <w:tr w:rsidR="00B14271" w14:paraId="6A96288E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0CE1ED6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Grain protein yield</w:t>
            </w:r>
          </w:p>
        </w:tc>
        <w:tc>
          <w:tcPr>
            <w:tcW w:w="444" w:type="pct"/>
            <w:noWrap/>
            <w:vAlign w:val="center"/>
          </w:tcPr>
          <w:p w14:paraId="525C95A1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noWrap/>
            <w:vAlign w:val="center"/>
          </w:tcPr>
          <w:p w14:paraId="44E510D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0.038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2C3C94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C0E1D2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0.093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48087D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-0.011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1E8A29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4B35AD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0.023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FB1DDD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597C61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0.118</w:t>
            </w:r>
          </w:p>
        </w:tc>
      </w:tr>
      <w:tr w:rsidR="00B14271" w14:paraId="57C84DBA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1D9EBA2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Protein content</w:t>
            </w:r>
          </w:p>
        </w:tc>
        <w:tc>
          <w:tcPr>
            <w:tcW w:w="444" w:type="pct"/>
            <w:noWrap/>
            <w:vAlign w:val="center"/>
          </w:tcPr>
          <w:p w14:paraId="6D578F6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0.050</w:t>
            </w:r>
          </w:p>
        </w:tc>
        <w:tc>
          <w:tcPr>
            <w:tcW w:w="444" w:type="pct"/>
            <w:noWrap/>
            <w:vAlign w:val="center"/>
          </w:tcPr>
          <w:p w14:paraId="53264A1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0.031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EF48FF1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74316F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-0.101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3D52334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0.019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2B44614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8F12BF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-0.099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731174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15793A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0.019</w:t>
            </w:r>
          </w:p>
        </w:tc>
      </w:tr>
      <w:tr w:rsidR="00B14271" w14:paraId="287DCC7A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3A5AAD2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t>A</w:t>
            </w: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lbumin</w:t>
            </w:r>
          </w:p>
        </w:tc>
        <w:tc>
          <w:tcPr>
            <w:tcW w:w="444" w:type="pct"/>
            <w:noWrap/>
            <w:vAlign w:val="center"/>
          </w:tcPr>
          <w:p w14:paraId="43B200D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noWrap/>
            <w:vAlign w:val="center"/>
          </w:tcPr>
          <w:p w14:paraId="1ED831F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-0.078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701D17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BCD519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0.108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EBFF0C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-0.035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48439B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FA5EE6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-0.028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BB7BA9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27EE0A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-0.027</w:t>
            </w:r>
          </w:p>
        </w:tc>
      </w:tr>
      <w:tr w:rsidR="00B14271" w14:paraId="7BE79B84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7D1A1B5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t>G</w:t>
            </w: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lobulin</w:t>
            </w:r>
          </w:p>
        </w:tc>
        <w:tc>
          <w:tcPr>
            <w:tcW w:w="444" w:type="pct"/>
            <w:noWrap/>
            <w:vAlign w:val="center"/>
          </w:tcPr>
          <w:p w14:paraId="6D96D8B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0.038</w:t>
            </w:r>
          </w:p>
        </w:tc>
        <w:tc>
          <w:tcPr>
            <w:tcW w:w="444" w:type="pct"/>
            <w:noWrap/>
            <w:vAlign w:val="center"/>
          </w:tcPr>
          <w:p w14:paraId="4F0448F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0.204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270AC0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785A45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0.157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CFECF9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-0.074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66D8A0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0.043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353EEC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0.113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5FD0F4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0.026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8400AB4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-0.427</w:t>
            </w:r>
          </w:p>
        </w:tc>
      </w:tr>
      <w:tr w:rsidR="00B14271" w14:paraId="411E897A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7F460804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lastRenderedPageBreak/>
              <w:t>G</w:t>
            </w: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liadin</w:t>
            </w:r>
          </w:p>
        </w:tc>
        <w:tc>
          <w:tcPr>
            <w:tcW w:w="444" w:type="pct"/>
            <w:noWrap/>
            <w:vAlign w:val="center"/>
          </w:tcPr>
          <w:p w14:paraId="3CAE856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-0.032</w:t>
            </w:r>
          </w:p>
        </w:tc>
        <w:tc>
          <w:tcPr>
            <w:tcW w:w="444" w:type="pct"/>
            <w:noWrap/>
            <w:vAlign w:val="center"/>
          </w:tcPr>
          <w:p w14:paraId="0E409551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0.236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EACF02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B8717E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0.121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8AD2181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0.319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4EB463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0.037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0F1FC5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0.163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E6B0E5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C1307C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0.084</w:t>
            </w:r>
          </w:p>
        </w:tc>
      </w:tr>
      <w:tr w:rsidR="00B14271" w14:paraId="1B60B5F1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4B8CF6E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t>G</w:t>
            </w: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lutenin</w:t>
            </w:r>
          </w:p>
        </w:tc>
        <w:tc>
          <w:tcPr>
            <w:tcW w:w="444" w:type="pct"/>
            <w:noWrap/>
            <w:vAlign w:val="center"/>
          </w:tcPr>
          <w:p w14:paraId="79E8866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noWrap/>
            <w:vAlign w:val="center"/>
          </w:tcPr>
          <w:p w14:paraId="68792E1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-0.100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BEA920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0F2118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-0.055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1975E3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705DBE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6D17BF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-0.187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D8E81A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F1107B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-0.026</w:t>
            </w:r>
          </w:p>
        </w:tc>
      </w:tr>
      <w:tr w:rsidR="00B14271" w14:paraId="2340375B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6830B19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t>G</w:t>
            </w: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lutenin/gliadin</w:t>
            </w:r>
          </w:p>
        </w:tc>
        <w:tc>
          <w:tcPr>
            <w:tcW w:w="444" w:type="pct"/>
            <w:noWrap/>
            <w:vAlign w:val="center"/>
          </w:tcPr>
          <w:p w14:paraId="2F1911C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0.043</w:t>
            </w:r>
          </w:p>
        </w:tc>
        <w:tc>
          <w:tcPr>
            <w:tcW w:w="444" w:type="pct"/>
            <w:noWrap/>
            <w:vAlign w:val="center"/>
          </w:tcPr>
          <w:p w14:paraId="6FCB835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-0.147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D7A731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D9E85D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-0.173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581310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-0.135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84345B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0.021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7D66BB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-0.307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7EE934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695288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-0.206</w:t>
            </w:r>
          </w:p>
        </w:tc>
      </w:tr>
      <w:tr w:rsidR="00B14271" w14:paraId="68EA35F0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71986B0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</w:rPr>
              <w:t>S</w:t>
            </w: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torage protein</w:t>
            </w:r>
          </w:p>
        </w:tc>
        <w:tc>
          <w:tcPr>
            <w:tcW w:w="444" w:type="pct"/>
            <w:noWrap/>
            <w:vAlign w:val="center"/>
          </w:tcPr>
          <w:p w14:paraId="7F4E1A7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0.050</w:t>
            </w:r>
          </w:p>
        </w:tc>
        <w:tc>
          <w:tcPr>
            <w:tcW w:w="444" w:type="pct"/>
            <w:noWrap/>
            <w:vAlign w:val="center"/>
          </w:tcPr>
          <w:p w14:paraId="725A596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0.006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F25200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E4ABBB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0.011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410D33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0.098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482EBF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DA37BE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-0.038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3D4716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8106B1E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-0.017</w:t>
            </w:r>
          </w:p>
        </w:tc>
      </w:tr>
      <w:tr w:rsidR="00B14271" w14:paraId="17E7D002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7C24226F" w14:textId="77777777" w:rsidR="00B14271" w:rsidRDefault="00B14271" w:rsidP="005431B4">
            <w:pPr>
              <w:snapToGrid w:val="0"/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N accumulation at jointing</w:t>
            </w:r>
          </w:p>
        </w:tc>
        <w:tc>
          <w:tcPr>
            <w:tcW w:w="444" w:type="pct"/>
            <w:noWrap/>
            <w:vAlign w:val="center"/>
          </w:tcPr>
          <w:p w14:paraId="1149EBE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0.030</w:t>
            </w:r>
          </w:p>
        </w:tc>
        <w:tc>
          <w:tcPr>
            <w:tcW w:w="444" w:type="pct"/>
            <w:noWrap/>
            <w:vAlign w:val="center"/>
          </w:tcPr>
          <w:p w14:paraId="5BEB758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0.255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3078A0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0.036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3467F1E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0.117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287564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0.453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D0593F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0.025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A0B82F1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0.261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6AB2134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0.035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E25B6E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0.324</w:t>
            </w:r>
          </w:p>
        </w:tc>
      </w:tr>
      <w:tr w:rsidR="00B14271" w14:paraId="631C14A3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3323A6C2" w14:textId="77777777" w:rsidR="00B14271" w:rsidRDefault="00B14271" w:rsidP="005431B4">
            <w:pPr>
              <w:snapToGrid w:val="0"/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N accumulation at anthesis</w:t>
            </w:r>
          </w:p>
        </w:tc>
        <w:tc>
          <w:tcPr>
            <w:tcW w:w="444" w:type="pct"/>
            <w:noWrap/>
            <w:vAlign w:val="center"/>
          </w:tcPr>
          <w:p w14:paraId="79C125A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0.050</w:t>
            </w:r>
          </w:p>
        </w:tc>
        <w:tc>
          <w:tcPr>
            <w:tcW w:w="444" w:type="pct"/>
            <w:noWrap/>
            <w:vAlign w:val="center"/>
          </w:tcPr>
          <w:p w14:paraId="01CDAAC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0.039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A1DF9C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B04EEF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7503AC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-0.091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BEB648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07C0AB4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0.066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1B33A5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3D1CFC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0.030</w:t>
            </w:r>
          </w:p>
        </w:tc>
      </w:tr>
      <w:tr w:rsidR="00B14271" w14:paraId="50945601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47509A90" w14:textId="77777777" w:rsidR="00B14271" w:rsidRDefault="00B14271" w:rsidP="005431B4">
            <w:pPr>
              <w:snapToGrid w:val="0"/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N accumulation at maturity</w:t>
            </w:r>
          </w:p>
        </w:tc>
        <w:tc>
          <w:tcPr>
            <w:tcW w:w="444" w:type="pct"/>
            <w:noWrap/>
            <w:vAlign w:val="center"/>
          </w:tcPr>
          <w:p w14:paraId="7A466EF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0.050</w:t>
            </w:r>
          </w:p>
        </w:tc>
        <w:tc>
          <w:tcPr>
            <w:tcW w:w="444" w:type="pct"/>
            <w:noWrap/>
            <w:vAlign w:val="center"/>
          </w:tcPr>
          <w:p w14:paraId="7B1CB03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0.003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6A1BCD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5D69C9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0.007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541F27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-0.086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DFFC67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86E0AD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0.033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0A2AFC1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C3D23D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0.012</w:t>
            </w:r>
          </w:p>
        </w:tc>
      </w:tr>
      <w:tr w:rsidR="00B14271" w14:paraId="5C92D287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65B44F95" w14:textId="77777777" w:rsidR="00B14271" w:rsidRDefault="00B14271" w:rsidP="005431B4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T</w:t>
            </w:r>
            <w:r>
              <w:rPr>
                <w:color w:val="000000"/>
                <w:sz w:val="15"/>
                <w:szCs w:val="15"/>
              </w:rPr>
              <w:t>ranslocation</w:t>
            </w:r>
            <w:r>
              <w:rPr>
                <w:rFonts w:hint="eastAsia"/>
                <w:color w:val="000000"/>
                <w:sz w:val="15"/>
                <w:szCs w:val="15"/>
              </w:rPr>
              <w:t xml:space="preserve"> a</w:t>
            </w:r>
            <w:r>
              <w:rPr>
                <w:color w:val="000000"/>
                <w:sz w:val="15"/>
                <w:szCs w:val="15"/>
              </w:rPr>
              <w:t>mount</w:t>
            </w:r>
            <w:r>
              <w:rPr>
                <w:rFonts w:hint="eastAsia"/>
                <w:color w:val="000000"/>
                <w:sz w:val="15"/>
                <w:szCs w:val="15"/>
              </w:rPr>
              <w:t xml:space="preserve"> of </w:t>
            </w: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pre-anthesis N</w:t>
            </w:r>
          </w:p>
        </w:tc>
        <w:tc>
          <w:tcPr>
            <w:tcW w:w="444" w:type="pct"/>
            <w:noWrap/>
            <w:vAlign w:val="center"/>
          </w:tcPr>
          <w:p w14:paraId="515E048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0.048</w:t>
            </w:r>
          </w:p>
        </w:tc>
        <w:tc>
          <w:tcPr>
            <w:tcW w:w="444" w:type="pct"/>
            <w:noWrap/>
            <w:vAlign w:val="center"/>
          </w:tcPr>
          <w:p w14:paraId="1EE1BE5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0.089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54FC1A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FC530C1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0.072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AEC5D7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8C97F4E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525C9A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0.115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5B5B7E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75BECA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0.119</w:t>
            </w:r>
          </w:p>
        </w:tc>
      </w:tr>
      <w:tr w:rsidR="00B14271" w14:paraId="42EB3E0A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07A37BA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C</w:t>
            </w:r>
            <w:r>
              <w:rPr>
                <w:color w:val="000000"/>
                <w:sz w:val="15"/>
                <w:szCs w:val="15"/>
              </w:rPr>
              <w:t>ontribution</w:t>
            </w:r>
            <w:r>
              <w:rPr>
                <w:rFonts w:hint="eastAsia"/>
                <w:color w:val="000000"/>
                <w:sz w:val="15"/>
                <w:szCs w:val="15"/>
              </w:rPr>
              <w:t xml:space="preserve"> </w:t>
            </w:r>
            <w:r>
              <w:rPr>
                <w:color w:val="000000"/>
                <w:sz w:val="15"/>
                <w:szCs w:val="15"/>
              </w:rPr>
              <w:t>rate to grain</w:t>
            </w:r>
            <w:r>
              <w:rPr>
                <w:rFonts w:hint="eastAsia"/>
                <w:color w:val="000000"/>
                <w:sz w:val="15"/>
                <w:szCs w:val="15"/>
              </w:rPr>
              <w:t xml:space="preserve"> of p</w:t>
            </w:r>
            <w:r>
              <w:rPr>
                <w:color w:val="000000"/>
                <w:sz w:val="15"/>
                <w:szCs w:val="15"/>
              </w:rPr>
              <w:t>re-anthesis N</w:t>
            </w:r>
          </w:p>
        </w:tc>
        <w:tc>
          <w:tcPr>
            <w:tcW w:w="444" w:type="pct"/>
            <w:noWrap/>
            <w:vAlign w:val="center"/>
          </w:tcPr>
          <w:p w14:paraId="25CBA41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-0.050</w:t>
            </w:r>
          </w:p>
        </w:tc>
        <w:tc>
          <w:tcPr>
            <w:tcW w:w="444" w:type="pct"/>
            <w:noWrap/>
            <w:vAlign w:val="center"/>
          </w:tcPr>
          <w:p w14:paraId="1063BC5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0.044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D3CF3E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664C0E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0.092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249204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A6927A1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F22166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0.102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9C2D2E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2228F9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0.038</w:t>
            </w:r>
          </w:p>
        </w:tc>
      </w:tr>
      <w:tr w:rsidR="00B14271" w14:paraId="6919BE4B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55B7E99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Accumulation a</w:t>
            </w:r>
            <w:r>
              <w:rPr>
                <w:color w:val="000000"/>
                <w:sz w:val="15"/>
                <w:szCs w:val="15"/>
              </w:rPr>
              <w:t>mount</w:t>
            </w:r>
            <w:r>
              <w:rPr>
                <w:rFonts w:hint="eastAsia"/>
                <w:color w:val="000000"/>
                <w:sz w:val="15"/>
                <w:szCs w:val="15"/>
              </w:rPr>
              <w:t xml:space="preserve"> post</w:t>
            </w:r>
            <w:r>
              <w:rPr>
                <w:color w:val="000000"/>
                <w:sz w:val="15"/>
                <w:szCs w:val="15"/>
              </w:rPr>
              <w:t>-anthesis N</w:t>
            </w:r>
          </w:p>
        </w:tc>
        <w:tc>
          <w:tcPr>
            <w:tcW w:w="444" w:type="pct"/>
            <w:noWrap/>
            <w:vAlign w:val="center"/>
          </w:tcPr>
          <w:p w14:paraId="0B89052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0.050</w:t>
            </w:r>
          </w:p>
        </w:tc>
        <w:tc>
          <w:tcPr>
            <w:tcW w:w="444" w:type="pct"/>
            <w:noWrap/>
            <w:vAlign w:val="center"/>
          </w:tcPr>
          <w:p w14:paraId="22982F1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-0.055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3546C5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8CD024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-0.069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BDDFC6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-0.074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E287FE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2C009F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C4A963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4721EF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-0.037</w:t>
            </w:r>
          </w:p>
        </w:tc>
      </w:tr>
      <w:tr w:rsidR="00B14271" w14:paraId="3A2C4C02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1BA62CA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C</w:t>
            </w:r>
            <w:r>
              <w:rPr>
                <w:color w:val="000000"/>
                <w:sz w:val="15"/>
                <w:szCs w:val="15"/>
              </w:rPr>
              <w:t>ontribution</w:t>
            </w:r>
            <w:r>
              <w:rPr>
                <w:rFonts w:hint="eastAsia"/>
                <w:color w:val="000000"/>
                <w:sz w:val="15"/>
                <w:szCs w:val="15"/>
              </w:rPr>
              <w:t xml:space="preserve"> </w:t>
            </w:r>
            <w:r>
              <w:rPr>
                <w:color w:val="000000"/>
                <w:sz w:val="15"/>
                <w:szCs w:val="15"/>
              </w:rPr>
              <w:t>rate to grain</w:t>
            </w:r>
            <w:r>
              <w:rPr>
                <w:rFonts w:hint="eastAsia"/>
                <w:color w:val="000000"/>
                <w:sz w:val="15"/>
                <w:szCs w:val="15"/>
              </w:rPr>
              <w:t xml:space="preserve"> of post</w:t>
            </w:r>
            <w:r>
              <w:rPr>
                <w:color w:val="000000"/>
                <w:sz w:val="15"/>
                <w:szCs w:val="15"/>
              </w:rPr>
              <w:t>-anthesis N</w:t>
            </w:r>
          </w:p>
        </w:tc>
        <w:tc>
          <w:tcPr>
            <w:tcW w:w="444" w:type="pct"/>
            <w:noWrap/>
            <w:vAlign w:val="center"/>
          </w:tcPr>
          <w:p w14:paraId="510C8BC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0.050</w:t>
            </w:r>
          </w:p>
        </w:tc>
        <w:tc>
          <w:tcPr>
            <w:tcW w:w="444" w:type="pct"/>
            <w:noWrap/>
            <w:vAlign w:val="center"/>
          </w:tcPr>
          <w:p w14:paraId="695AAA6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-0.044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6482734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914E46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-0.092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18B66E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BF7DF8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F46DA3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-0.102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C2E553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887BB6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-0.038</w:t>
            </w:r>
          </w:p>
        </w:tc>
      </w:tr>
      <w:tr w:rsidR="00B14271" w14:paraId="5FB59E77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506CC56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N accumulation</w:t>
            </w:r>
            <w:r>
              <w:rPr>
                <w:rFonts w:hint="eastAsia"/>
                <w:color w:val="000000"/>
                <w:sz w:val="15"/>
                <w:szCs w:val="15"/>
              </w:rPr>
              <w:t xml:space="preserve"> </w:t>
            </w:r>
            <w:r>
              <w:rPr>
                <w:color w:val="000000"/>
                <w:sz w:val="15"/>
                <w:szCs w:val="15"/>
              </w:rPr>
              <w:t>amount in grain</w:t>
            </w:r>
          </w:p>
        </w:tc>
        <w:tc>
          <w:tcPr>
            <w:tcW w:w="444" w:type="pct"/>
            <w:noWrap/>
            <w:vAlign w:val="center"/>
          </w:tcPr>
          <w:p w14:paraId="77DE416E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0.050</w:t>
            </w:r>
          </w:p>
        </w:tc>
        <w:tc>
          <w:tcPr>
            <w:tcW w:w="444" w:type="pct"/>
            <w:noWrap/>
            <w:vAlign w:val="center"/>
          </w:tcPr>
          <w:p w14:paraId="2481159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0.013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725383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9EA55F8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-0.003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DF0E99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-0.060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E3DAE7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F5B64C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0.052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034D8D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66F87B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0.061</w:t>
            </w:r>
          </w:p>
        </w:tc>
      </w:tr>
      <w:tr w:rsidR="00B14271" w14:paraId="48DD71C1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558D1D2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N harvest index</w:t>
            </w:r>
          </w:p>
        </w:tc>
        <w:tc>
          <w:tcPr>
            <w:tcW w:w="444" w:type="pct"/>
            <w:noWrap/>
            <w:vAlign w:val="center"/>
          </w:tcPr>
          <w:p w14:paraId="21A4973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-0.049</w:t>
            </w:r>
          </w:p>
        </w:tc>
        <w:tc>
          <w:tcPr>
            <w:tcW w:w="444" w:type="pct"/>
            <w:noWrap/>
            <w:vAlign w:val="center"/>
          </w:tcPr>
          <w:p w14:paraId="424B0E3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-0.007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46C8AD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3179C3E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-0.067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BD1E891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0.201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ED3C7A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DA0699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0.071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0DFF26E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-0.043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08491E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0.205</w:t>
            </w:r>
          </w:p>
        </w:tc>
      </w:tr>
      <w:tr w:rsidR="00B14271" w14:paraId="5364CEE5" w14:textId="77777777" w:rsidTr="005431B4">
        <w:trPr>
          <w:trHeight w:val="312"/>
          <w:jc w:val="center"/>
        </w:trPr>
        <w:tc>
          <w:tcPr>
            <w:tcW w:w="1007" w:type="pct"/>
            <w:vAlign w:val="center"/>
          </w:tcPr>
          <w:p w14:paraId="7261CD1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N internal efficiency</w:t>
            </w:r>
          </w:p>
        </w:tc>
        <w:tc>
          <w:tcPr>
            <w:tcW w:w="444" w:type="pct"/>
            <w:noWrap/>
            <w:vAlign w:val="center"/>
          </w:tcPr>
          <w:p w14:paraId="2D067667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-0.049</w:t>
            </w:r>
          </w:p>
        </w:tc>
        <w:tc>
          <w:tcPr>
            <w:tcW w:w="444" w:type="pct"/>
            <w:noWrap/>
            <w:vAlign w:val="center"/>
          </w:tcPr>
          <w:p w14:paraId="6BF90EF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-0.014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CC08A8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1901546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0.121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F8CCDE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7C529CF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-0.049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1E1B7D4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0.010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B55FA62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C736E8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0.055</w:t>
            </w:r>
          </w:p>
        </w:tc>
      </w:tr>
      <w:tr w:rsidR="00B14271" w14:paraId="4E5A01FD" w14:textId="77777777" w:rsidTr="005431B4">
        <w:trPr>
          <w:trHeight w:val="324"/>
          <w:jc w:val="center"/>
        </w:trPr>
        <w:tc>
          <w:tcPr>
            <w:tcW w:w="1007" w:type="pct"/>
            <w:vAlign w:val="center"/>
          </w:tcPr>
          <w:p w14:paraId="5D61FF75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  <w:lang w:val="it-IT"/>
              </w:rPr>
            </w:pPr>
            <w:r>
              <w:rPr>
                <w:rFonts w:hint="eastAsia"/>
                <w:color w:val="000000"/>
                <w:sz w:val="15"/>
                <w:szCs w:val="15"/>
                <w:lang w:val="it-IT"/>
              </w:rPr>
              <w:t>Nitrate-N residue in 0-200 cm</w:t>
            </w:r>
          </w:p>
        </w:tc>
        <w:tc>
          <w:tcPr>
            <w:tcW w:w="444" w:type="pct"/>
            <w:noWrap/>
            <w:vAlign w:val="center"/>
          </w:tcPr>
          <w:p w14:paraId="1392044C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0.050</w:t>
            </w:r>
          </w:p>
        </w:tc>
        <w:tc>
          <w:tcPr>
            <w:tcW w:w="444" w:type="pct"/>
            <w:noWrap/>
            <w:vAlign w:val="center"/>
          </w:tcPr>
          <w:p w14:paraId="63BB9473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0.001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E3AEC80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58FB37B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-0.146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4E54C61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0.101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BAFDEC9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0.047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5028BAD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-0.098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DB550B4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0.042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1FE5CF9A" w14:textId="77777777" w:rsidR="00B14271" w:rsidRDefault="00B14271" w:rsidP="005431B4">
            <w:pPr>
              <w:widowControl/>
              <w:snapToGrid w:val="0"/>
              <w:jc w:val="center"/>
              <w:rPr>
                <w:rFonts w:eastAsia="MingLiU"/>
                <w:color w:val="000000"/>
                <w:kern w:val="0"/>
                <w:sz w:val="15"/>
                <w:szCs w:val="15"/>
              </w:rPr>
            </w:pPr>
            <w:r>
              <w:rPr>
                <w:rFonts w:eastAsia="MingLiU"/>
                <w:color w:val="000000"/>
                <w:kern w:val="0"/>
                <w:sz w:val="15"/>
                <w:szCs w:val="15"/>
              </w:rPr>
              <w:t>-0.212</w:t>
            </w:r>
          </w:p>
        </w:tc>
      </w:tr>
      <w:tr w:rsidR="00B14271" w14:paraId="51D3C9C7" w14:textId="77777777" w:rsidTr="005431B4">
        <w:trPr>
          <w:trHeight w:val="312"/>
          <w:jc w:val="center"/>
        </w:trPr>
        <w:tc>
          <w:tcPr>
            <w:tcW w:w="1007" w:type="pct"/>
            <w:noWrap/>
            <w:vAlign w:val="center"/>
          </w:tcPr>
          <w:p w14:paraId="6E0B25D8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Eigenvalue</w:t>
            </w:r>
          </w:p>
        </w:tc>
        <w:tc>
          <w:tcPr>
            <w:tcW w:w="444" w:type="pct"/>
            <w:noWrap/>
            <w:vAlign w:val="center"/>
          </w:tcPr>
          <w:p w14:paraId="3CB7AEA1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19.793</w:t>
            </w:r>
          </w:p>
        </w:tc>
        <w:tc>
          <w:tcPr>
            <w:tcW w:w="444" w:type="pct"/>
            <w:noWrap/>
            <w:vAlign w:val="center"/>
          </w:tcPr>
          <w:p w14:paraId="6DB32456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3.141</w:t>
            </w:r>
          </w:p>
        </w:tc>
        <w:tc>
          <w:tcPr>
            <w:tcW w:w="444" w:type="pct"/>
            <w:noWrap/>
            <w:vAlign w:val="center"/>
          </w:tcPr>
          <w:p w14:paraId="0C85ECE2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20.171</w:t>
            </w:r>
          </w:p>
        </w:tc>
        <w:tc>
          <w:tcPr>
            <w:tcW w:w="444" w:type="pct"/>
            <w:noWrap/>
            <w:vAlign w:val="center"/>
          </w:tcPr>
          <w:p w14:paraId="08DD5479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2.106</w:t>
            </w:r>
          </w:p>
        </w:tc>
        <w:tc>
          <w:tcPr>
            <w:tcW w:w="444" w:type="pct"/>
            <w:noWrap/>
            <w:vAlign w:val="center"/>
          </w:tcPr>
          <w:p w14:paraId="2DFE6C8A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1.402</w:t>
            </w:r>
          </w:p>
        </w:tc>
        <w:tc>
          <w:tcPr>
            <w:tcW w:w="444" w:type="pct"/>
            <w:noWrap/>
            <w:vAlign w:val="center"/>
          </w:tcPr>
          <w:p w14:paraId="1496C805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20.312</w:t>
            </w:r>
          </w:p>
        </w:tc>
        <w:tc>
          <w:tcPr>
            <w:tcW w:w="444" w:type="pct"/>
            <w:noWrap/>
            <w:vAlign w:val="center"/>
          </w:tcPr>
          <w:p w14:paraId="77843224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2.696</w:t>
            </w:r>
          </w:p>
        </w:tc>
        <w:tc>
          <w:tcPr>
            <w:tcW w:w="444" w:type="pct"/>
            <w:noWrap/>
            <w:vAlign w:val="center"/>
          </w:tcPr>
          <w:p w14:paraId="2584967A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21.617</w:t>
            </w:r>
          </w:p>
        </w:tc>
        <w:tc>
          <w:tcPr>
            <w:tcW w:w="444" w:type="pct"/>
            <w:noWrap/>
            <w:vAlign w:val="center"/>
          </w:tcPr>
          <w:p w14:paraId="6A8D827C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1.720</w:t>
            </w:r>
          </w:p>
        </w:tc>
      </w:tr>
      <w:tr w:rsidR="00B14271" w14:paraId="6DD9F74F" w14:textId="77777777" w:rsidTr="005431B4">
        <w:trPr>
          <w:trHeight w:val="312"/>
          <w:jc w:val="center"/>
        </w:trPr>
        <w:tc>
          <w:tcPr>
            <w:tcW w:w="1007" w:type="pct"/>
            <w:noWrap/>
            <w:vAlign w:val="center"/>
          </w:tcPr>
          <w:p w14:paraId="44F0C55D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Contribution rate (%)</w:t>
            </w:r>
          </w:p>
        </w:tc>
        <w:tc>
          <w:tcPr>
            <w:tcW w:w="444" w:type="pct"/>
            <w:noWrap/>
            <w:vAlign w:val="center"/>
          </w:tcPr>
          <w:p w14:paraId="63D0541B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82.470</w:t>
            </w:r>
          </w:p>
        </w:tc>
        <w:tc>
          <w:tcPr>
            <w:tcW w:w="444" w:type="pct"/>
            <w:noWrap/>
            <w:vAlign w:val="center"/>
          </w:tcPr>
          <w:p w14:paraId="4A37690C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13.087</w:t>
            </w:r>
          </w:p>
        </w:tc>
        <w:tc>
          <w:tcPr>
            <w:tcW w:w="444" w:type="pct"/>
            <w:noWrap/>
            <w:vAlign w:val="center"/>
          </w:tcPr>
          <w:p w14:paraId="4AC5D803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84.044</w:t>
            </w:r>
          </w:p>
        </w:tc>
        <w:tc>
          <w:tcPr>
            <w:tcW w:w="444" w:type="pct"/>
            <w:noWrap/>
            <w:vAlign w:val="center"/>
          </w:tcPr>
          <w:p w14:paraId="22FCBF16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8.776</w:t>
            </w:r>
          </w:p>
        </w:tc>
        <w:tc>
          <w:tcPr>
            <w:tcW w:w="444" w:type="pct"/>
            <w:noWrap/>
            <w:vAlign w:val="center"/>
          </w:tcPr>
          <w:p w14:paraId="553B7A38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5.840</w:t>
            </w:r>
          </w:p>
        </w:tc>
        <w:tc>
          <w:tcPr>
            <w:tcW w:w="444" w:type="pct"/>
            <w:noWrap/>
            <w:vAlign w:val="center"/>
          </w:tcPr>
          <w:p w14:paraId="65CC9E44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84.633</w:t>
            </w:r>
          </w:p>
        </w:tc>
        <w:tc>
          <w:tcPr>
            <w:tcW w:w="444" w:type="pct"/>
            <w:noWrap/>
            <w:vAlign w:val="center"/>
          </w:tcPr>
          <w:p w14:paraId="75E0946E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11.233</w:t>
            </w:r>
          </w:p>
        </w:tc>
        <w:tc>
          <w:tcPr>
            <w:tcW w:w="444" w:type="pct"/>
            <w:noWrap/>
            <w:vAlign w:val="center"/>
          </w:tcPr>
          <w:p w14:paraId="43AB3839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90.072</w:t>
            </w:r>
          </w:p>
        </w:tc>
        <w:tc>
          <w:tcPr>
            <w:tcW w:w="444" w:type="pct"/>
            <w:noWrap/>
            <w:vAlign w:val="center"/>
          </w:tcPr>
          <w:p w14:paraId="1A98AAB7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7.166</w:t>
            </w:r>
          </w:p>
        </w:tc>
      </w:tr>
      <w:tr w:rsidR="00B14271" w14:paraId="351FC607" w14:textId="77777777" w:rsidTr="005431B4">
        <w:trPr>
          <w:trHeight w:val="324"/>
          <w:jc w:val="center"/>
        </w:trPr>
        <w:tc>
          <w:tcPr>
            <w:tcW w:w="1007" w:type="pct"/>
            <w:noWrap/>
            <w:vAlign w:val="center"/>
          </w:tcPr>
          <w:p w14:paraId="5DF180D1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Cumulative contribution rate (%)</w:t>
            </w:r>
          </w:p>
        </w:tc>
        <w:tc>
          <w:tcPr>
            <w:tcW w:w="444" w:type="pct"/>
            <w:noWrap/>
            <w:vAlign w:val="center"/>
          </w:tcPr>
          <w:p w14:paraId="14E7BA27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82.470</w:t>
            </w:r>
          </w:p>
        </w:tc>
        <w:tc>
          <w:tcPr>
            <w:tcW w:w="444" w:type="pct"/>
            <w:noWrap/>
            <w:vAlign w:val="center"/>
          </w:tcPr>
          <w:p w14:paraId="18DD370C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95.557</w:t>
            </w:r>
          </w:p>
        </w:tc>
        <w:tc>
          <w:tcPr>
            <w:tcW w:w="444" w:type="pct"/>
            <w:noWrap/>
            <w:vAlign w:val="center"/>
          </w:tcPr>
          <w:p w14:paraId="799588C5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84.044</w:t>
            </w:r>
          </w:p>
        </w:tc>
        <w:tc>
          <w:tcPr>
            <w:tcW w:w="444" w:type="pct"/>
            <w:noWrap/>
            <w:vAlign w:val="center"/>
          </w:tcPr>
          <w:p w14:paraId="78ACDD5B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92.821</w:t>
            </w:r>
          </w:p>
        </w:tc>
        <w:tc>
          <w:tcPr>
            <w:tcW w:w="444" w:type="pct"/>
            <w:noWrap/>
            <w:vAlign w:val="center"/>
          </w:tcPr>
          <w:p w14:paraId="1AB4EC90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98.660</w:t>
            </w:r>
          </w:p>
        </w:tc>
        <w:tc>
          <w:tcPr>
            <w:tcW w:w="444" w:type="pct"/>
            <w:noWrap/>
            <w:vAlign w:val="center"/>
          </w:tcPr>
          <w:p w14:paraId="29E41792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84.633</w:t>
            </w:r>
          </w:p>
        </w:tc>
        <w:tc>
          <w:tcPr>
            <w:tcW w:w="444" w:type="pct"/>
            <w:noWrap/>
            <w:vAlign w:val="center"/>
          </w:tcPr>
          <w:p w14:paraId="2E690BEA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95.866</w:t>
            </w:r>
          </w:p>
        </w:tc>
        <w:tc>
          <w:tcPr>
            <w:tcW w:w="444" w:type="pct"/>
            <w:noWrap/>
            <w:vAlign w:val="center"/>
          </w:tcPr>
          <w:p w14:paraId="0EFADB9D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90.072</w:t>
            </w:r>
          </w:p>
        </w:tc>
        <w:tc>
          <w:tcPr>
            <w:tcW w:w="444" w:type="pct"/>
            <w:noWrap/>
            <w:vAlign w:val="center"/>
          </w:tcPr>
          <w:p w14:paraId="48C7D413" w14:textId="77777777" w:rsidR="00B14271" w:rsidRDefault="00B14271" w:rsidP="005431B4">
            <w:pPr>
              <w:widowControl/>
              <w:snapToGrid w:val="0"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97.237</w:t>
            </w:r>
          </w:p>
        </w:tc>
      </w:tr>
    </w:tbl>
    <w:p w14:paraId="1EFCCE51" w14:textId="77777777" w:rsidR="00B14271" w:rsidRDefault="00B14271" w:rsidP="00B14271">
      <w:pPr>
        <w:rPr>
          <w:rFonts w:hint="eastAsia"/>
          <w:color w:val="000000"/>
          <w:sz w:val="15"/>
          <w:szCs w:val="15"/>
        </w:rPr>
      </w:pPr>
      <w:r>
        <w:rPr>
          <w:rFonts w:hint="eastAsia"/>
          <w:color w:val="000000"/>
          <w:sz w:val="15"/>
          <w:szCs w:val="15"/>
        </w:rPr>
        <w:t xml:space="preserve">MF, </w:t>
      </w:r>
      <w:r>
        <w:rPr>
          <w:color w:val="000000"/>
          <w:sz w:val="15"/>
          <w:szCs w:val="15"/>
        </w:rPr>
        <w:t>moderate</w:t>
      </w:r>
      <w:r>
        <w:rPr>
          <w:rFonts w:hint="eastAsia"/>
          <w:color w:val="000000"/>
          <w:sz w:val="15"/>
          <w:szCs w:val="15"/>
        </w:rPr>
        <w:t xml:space="preserve"> fertility field; PF, poor fertility field.</w:t>
      </w:r>
    </w:p>
    <w:p w14:paraId="33C52152" w14:textId="77777777" w:rsidR="00755780" w:rsidRDefault="00755780"/>
    <w:sectPr w:rsidR="00755780" w:rsidSect="00B14271">
      <w:pgSz w:w="11906" w:h="16838"/>
      <w:pgMar w:top="1440" w:right="1797" w:bottom="1440" w:left="1797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271"/>
    <w:rsid w:val="00011C58"/>
    <w:rsid w:val="0006021D"/>
    <w:rsid w:val="000A3085"/>
    <w:rsid w:val="00331A6B"/>
    <w:rsid w:val="00755780"/>
    <w:rsid w:val="00857596"/>
    <w:rsid w:val="00B14271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E6D2D"/>
  <w15:chartTrackingRefBased/>
  <w15:docId w15:val="{521A44F8-D5AD-45D0-8B32-9D85087AE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271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427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427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427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427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427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427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427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427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427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42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42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42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42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42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42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42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42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42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427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142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427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142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4271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142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4271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142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427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42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4271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B142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506</Words>
  <Characters>2888</Characters>
  <Application>Microsoft Office Word</Application>
  <DocSecurity>0</DocSecurity>
  <Lines>24</Lines>
  <Paragraphs>6</Paragraphs>
  <ScaleCrop>false</ScaleCrop>
  <Company>Springer Nature</Company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2025-09-26T13:27:00Z</dcterms:created>
  <dcterms:modified xsi:type="dcterms:W3CDTF">2025-09-26T13:27:00Z</dcterms:modified>
</cp:coreProperties>
</file>