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8CA22" w14:textId="5978977F" w:rsidR="00800BF2" w:rsidRDefault="00800BF2" w:rsidP="007F1987">
      <w:pPr>
        <w:spacing w:after="0" w:line="240" w:lineRule="auto"/>
        <w:rPr>
          <w:rFonts w:ascii="Times New Roman" w:hAnsi="Times New Roman" w:cs="Times New Roman"/>
          <w:b/>
          <w:bCs/>
        </w:rPr>
      </w:pPr>
      <w:r>
        <w:rPr>
          <w:rFonts w:ascii="Times New Roman" w:hAnsi="Times New Roman" w:cs="Times New Roman"/>
          <w:b/>
          <w:bCs/>
        </w:rPr>
        <w:t xml:space="preserve">Supplemental Online Appendix: </w:t>
      </w:r>
      <w:r w:rsidRPr="00800BF2">
        <w:rPr>
          <w:rFonts w:ascii="Times New Roman" w:hAnsi="Times New Roman" w:cs="Times New Roman"/>
          <w:b/>
          <w:bCs/>
        </w:rPr>
        <w:t>From Regulation to Interconnection: Mapping the Evolution of the U.S. Interbank Market</w:t>
      </w:r>
    </w:p>
    <w:p w14:paraId="2D41DD1F" w14:textId="77777777" w:rsidR="00800BF2" w:rsidRDefault="00800BF2" w:rsidP="007F1987">
      <w:pPr>
        <w:spacing w:after="0" w:line="240" w:lineRule="auto"/>
        <w:rPr>
          <w:rFonts w:ascii="Times New Roman" w:hAnsi="Times New Roman" w:cs="Times New Roman"/>
          <w:b/>
          <w:bCs/>
        </w:rPr>
      </w:pPr>
    </w:p>
    <w:p w14:paraId="15141FE5" w14:textId="77777777" w:rsidR="00800BF2" w:rsidRDefault="00800BF2" w:rsidP="007F1987">
      <w:pPr>
        <w:spacing w:after="0" w:line="240" w:lineRule="auto"/>
        <w:rPr>
          <w:rFonts w:ascii="Times New Roman" w:hAnsi="Times New Roman" w:cs="Times New Roman"/>
          <w:b/>
          <w:bCs/>
        </w:rPr>
      </w:pPr>
    </w:p>
    <w:p w14:paraId="4F7AE8F7" w14:textId="3E399046" w:rsidR="00FF756E" w:rsidRPr="007F1987" w:rsidRDefault="00FF756E" w:rsidP="007F1987">
      <w:pPr>
        <w:spacing w:after="0" w:line="240" w:lineRule="auto"/>
        <w:rPr>
          <w:rFonts w:ascii="Times New Roman" w:hAnsi="Times New Roman" w:cs="Times New Roman"/>
        </w:rPr>
      </w:pPr>
      <w:r w:rsidRPr="007F1987">
        <w:rPr>
          <w:rFonts w:ascii="Times New Roman" w:hAnsi="Times New Roman" w:cs="Times New Roman"/>
          <w:b/>
          <w:bCs/>
        </w:rPr>
        <w:t>Appendix A</w:t>
      </w:r>
      <w:r w:rsidR="0013130F" w:rsidRPr="0013130F">
        <w:rPr>
          <w:rFonts w:ascii="Times New Roman" w:hAnsi="Times New Roman" w:cs="Times New Roman"/>
          <w:b/>
          <w:bCs/>
        </w:rPr>
        <w:t>:</w:t>
      </w:r>
      <w:r w:rsidRPr="0013130F">
        <w:rPr>
          <w:rFonts w:ascii="Times New Roman" w:hAnsi="Times New Roman" w:cs="Times New Roman"/>
          <w:b/>
          <w:bCs/>
        </w:rPr>
        <w:t xml:space="preserve"> Bank similarity network</w:t>
      </w:r>
    </w:p>
    <w:p w14:paraId="39482A84" w14:textId="77777777" w:rsidR="00FF756E" w:rsidRPr="007F1987" w:rsidRDefault="00FF756E" w:rsidP="007F1987">
      <w:pPr>
        <w:spacing w:after="0" w:line="240" w:lineRule="auto"/>
        <w:rPr>
          <w:rFonts w:ascii="Times New Roman" w:hAnsi="Times New Roman" w:cs="Times New Roman"/>
        </w:rPr>
      </w:pPr>
    </w:p>
    <w:p w14:paraId="2093DB2D"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422180EF" wp14:editId="34EC82AF">
            <wp:extent cx="5029200" cy="3125658"/>
            <wp:effectExtent l="0" t="0" r="0" b="0"/>
            <wp:docPr id="2112602639" name="Picture 1" descr="A network diagram with many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2639" name="Picture 1" descr="A network diagram with many dots and lin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3125658"/>
                    </a:xfrm>
                    <a:prstGeom prst="rect">
                      <a:avLst/>
                    </a:prstGeom>
                  </pic:spPr>
                </pic:pic>
              </a:graphicData>
            </a:graphic>
          </wp:inline>
        </w:drawing>
      </w:r>
    </w:p>
    <w:p w14:paraId="634C234A" w14:textId="25E41B44" w:rsidR="00FF756E"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t>Figure A1</w:t>
      </w:r>
      <w:r w:rsidR="007F1987">
        <w:rPr>
          <w:rFonts w:ascii="Times New Roman" w:hAnsi="Times New Roman" w:cs="Times New Roman"/>
          <w:b/>
          <w:bCs/>
        </w:rPr>
        <w:t>.</w:t>
      </w:r>
      <w:r w:rsidRPr="007F1987">
        <w:rPr>
          <w:rFonts w:ascii="Times New Roman" w:hAnsi="Times New Roman" w:cs="Times New Roman"/>
        </w:rPr>
        <w:t xml:space="preserve"> Network reveals a segmented but interconnected interbank system during this period. It involves 51 banks (nodes) and 241 connections.</w:t>
      </w:r>
    </w:p>
    <w:p w14:paraId="1F7FD182" w14:textId="77777777" w:rsidR="007F1987" w:rsidRDefault="007F1987" w:rsidP="007F1987">
      <w:pPr>
        <w:spacing w:after="0" w:line="240" w:lineRule="auto"/>
        <w:jc w:val="both"/>
        <w:rPr>
          <w:rFonts w:ascii="Times New Roman" w:hAnsi="Times New Roman" w:cs="Times New Roman"/>
        </w:rPr>
      </w:pPr>
    </w:p>
    <w:p w14:paraId="6F9B912F" w14:textId="77777777" w:rsidR="007F1987" w:rsidRPr="007F1987" w:rsidRDefault="007F1987" w:rsidP="007F1987">
      <w:pPr>
        <w:spacing w:after="0" w:line="240" w:lineRule="auto"/>
        <w:jc w:val="both"/>
        <w:rPr>
          <w:rFonts w:ascii="Times New Roman" w:hAnsi="Times New Roman" w:cs="Times New Roman"/>
        </w:rPr>
      </w:pPr>
    </w:p>
    <w:p w14:paraId="26573512"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5F365266" wp14:editId="392E0116">
            <wp:extent cx="5029200" cy="3125659"/>
            <wp:effectExtent l="0" t="0" r="0" b="0"/>
            <wp:docPr id="1383841898" name="Picture 2" descr="A network diagram of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1898" name="Picture 2" descr="A network diagram of dots and lin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9200" cy="3125659"/>
                    </a:xfrm>
                    <a:prstGeom prst="rect">
                      <a:avLst/>
                    </a:prstGeom>
                  </pic:spPr>
                </pic:pic>
              </a:graphicData>
            </a:graphic>
          </wp:inline>
        </w:drawing>
      </w:r>
    </w:p>
    <w:p w14:paraId="7A9BBD91" w14:textId="748413DA" w:rsidR="00FF756E" w:rsidRPr="007F1987"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lastRenderedPageBreak/>
        <w:t>Figure A2</w:t>
      </w:r>
      <w:r w:rsidR="007F1987">
        <w:rPr>
          <w:rFonts w:ascii="Times New Roman" w:hAnsi="Times New Roman" w:cs="Times New Roman"/>
          <w:b/>
          <w:bCs/>
        </w:rPr>
        <w:t>.</w:t>
      </w:r>
      <w:r w:rsidRPr="007F1987">
        <w:rPr>
          <w:rFonts w:ascii="Times New Roman" w:hAnsi="Times New Roman" w:cs="Times New Roman"/>
        </w:rPr>
        <w:t xml:space="preserve"> The network reflects an expanded and more integrated interbank system with richer connectivity </w:t>
      </w:r>
      <w:proofErr w:type="gramStart"/>
      <w:r w:rsidRPr="007F1987">
        <w:rPr>
          <w:rFonts w:ascii="Times New Roman" w:hAnsi="Times New Roman" w:cs="Times New Roman"/>
        </w:rPr>
        <w:t>and evolving</w:t>
      </w:r>
      <w:proofErr w:type="gramEnd"/>
      <w:r w:rsidRPr="007F1987">
        <w:rPr>
          <w:rFonts w:ascii="Times New Roman" w:hAnsi="Times New Roman" w:cs="Times New Roman"/>
        </w:rPr>
        <w:t xml:space="preserve"> structural complexity by 1999. It involves 80 banks (nodes) and 473 connections.</w:t>
      </w:r>
    </w:p>
    <w:p w14:paraId="0EBBCB96"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2EBA5B4D" wp14:editId="4B3E5EA0">
            <wp:extent cx="5029200" cy="3125660"/>
            <wp:effectExtent l="0" t="0" r="0" b="0"/>
            <wp:docPr id="1623446298" name="Picture 3" descr="A network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6298" name="Picture 3" descr="A network diagram of different colored circl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3125660"/>
                    </a:xfrm>
                    <a:prstGeom prst="rect">
                      <a:avLst/>
                    </a:prstGeom>
                  </pic:spPr>
                </pic:pic>
              </a:graphicData>
            </a:graphic>
          </wp:inline>
        </w:drawing>
      </w:r>
    </w:p>
    <w:p w14:paraId="557DE8EC" w14:textId="42057957" w:rsidR="00FF756E" w:rsidRPr="007F1987"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t>Figure A3</w:t>
      </w:r>
      <w:r w:rsidR="007F1987">
        <w:rPr>
          <w:rFonts w:ascii="Times New Roman" w:hAnsi="Times New Roman" w:cs="Times New Roman"/>
          <w:b/>
          <w:bCs/>
        </w:rPr>
        <w:t>.</w:t>
      </w:r>
      <w:r w:rsidRPr="007F1987">
        <w:rPr>
          <w:rFonts w:ascii="Times New Roman" w:hAnsi="Times New Roman" w:cs="Times New Roman"/>
        </w:rPr>
        <w:t xml:space="preserve"> The network shows a modular and less densely interconnected system. It involves 77 banks (nodes) and 396 connections.</w:t>
      </w:r>
    </w:p>
    <w:p w14:paraId="5A5D7EBF" w14:textId="77777777" w:rsidR="00FF756E" w:rsidRPr="007F1987" w:rsidRDefault="00FF756E" w:rsidP="007F1987">
      <w:pPr>
        <w:spacing w:after="0" w:line="240" w:lineRule="auto"/>
        <w:rPr>
          <w:rFonts w:ascii="Times New Roman" w:hAnsi="Times New Roman" w:cs="Times New Roman"/>
        </w:rPr>
      </w:pPr>
    </w:p>
    <w:p w14:paraId="2113B17F" w14:textId="77777777" w:rsidR="00FF756E" w:rsidRPr="007F1987" w:rsidRDefault="00FF756E" w:rsidP="007F1987">
      <w:pPr>
        <w:spacing w:after="0" w:line="240" w:lineRule="auto"/>
        <w:rPr>
          <w:rFonts w:ascii="Times New Roman" w:hAnsi="Times New Roman" w:cs="Times New Roman"/>
        </w:rPr>
      </w:pPr>
    </w:p>
    <w:p w14:paraId="0B8D1F3F"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390CEBD6" wp14:editId="2DC720B4">
            <wp:extent cx="5029200" cy="3125660"/>
            <wp:effectExtent l="0" t="0" r="0" b="0"/>
            <wp:docPr id="1608348078" name="Picture 4" descr="A network diagram with many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48078" name="Picture 4" descr="A network diagram with many colored do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3125660"/>
                    </a:xfrm>
                    <a:prstGeom prst="rect">
                      <a:avLst/>
                    </a:prstGeom>
                  </pic:spPr>
                </pic:pic>
              </a:graphicData>
            </a:graphic>
          </wp:inline>
        </w:drawing>
      </w:r>
    </w:p>
    <w:p w14:paraId="1816ABE8" w14:textId="67D4C23B" w:rsidR="00FF756E" w:rsidRPr="007F1987"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t>Figure A4</w:t>
      </w:r>
      <w:r w:rsidR="007F1987">
        <w:rPr>
          <w:rFonts w:ascii="Times New Roman" w:hAnsi="Times New Roman" w:cs="Times New Roman"/>
          <w:b/>
          <w:bCs/>
        </w:rPr>
        <w:t>.</w:t>
      </w:r>
      <w:r w:rsidRPr="007F1987">
        <w:rPr>
          <w:rFonts w:ascii="Times New Roman" w:hAnsi="Times New Roman" w:cs="Times New Roman"/>
        </w:rPr>
        <w:t xml:space="preserve"> The network exhibits multiple distinct clusters with relatively strong internal connectivity and sparse links between groups. It involves 76 banks (nodes) and 288 connections.</w:t>
      </w:r>
    </w:p>
    <w:p w14:paraId="38CD9350" w14:textId="77777777" w:rsidR="00FF756E" w:rsidRPr="007F1987" w:rsidRDefault="00FF756E" w:rsidP="007F1987">
      <w:pPr>
        <w:spacing w:after="0" w:line="240" w:lineRule="auto"/>
        <w:rPr>
          <w:rFonts w:ascii="Times New Roman" w:hAnsi="Times New Roman" w:cs="Times New Roman"/>
        </w:rPr>
      </w:pPr>
    </w:p>
    <w:p w14:paraId="41992819" w14:textId="77777777" w:rsidR="00FF756E" w:rsidRPr="007F1987" w:rsidRDefault="00FF756E" w:rsidP="007F1987">
      <w:pPr>
        <w:spacing w:after="0" w:line="240" w:lineRule="auto"/>
        <w:rPr>
          <w:rFonts w:ascii="Times New Roman" w:hAnsi="Times New Roman" w:cs="Times New Roman"/>
        </w:rPr>
      </w:pPr>
    </w:p>
    <w:p w14:paraId="2BA41E3A" w14:textId="77777777" w:rsidR="00FF756E" w:rsidRPr="007F1987" w:rsidRDefault="00FF756E" w:rsidP="007F1987">
      <w:pPr>
        <w:spacing w:after="0" w:line="240" w:lineRule="auto"/>
        <w:rPr>
          <w:rFonts w:ascii="Times New Roman" w:hAnsi="Times New Roman" w:cs="Times New Roman"/>
        </w:rPr>
      </w:pPr>
    </w:p>
    <w:p w14:paraId="52285410"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4B765048" wp14:editId="1282A62E">
            <wp:extent cx="5303520" cy="3296149"/>
            <wp:effectExtent l="0" t="0" r="0" b="0"/>
            <wp:docPr id="1276908831" name="Picture 5" descr="A network diagram with many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08831" name="Picture 5" descr="A network diagram with many colored do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3520" cy="3296149"/>
                    </a:xfrm>
                    <a:prstGeom prst="rect">
                      <a:avLst/>
                    </a:prstGeom>
                  </pic:spPr>
                </pic:pic>
              </a:graphicData>
            </a:graphic>
          </wp:inline>
        </w:drawing>
      </w:r>
    </w:p>
    <w:p w14:paraId="702DBE1B" w14:textId="44EF5793" w:rsidR="00FF756E" w:rsidRPr="007F1987"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t>Figure A5</w:t>
      </w:r>
      <w:r w:rsidR="007F1987">
        <w:rPr>
          <w:rFonts w:ascii="Times New Roman" w:hAnsi="Times New Roman" w:cs="Times New Roman"/>
          <w:b/>
          <w:bCs/>
        </w:rPr>
        <w:t>.</w:t>
      </w:r>
      <w:r w:rsidRPr="007F1987">
        <w:rPr>
          <w:rFonts w:ascii="Times New Roman" w:hAnsi="Times New Roman" w:cs="Times New Roman"/>
          <w:b/>
          <w:bCs/>
        </w:rPr>
        <w:t xml:space="preserve"> </w:t>
      </w:r>
      <w:r w:rsidRPr="007F1987">
        <w:rPr>
          <w:rFonts w:ascii="Times New Roman" w:hAnsi="Times New Roman" w:cs="Times New Roman"/>
        </w:rPr>
        <w:t>The network displays multiple large, densely connected clusters with strong intra-cluster connectivity, indicating groups of banks with high similarity in their balance sheets. It involves 109 banks (nodes) and 1172 connections.</w:t>
      </w:r>
    </w:p>
    <w:p w14:paraId="25E2F8E9" w14:textId="77777777" w:rsidR="00FF756E" w:rsidRPr="007F1987" w:rsidRDefault="00FF756E" w:rsidP="007F1987">
      <w:pPr>
        <w:spacing w:after="0" w:line="240" w:lineRule="auto"/>
        <w:rPr>
          <w:rFonts w:ascii="Times New Roman" w:hAnsi="Times New Roman" w:cs="Times New Roman"/>
        </w:rPr>
      </w:pPr>
    </w:p>
    <w:p w14:paraId="0F73DA17" w14:textId="77777777" w:rsidR="00FF756E" w:rsidRPr="007F1987" w:rsidRDefault="00FF756E" w:rsidP="007F1987">
      <w:pPr>
        <w:spacing w:after="0" w:line="240" w:lineRule="auto"/>
        <w:rPr>
          <w:rFonts w:ascii="Times New Roman" w:hAnsi="Times New Roman" w:cs="Times New Roman"/>
        </w:rPr>
      </w:pPr>
    </w:p>
    <w:p w14:paraId="254AF9BC"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3BB4090C" wp14:editId="6FA30ED8">
            <wp:extent cx="5029200" cy="3125660"/>
            <wp:effectExtent l="0" t="0" r="0" b="0"/>
            <wp:docPr id="1856459107" name="Picture 6" descr="A network diagram with many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59107" name="Picture 6" descr="A network diagram with many dots an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3125660"/>
                    </a:xfrm>
                    <a:prstGeom prst="rect">
                      <a:avLst/>
                    </a:prstGeom>
                  </pic:spPr>
                </pic:pic>
              </a:graphicData>
            </a:graphic>
          </wp:inline>
        </w:drawing>
      </w:r>
    </w:p>
    <w:p w14:paraId="0D09C6CD" w14:textId="24DF85E9" w:rsidR="00FF756E" w:rsidRPr="007F1987" w:rsidRDefault="00FF756E" w:rsidP="007F1987">
      <w:pPr>
        <w:spacing w:after="0" w:line="240" w:lineRule="auto"/>
        <w:jc w:val="both"/>
        <w:rPr>
          <w:rFonts w:ascii="Times New Roman" w:hAnsi="Times New Roman" w:cs="Times New Roman"/>
        </w:rPr>
      </w:pPr>
      <w:r w:rsidRPr="007F1987">
        <w:rPr>
          <w:rFonts w:ascii="Times New Roman" w:hAnsi="Times New Roman" w:cs="Times New Roman"/>
          <w:b/>
          <w:bCs/>
        </w:rPr>
        <w:t>Figure A6</w:t>
      </w:r>
      <w:r w:rsidR="007F1987">
        <w:rPr>
          <w:rFonts w:ascii="Times New Roman" w:hAnsi="Times New Roman" w:cs="Times New Roman"/>
          <w:b/>
          <w:bCs/>
        </w:rPr>
        <w:t>.</w:t>
      </w:r>
      <w:r w:rsidRPr="007F1987">
        <w:rPr>
          <w:rFonts w:ascii="Times New Roman" w:hAnsi="Times New Roman" w:cs="Times New Roman"/>
        </w:rPr>
        <w:t xml:space="preserve"> The network features several large, densely connected clusters with strong internal cohesion, reflecting groups of banks with similar balance sheet profiles. It involves 120 nodes (banks) and 1156 connections. </w:t>
      </w:r>
    </w:p>
    <w:p w14:paraId="4B1C4B90" w14:textId="77777777" w:rsidR="00FF756E" w:rsidRPr="007F1987" w:rsidRDefault="00FF756E" w:rsidP="007F1987">
      <w:pPr>
        <w:spacing w:after="0" w:line="240" w:lineRule="auto"/>
        <w:rPr>
          <w:rFonts w:ascii="Times New Roman" w:hAnsi="Times New Roman" w:cs="Times New Roman"/>
        </w:rPr>
      </w:pPr>
    </w:p>
    <w:p w14:paraId="178BA9C8" w14:textId="77777777" w:rsidR="00FF756E" w:rsidRPr="007F1987" w:rsidRDefault="00FF756E" w:rsidP="007F1987">
      <w:pPr>
        <w:spacing w:after="0" w:line="240" w:lineRule="auto"/>
        <w:rPr>
          <w:rFonts w:ascii="Times New Roman" w:hAnsi="Times New Roman" w:cs="Times New Roman"/>
        </w:rPr>
      </w:pPr>
    </w:p>
    <w:p w14:paraId="020DAE6B" w14:textId="77777777" w:rsidR="00FF756E" w:rsidRPr="007F1987" w:rsidRDefault="00FF756E" w:rsidP="007F1987">
      <w:pPr>
        <w:spacing w:after="0" w:line="240" w:lineRule="auto"/>
        <w:jc w:val="center"/>
        <w:rPr>
          <w:rFonts w:ascii="Times New Roman" w:hAnsi="Times New Roman" w:cs="Times New Roman"/>
        </w:rPr>
      </w:pPr>
      <w:r w:rsidRPr="007F1987">
        <w:rPr>
          <w:rFonts w:ascii="Times New Roman" w:hAnsi="Times New Roman" w:cs="Times New Roman"/>
          <w:noProof/>
        </w:rPr>
        <w:drawing>
          <wp:inline distT="0" distB="0" distL="0" distR="0" wp14:anchorId="1A649F3C" wp14:editId="18EDA36B">
            <wp:extent cx="5029200" cy="3125660"/>
            <wp:effectExtent l="0" t="0" r="0" b="0"/>
            <wp:docPr id="89508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87968" name="Picture 8950879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3125660"/>
                    </a:xfrm>
                    <a:prstGeom prst="rect">
                      <a:avLst/>
                    </a:prstGeom>
                  </pic:spPr>
                </pic:pic>
              </a:graphicData>
            </a:graphic>
          </wp:inline>
        </w:drawing>
      </w:r>
    </w:p>
    <w:p w14:paraId="61E8FC3C" w14:textId="3B53CD09" w:rsidR="00FF756E" w:rsidRPr="007F1987" w:rsidRDefault="00FF756E" w:rsidP="007F1987">
      <w:pPr>
        <w:spacing w:after="0" w:line="240" w:lineRule="auto"/>
        <w:jc w:val="both"/>
        <w:rPr>
          <w:rFonts w:ascii="Times New Roman" w:hAnsi="Times New Roman" w:cs="Times New Roman"/>
          <w:b/>
          <w:bCs/>
        </w:rPr>
      </w:pPr>
      <w:r w:rsidRPr="007F1987">
        <w:rPr>
          <w:rFonts w:ascii="Times New Roman" w:hAnsi="Times New Roman" w:cs="Times New Roman"/>
          <w:b/>
          <w:bCs/>
        </w:rPr>
        <w:t>Figure A7</w:t>
      </w:r>
      <w:r w:rsidR="007F1987">
        <w:rPr>
          <w:rFonts w:ascii="Times New Roman" w:hAnsi="Times New Roman" w:cs="Times New Roman"/>
          <w:b/>
          <w:bCs/>
        </w:rPr>
        <w:t>.</w:t>
      </w:r>
      <w:r w:rsidRPr="007F1987">
        <w:rPr>
          <w:rFonts w:ascii="Times New Roman" w:hAnsi="Times New Roman" w:cs="Times New Roman"/>
          <w:b/>
          <w:bCs/>
        </w:rPr>
        <w:t xml:space="preserve"> </w:t>
      </w:r>
      <w:r w:rsidRPr="007F1987">
        <w:rPr>
          <w:rFonts w:ascii="Times New Roman" w:hAnsi="Times New Roman" w:cs="Times New Roman"/>
        </w:rPr>
        <w:t>The network appears highly integrated with dense connections spanning most nodes, resulting in less distinct clustering and fewer isolated groups. It involves 120 banks (nodes) and 1145 connections.</w:t>
      </w:r>
    </w:p>
    <w:p w14:paraId="7C4639A0" w14:textId="77777777" w:rsidR="00126739" w:rsidRDefault="00126739" w:rsidP="007F1987">
      <w:pPr>
        <w:spacing w:after="0" w:line="240" w:lineRule="auto"/>
        <w:rPr>
          <w:rFonts w:ascii="Times New Roman" w:eastAsia="Times New Roman" w:hAnsi="Times New Roman" w:cs="Times New Roman"/>
          <w:b/>
          <w:bCs/>
          <w:kern w:val="0"/>
          <w14:ligatures w14:val="none"/>
        </w:rPr>
      </w:pPr>
    </w:p>
    <w:p w14:paraId="5DFAE1B6" w14:textId="77777777" w:rsidR="00B56AC6" w:rsidRPr="007F1987" w:rsidRDefault="00B56AC6" w:rsidP="007F1987">
      <w:pPr>
        <w:spacing w:after="0" w:line="240" w:lineRule="auto"/>
        <w:rPr>
          <w:rFonts w:ascii="Times New Roman" w:eastAsia="Times New Roman" w:hAnsi="Times New Roman" w:cs="Times New Roman"/>
          <w:b/>
          <w:bCs/>
          <w:kern w:val="0"/>
          <w14:ligatures w14:val="none"/>
        </w:rPr>
      </w:pPr>
    </w:p>
    <w:p w14:paraId="3240686F" w14:textId="586EDD3C" w:rsidR="00073CAB" w:rsidRPr="00B56AC6" w:rsidRDefault="005839AC" w:rsidP="007F1987">
      <w:pPr>
        <w:spacing w:after="0" w:line="240" w:lineRule="auto"/>
        <w:rPr>
          <w:rFonts w:ascii="Times New Roman" w:eastAsia="Times New Roman" w:hAnsi="Times New Roman" w:cs="Times New Roman"/>
          <w:kern w:val="0"/>
          <w14:ligatures w14:val="none"/>
        </w:rPr>
      </w:pPr>
      <w:r w:rsidRPr="007F1987">
        <w:rPr>
          <w:rFonts w:ascii="Times New Roman" w:eastAsia="Times New Roman" w:hAnsi="Times New Roman" w:cs="Times New Roman"/>
          <w:b/>
          <w:bCs/>
          <w:kern w:val="0"/>
          <w14:ligatures w14:val="none"/>
        </w:rPr>
        <w:t>Appendix B</w:t>
      </w:r>
      <w:r w:rsidR="0013130F">
        <w:rPr>
          <w:rFonts w:ascii="Times New Roman" w:eastAsia="Times New Roman" w:hAnsi="Times New Roman" w:cs="Times New Roman"/>
          <w:b/>
          <w:bCs/>
          <w:kern w:val="0"/>
          <w14:ligatures w14:val="none"/>
        </w:rPr>
        <w:t>:</w:t>
      </w:r>
      <w:r w:rsidR="00126739" w:rsidRPr="007F1987">
        <w:rPr>
          <w:rFonts w:ascii="Times New Roman" w:eastAsia="Times New Roman" w:hAnsi="Times New Roman" w:cs="Times New Roman"/>
          <w:b/>
          <w:bCs/>
          <w:kern w:val="0"/>
          <w14:ligatures w14:val="none"/>
        </w:rPr>
        <w:t xml:space="preserve"> </w:t>
      </w:r>
      <w:r w:rsidR="00073CAB" w:rsidRPr="0013130F">
        <w:rPr>
          <w:rFonts w:ascii="Times New Roman" w:eastAsia="Times New Roman" w:hAnsi="Times New Roman" w:cs="Times New Roman"/>
          <w:b/>
          <w:bCs/>
          <w:kern w:val="0"/>
          <w14:ligatures w14:val="none"/>
        </w:rPr>
        <w:t xml:space="preserve">Evolution of </w:t>
      </w:r>
      <w:r w:rsidR="00126739" w:rsidRPr="0013130F">
        <w:rPr>
          <w:rFonts w:ascii="Times New Roman" w:eastAsia="Times New Roman" w:hAnsi="Times New Roman" w:cs="Times New Roman"/>
          <w:b/>
          <w:bCs/>
          <w:kern w:val="0"/>
          <w14:ligatures w14:val="none"/>
        </w:rPr>
        <w:t xml:space="preserve">the </w:t>
      </w:r>
      <w:r w:rsidR="00B56AC6" w:rsidRPr="0013130F">
        <w:rPr>
          <w:rFonts w:ascii="Times New Roman" w:eastAsia="Times New Roman" w:hAnsi="Times New Roman" w:cs="Times New Roman"/>
          <w:b/>
          <w:bCs/>
          <w:kern w:val="0"/>
          <w14:ligatures w14:val="none"/>
        </w:rPr>
        <w:t>i</w:t>
      </w:r>
      <w:r w:rsidR="00073CAB" w:rsidRPr="0013130F">
        <w:rPr>
          <w:rFonts w:ascii="Times New Roman" w:eastAsia="Times New Roman" w:hAnsi="Times New Roman" w:cs="Times New Roman"/>
          <w:b/>
          <w:bCs/>
          <w:kern w:val="0"/>
          <w14:ligatures w14:val="none"/>
        </w:rPr>
        <w:t xml:space="preserve">nterbank </w:t>
      </w:r>
      <w:r w:rsidR="00B56AC6" w:rsidRPr="0013130F">
        <w:rPr>
          <w:rFonts w:ascii="Times New Roman" w:eastAsia="Times New Roman" w:hAnsi="Times New Roman" w:cs="Times New Roman"/>
          <w:b/>
          <w:bCs/>
          <w:kern w:val="0"/>
          <w14:ligatures w14:val="none"/>
        </w:rPr>
        <w:t>n</w:t>
      </w:r>
      <w:r w:rsidR="00073CAB" w:rsidRPr="0013130F">
        <w:rPr>
          <w:rFonts w:ascii="Times New Roman" w:eastAsia="Times New Roman" w:hAnsi="Times New Roman" w:cs="Times New Roman"/>
          <w:b/>
          <w:bCs/>
          <w:kern w:val="0"/>
          <w14:ligatures w14:val="none"/>
        </w:rPr>
        <w:t xml:space="preserve">etwork </w:t>
      </w:r>
      <w:r w:rsidR="00B56AC6" w:rsidRPr="0013130F">
        <w:rPr>
          <w:rFonts w:ascii="Times New Roman" w:eastAsia="Times New Roman" w:hAnsi="Times New Roman" w:cs="Times New Roman"/>
          <w:b/>
          <w:bCs/>
          <w:kern w:val="0"/>
          <w14:ligatures w14:val="none"/>
        </w:rPr>
        <w:t>s</w:t>
      </w:r>
      <w:r w:rsidR="00073CAB" w:rsidRPr="0013130F">
        <w:rPr>
          <w:rFonts w:ascii="Times New Roman" w:eastAsia="Times New Roman" w:hAnsi="Times New Roman" w:cs="Times New Roman"/>
          <w:b/>
          <w:bCs/>
          <w:kern w:val="0"/>
          <w14:ligatures w14:val="none"/>
        </w:rPr>
        <w:t>tructure</w:t>
      </w:r>
    </w:p>
    <w:p w14:paraId="30B85428" w14:textId="77777777" w:rsidR="00126739" w:rsidRPr="007F1987" w:rsidRDefault="00126739" w:rsidP="007F1987">
      <w:pPr>
        <w:spacing w:after="0" w:line="240" w:lineRule="auto"/>
        <w:rPr>
          <w:rFonts w:ascii="Times New Roman" w:eastAsia="Times New Roman" w:hAnsi="Times New Roman" w:cs="Times New Roman"/>
          <w:b/>
          <w:bCs/>
          <w:kern w:val="0"/>
          <w14:ligatures w14:val="none"/>
        </w:rPr>
      </w:pPr>
    </w:p>
    <w:p w14:paraId="0EAB2DED" w14:textId="495A854A" w:rsidR="00073CAB" w:rsidRPr="007F1987" w:rsidRDefault="00073CAB" w:rsidP="00B56AC6">
      <w:pPr>
        <w:spacing w:after="0" w:line="240" w:lineRule="auto"/>
        <w:jc w:val="center"/>
        <w:rPr>
          <w:rFonts w:ascii="Times New Roman" w:eastAsia="Times New Roman" w:hAnsi="Times New Roman" w:cs="Times New Roman"/>
          <w:b/>
          <w:bCs/>
          <w:kern w:val="0"/>
          <w14:ligatures w14:val="none"/>
        </w:rPr>
      </w:pPr>
      <w:r w:rsidRPr="007F1987">
        <w:rPr>
          <w:rFonts w:ascii="Times New Roman" w:hAnsi="Times New Roman" w:cs="Times New Roman"/>
          <w:noProof/>
        </w:rPr>
        <w:drawing>
          <wp:inline distT="0" distB="0" distL="0" distR="0" wp14:anchorId="580D95AB" wp14:editId="4508E407">
            <wp:extent cx="5029200" cy="3503980"/>
            <wp:effectExtent l="0" t="0" r="0" b="1270"/>
            <wp:docPr id="1648357249" name="Picture 1648357249" descr="A graph of network tre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7249" name="Picture 1648357249" descr="A graph of network tren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3503980"/>
                    </a:xfrm>
                    <a:prstGeom prst="rect">
                      <a:avLst/>
                    </a:prstGeom>
                  </pic:spPr>
                </pic:pic>
              </a:graphicData>
            </a:graphic>
          </wp:inline>
        </w:drawing>
      </w:r>
    </w:p>
    <w:p w14:paraId="20B8AF7D" w14:textId="3FE4676C" w:rsidR="00073CAB" w:rsidRPr="007F1987" w:rsidRDefault="00073CAB" w:rsidP="00B56AC6">
      <w:pPr>
        <w:spacing w:after="0" w:line="240" w:lineRule="auto"/>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b/>
          <w:bCs/>
          <w:kern w:val="0"/>
          <w14:ligatures w14:val="none"/>
        </w:rPr>
        <w:t xml:space="preserve">Figure </w:t>
      </w:r>
      <w:r w:rsidR="005B2D9A" w:rsidRPr="007F1987">
        <w:rPr>
          <w:rFonts w:ascii="Times New Roman" w:eastAsia="Times New Roman" w:hAnsi="Times New Roman" w:cs="Times New Roman"/>
          <w:b/>
          <w:bCs/>
          <w:kern w:val="0"/>
          <w14:ligatures w14:val="none"/>
        </w:rPr>
        <w:t>B1</w:t>
      </w:r>
      <w:r w:rsidR="00B56AC6">
        <w:rPr>
          <w:rFonts w:ascii="Times New Roman" w:eastAsia="Times New Roman" w:hAnsi="Times New Roman" w:cs="Times New Roman"/>
          <w:b/>
          <w:bCs/>
          <w:kern w:val="0"/>
          <w14:ligatures w14:val="none"/>
        </w:rPr>
        <w:t>.</w:t>
      </w:r>
      <w:r w:rsidR="00126739" w:rsidRPr="007F1987">
        <w:rPr>
          <w:rFonts w:ascii="Times New Roman" w:eastAsia="Times New Roman" w:hAnsi="Times New Roman" w:cs="Times New Roman"/>
          <w:b/>
          <w:bCs/>
          <w:kern w:val="0"/>
          <w14:ligatures w14:val="none"/>
        </w:rPr>
        <w:t xml:space="preserve"> </w:t>
      </w:r>
      <w:r w:rsidRPr="007F1987">
        <w:rPr>
          <w:rFonts w:ascii="Times New Roman" w:eastAsia="Times New Roman" w:hAnsi="Times New Roman" w:cs="Times New Roman"/>
          <w:kern w:val="0"/>
          <w14:ligatures w14:val="none"/>
        </w:rPr>
        <w:t xml:space="preserve">Quarterly </w:t>
      </w:r>
      <w:r w:rsidR="00126739" w:rsidRPr="007F1987">
        <w:rPr>
          <w:rFonts w:ascii="Times New Roman" w:eastAsia="Times New Roman" w:hAnsi="Times New Roman" w:cs="Times New Roman"/>
          <w:kern w:val="0"/>
          <w14:ligatures w14:val="none"/>
        </w:rPr>
        <w:t>n</w:t>
      </w:r>
      <w:r w:rsidRPr="007F1987">
        <w:rPr>
          <w:rFonts w:ascii="Times New Roman" w:eastAsia="Times New Roman" w:hAnsi="Times New Roman" w:cs="Times New Roman"/>
          <w:kern w:val="0"/>
          <w14:ligatures w14:val="none"/>
        </w:rPr>
        <w:t xml:space="preserve">etwork </w:t>
      </w:r>
      <w:r w:rsidR="00126739" w:rsidRPr="007F1987">
        <w:rPr>
          <w:rFonts w:ascii="Times New Roman" w:eastAsia="Times New Roman" w:hAnsi="Times New Roman" w:cs="Times New Roman"/>
          <w:kern w:val="0"/>
          <w14:ligatures w14:val="none"/>
        </w:rPr>
        <w:t>t</w:t>
      </w:r>
      <w:r w:rsidRPr="007F1987">
        <w:rPr>
          <w:rFonts w:ascii="Times New Roman" w:eastAsia="Times New Roman" w:hAnsi="Times New Roman" w:cs="Times New Roman"/>
          <w:kern w:val="0"/>
          <w14:ligatures w14:val="none"/>
        </w:rPr>
        <w:t xml:space="preserve">rends – </w:t>
      </w:r>
      <w:r w:rsidR="00126739" w:rsidRPr="007F1987">
        <w:rPr>
          <w:rFonts w:ascii="Times New Roman" w:eastAsia="Times New Roman" w:hAnsi="Times New Roman" w:cs="Times New Roman"/>
          <w:kern w:val="0"/>
          <w14:ligatures w14:val="none"/>
        </w:rPr>
        <w:t>m</w:t>
      </w:r>
      <w:r w:rsidRPr="007F1987">
        <w:rPr>
          <w:rFonts w:ascii="Times New Roman" w:eastAsia="Times New Roman" w:hAnsi="Times New Roman" w:cs="Times New Roman"/>
          <w:kern w:val="0"/>
          <w14:ligatures w14:val="none"/>
        </w:rPr>
        <w:t xml:space="preserve">odularity, </w:t>
      </w:r>
      <w:r w:rsidR="00126739" w:rsidRPr="007F1987">
        <w:rPr>
          <w:rFonts w:ascii="Times New Roman" w:eastAsia="Times New Roman" w:hAnsi="Times New Roman" w:cs="Times New Roman"/>
          <w:kern w:val="0"/>
          <w14:ligatures w14:val="none"/>
        </w:rPr>
        <w:t>a</w:t>
      </w:r>
      <w:r w:rsidRPr="007F1987">
        <w:rPr>
          <w:rFonts w:ascii="Times New Roman" w:eastAsia="Times New Roman" w:hAnsi="Times New Roman" w:cs="Times New Roman"/>
          <w:kern w:val="0"/>
          <w14:ligatures w14:val="none"/>
        </w:rPr>
        <w:t xml:space="preserve">verage </w:t>
      </w:r>
      <w:r w:rsidR="00126739" w:rsidRPr="007F1987">
        <w:rPr>
          <w:rFonts w:ascii="Times New Roman" w:eastAsia="Times New Roman" w:hAnsi="Times New Roman" w:cs="Times New Roman"/>
          <w:kern w:val="0"/>
          <w14:ligatures w14:val="none"/>
        </w:rPr>
        <w:t>c</w:t>
      </w:r>
      <w:r w:rsidRPr="007F1987">
        <w:rPr>
          <w:rFonts w:ascii="Times New Roman" w:eastAsia="Times New Roman" w:hAnsi="Times New Roman" w:cs="Times New Roman"/>
          <w:kern w:val="0"/>
          <w14:ligatures w14:val="none"/>
        </w:rPr>
        <w:t xml:space="preserve">ommunity, and </w:t>
      </w:r>
      <w:r w:rsidR="00126739" w:rsidRPr="007F1987">
        <w:rPr>
          <w:rFonts w:ascii="Times New Roman" w:eastAsia="Times New Roman" w:hAnsi="Times New Roman" w:cs="Times New Roman"/>
          <w:kern w:val="0"/>
          <w14:ligatures w14:val="none"/>
        </w:rPr>
        <w:t>n</w:t>
      </w:r>
      <w:r w:rsidRPr="007F1987">
        <w:rPr>
          <w:rFonts w:ascii="Times New Roman" w:eastAsia="Times New Roman" w:hAnsi="Times New Roman" w:cs="Times New Roman"/>
          <w:kern w:val="0"/>
          <w14:ligatures w14:val="none"/>
        </w:rPr>
        <w:t xml:space="preserve">etwork </w:t>
      </w:r>
      <w:r w:rsidR="00126739" w:rsidRPr="007F1987">
        <w:rPr>
          <w:rFonts w:ascii="Times New Roman" w:eastAsia="Times New Roman" w:hAnsi="Times New Roman" w:cs="Times New Roman"/>
          <w:kern w:val="0"/>
          <w14:ligatures w14:val="none"/>
        </w:rPr>
        <w:t>d</w:t>
      </w:r>
      <w:r w:rsidRPr="007F1987">
        <w:rPr>
          <w:rFonts w:ascii="Times New Roman" w:eastAsia="Times New Roman" w:hAnsi="Times New Roman" w:cs="Times New Roman"/>
          <w:kern w:val="0"/>
          <w14:ligatures w14:val="none"/>
        </w:rPr>
        <w:t>ensity</w:t>
      </w:r>
      <w:r w:rsidR="00126739" w:rsidRPr="007F1987">
        <w:rPr>
          <w:rFonts w:ascii="Times New Roman" w:eastAsia="Times New Roman" w:hAnsi="Times New Roman" w:cs="Times New Roman"/>
          <w:kern w:val="0"/>
          <w14:ligatures w14:val="none"/>
        </w:rPr>
        <w:t>.</w:t>
      </w:r>
    </w:p>
    <w:p w14:paraId="6FCBE234" w14:textId="77777777" w:rsidR="00126739" w:rsidRPr="007F1987" w:rsidRDefault="00126739" w:rsidP="007F1987">
      <w:pPr>
        <w:spacing w:after="0" w:line="240" w:lineRule="auto"/>
        <w:rPr>
          <w:rFonts w:ascii="Times New Roman" w:eastAsia="Times New Roman" w:hAnsi="Times New Roman" w:cs="Times New Roman"/>
          <w:kern w:val="0"/>
          <w14:ligatures w14:val="none"/>
        </w:rPr>
      </w:pPr>
    </w:p>
    <w:p w14:paraId="67FC6B95" w14:textId="150C75F0" w:rsidR="00073CAB" w:rsidRPr="007F1987" w:rsidRDefault="00073CAB" w:rsidP="00B56AC6">
      <w:pPr>
        <w:spacing w:after="0" w:line="240" w:lineRule="auto"/>
        <w:ind w:firstLine="360"/>
        <w:jc w:val="both"/>
        <w:rPr>
          <w:rFonts w:ascii="Times New Roman" w:eastAsia="Times New Roman" w:hAnsi="Times New Roman" w:cs="Times New Roman"/>
          <w:color w:val="1A1C1E"/>
        </w:rPr>
      </w:pPr>
      <w:r w:rsidRPr="007F1987">
        <w:rPr>
          <w:rFonts w:ascii="Times New Roman" w:eastAsia="Times New Roman" w:hAnsi="Times New Roman" w:cs="Times New Roman"/>
          <w:color w:val="1A1C1E"/>
        </w:rPr>
        <w:t xml:space="preserve">Initially, the network was a dense, interconnected web, but the Riegle-Neal Act of 1994 began encouraging mergers. The most dramatic transformation came with the Gramm-Leach-Bliley Act of 1999, which allowed for the creation of financial </w:t>
      </w:r>
      <w:r w:rsidR="00126739" w:rsidRPr="007F1987">
        <w:rPr>
          <w:rFonts w:ascii="Times New Roman" w:eastAsia="Times New Roman" w:hAnsi="Times New Roman" w:cs="Times New Roman"/>
          <w:color w:val="1A1C1E"/>
        </w:rPr>
        <w:t>“</w:t>
      </w:r>
      <w:r w:rsidRPr="007F1987">
        <w:rPr>
          <w:rFonts w:ascii="Times New Roman" w:eastAsia="Times New Roman" w:hAnsi="Times New Roman" w:cs="Times New Roman"/>
          <w:color w:val="1A1C1E"/>
        </w:rPr>
        <w:t>supermarkets.</w:t>
      </w:r>
      <w:r w:rsidR="00126739" w:rsidRPr="007F1987">
        <w:rPr>
          <w:rFonts w:ascii="Times New Roman" w:eastAsia="Times New Roman" w:hAnsi="Times New Roman" w:cs="Times New Roman"/>
          <w:color w:val="1A1C1E"/>
        </w:rPr>
        <w:t>”</w:t>
      </w:r>
      <w:r w:rsidRPr="007F1987">
        <w:rPr>
          <w:rFonts w:ascii="Times New Roman" w:eastAsia="Times New Roman" w:hAnsi="Times New Roman" w:cs="Times New Roman"/>
          <w:color w:val="1A1C1E"/>
        </w:rPr>
        <w:t xml:space="preserve"> This is visible in the charts as a sudden, massive spike in modularity, where the system abruptly reorganized from a single tangled web into a collection of distinct and separate banking communities. In the modern era, following the 2008 financial crisis, the Dodd-Frank Act and the Volcker Rule further solidified this structure while making the communities themselves much larger. As crisis-driven consolidation continued and stricter rules favored the largest institutions, these powerful ecosystems grew by absorbing more firms, causing the average community size to skyrocket in recent years. This transformed the banking system from a broadly interconnected network into a landscape dominated by a few massive, internally focused banking groups.</w:t>
      </w:r>
    </w:p>
    <w:p w14:paraId="58CEA78C" w14:textId="77777777" w:rsidR="00126739" w:rsidRDefault="00126739" w:rsidP="007F1987">
      <w:pPr>
        <w:spacing w:after="0" w:line="240" w:lineRule="auto"/>
        <w:ind w:firstLine="720"/>
        <w:jc w:val="both"/>
        <w:rPr>
          <w:rFonts w:ascii="Times New Roman" w:eastAsia="Times New Roman" w:hAnsi="Times New Roman" w:cs="Times New Roman"/>
          <w:color w:val="1A1C1E"/>
        </w:rPr>
      </w:pPr>
    </w:p>
    <w:p w14:paraId="02FD219E" w14:textId="77777777" w:rsidR="00B56AC6" w:rsidRPr="007F1987" w:rsidRDefault="00B56AC6" w:rsidP="007F1987">
      <w:pPr>
        <w:spacing w:after="0" w:line="240" w:lineRule="auto"/>
        <w:ind w:firstLine="720"/>
        <w:jc w:val="both"/>
        <w:rPr>
          <w:rFonts w:ascii="Times New Roman" w:eastAsia="Times New Roman" w:hAnsi="Times New Roman" w:cs="Times New Roman"/>
          <w:color w:val="1A1C1E"/>
        </w:rPr>
      </w:pPr>
    </w:p>
    <w:p w14:paraId="611A8770" w14:textId="77777777" w:rsidR="00B56AC6" w:rsidRDefault="00073CAB" w:rsidP="00B56AC6">
      <w:pPr>
        <w:spacing w:after="0" w:line="240" w:lineRule="auto"/>
        <w:jc w:val="center"/>
        <w:rPr>
          <w:rFonts w:ascii="Times New Roman" w:hAnsi="Times New Roman" w:cs="Times New Roman"/>
          <w:b/>
          <w:bCs/>
        </w:rPr>
      </w:pPr>
      <w:r w:rsidRPr="007F1987">
        <w:rPr>
          <w:rFonts w:ascii="Times New Roman" w:hAnsi="Times New Roman" w:cs="Times New Roman"/>
          <w:noProof/>
        </w:rPr>
        <w:drawing>
          <wp:inline distT="0" distB="0" distL="0" distR="0" wp14:anchorId="7A704FA6" wp14:editId="47654130">
            <wp:extent cx="5029200" cy="3771900"/>
            <wp:effectExtent l="0" t="0" r="0" b="0"/>
            <wp:docPr id="1676274847" name="Picture 1676274847" descr="A graph of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74847" name="Picture 1676274847" descr="A graph of blue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14:paraId="59B82D8F" w14:textId="1EC1FE30" w:rsidR="00073CAB" w:rsidRPr="007F1987" w:rsidRDefault="00073CAB" w:rsidP="00B56AC6">
      <w:pPr>
        <w:spacing w:after="0" w:line="240" w:lineRule="auto"/>
        <w:jc w:val="both"/>
        <w:rPr>
          <w:rFonts w:ascii="Times New Roman" w:hAnsi="Times New Roman" w:cs="Times New Roman"/>
        </w:rPr>
      </w:pPr>
      <w:r w:rsidRPr="007F1987">
        <w:rPr>
          <w:rFonts w:ascii="Times New Roman" w:hAnsi="Times New Roman" w:cs="Times New Roman"/>
          <w:b/>
          <w:bCs/>
        </w:rPr>
        <w:t xml:space="preserve">Figure </w:t>
      </w:r>
      <w:r w:rsidR="005B2D9A" w:rsidRPr="007F1987">
        <w:rPr>
          <w:rFonts w:ascii="Times New Roman" w:hAnsi="Times New Roman" w:cs="Times New Roman"/>
          <w:b/>
          <w:bCs/>
        </w:rPr>
        <w:t>B2</w:t>
      </w:r>
      <w:r w:rsidR="00B56AC6">
        <w:rPr>
          <w:rFonts w:ascii="Times New Roman" w:hAnsi="Times New Roman" w:cs="Times New Roman"/>
          <w:b/>
          <w:bCs/>
        </w:rPr>
        <w:t>.</w:t>
      </w:r>
      <w:r w:rsidRPr="007F1987">
        <w:rPr>
          <w:rFonts w:ascii="Times New Roman" w:hAnsi="Times New Roman" w:cs="Times New Roman"/>
        </w:rPr>
        <w:t xml:space="preserve"> Quarterly </w:t>
      </w:r>
      <w:r w:rsidR="00126739" w:rsidRPr="007F1987">
        <w:rPr>
          <w:rFonts w:ascii="Times New Roman" w:hAnsi="Times New Roman" w:cs="Times New Roman"/>
        </w:rPr>
        <w:t>s</w:t>
      </w:r>
      <w:r w:rsidRPr="007F1987">
        <w:rPr>
          <w:rFonts w:ascii="Times New Roman" w:hAnsi="Times New Roman" w:cs="Times New Roman"/>
        </w:rPr>
        <w:t xml:space="preserve">ystem-level </w:t>
      </w:r>
      <w:r w:rsidR="00126739" w:rsidRPr="007F1987">
        <w:rPr>
          <w:rFonts w:ascii="Times New Roman" w:hAnsi="Times New Roman" w:cs="Times New Roman"/>
        </w:rPr>
        <w:t>t</w:t>
      </w:r>
      <w:r w:rsidRPr="007F1987">
        <w:rPr>
          <w:rFonts w:ascii="Times New Roman" w:hAnsi="Times New Roman" w:cs="Times New Roman"/>
        </w:rPr>
        <w:t xml:space="preserve">rends – </w:t>
      </w:r>
      <w:r w:rsidR="00126739" w:rsidRPr="007F1987">
        <w:rPr>
          <w:rFonts w:ascii="Times New Roman" w:hAnsi="Times New Roman" w:cs="Times New Roman"/>
        </w:rPr>
        <w:t>d</w:t>
      </w:r>
      <w:r w:rsidRPr="007F1987">
        <w:rPr>
          <w:rFonts w:ascii="Times New Roman" w:hAnsi="Times New Roman" w:cs="Times New Roman"/>
        </w:rPr>
        <w:t xml:space="preserve">egree </w:t>
      </w:r>
      <w:r w:rsidR="00126739" w:rsidRPr="007F1987">
        <w:rPr>
          <w:rFonts w:ascii="Times New Roman" w:hAnsi="Times New Roman" w:cs="Times New Roman"/>
        </w:rPr>
        <w:t>a</w:t>
      </w:r>
      <w:r w:rsidRPr="007F1987">
        <w:rPr>
          <w:rFonts w:ascii="Times New Roman" w:hAnsi="Times New Roman" w:cs="Times New Roman"/>
        </w:rPr>
        <w:t xml:space="preserve">ssortativity, </w:t>
      </w:r>
      <w:r w:rsidR="00126739" w:rsidRPr="007F1987">
        <w:rPr>
          <w:rFonts w:ascii="Times New Roman" w:hAnsi="Times New Roman" w:cs="Times New Roman"/>
        </w:rPr>
        <w:t>a</w:t>
      </w:r>
      <w:r w:rsidRPr="007F1987">
        <w:rPr>
          <w:rFonts w:ascii="Times New Roman" w:hAnsi="Times New Roman" w:cs="Times New Roman"/>
        </w:rPr>
        <w:t xml:space="preserve">verage </w:t>
      </w:r>
      <w:r w:rsidR="00126739" w:rsidRPr="007F1987">
        <w:rPr>
          <w:rFonts w:ascii="Times New Roman" w:hAnsi="Times New Roman" w:cs="Times New Roman"/>
        </w:rPr>
        <w:t>c</w:t>
      </w:r>
      <w:r w:rsidRPr="007F1987">
        <w:rPr>
          <w:rFonts w:ascii="Times New Roman" w:hAnsi="Times New Roman" w:cs="Times New Roman"/>
        </w:rPr>
        <w:t xml:space="preserve">lustering </w:t>
      </w:r>
      <w:r w:rsidR="00126739" w:rsidRPr="007F1987">
        <w:rPr>
          <w:rFonts w:ascii="Times New Roman" w:hAnsi="Times New Roman" w:cs="Times New Roman"/>
        </w:rPr>
        <w:t>c</w:t>
      </w:r>
      <w:r w:rsidRPr="007F1987">
        <w:rPr>
          <w:rFonts w:ascii="Times New Roman" w:hAnsi="Times New Roman" w:cs="Times New Roman"/>
        </w:rPr>
        <w:t xml:space="preserve">oefficient, and </w:t>
      </w:r>
      <w:r w:rsidR="00126739" w:rsidRPr="007F1987">
        <w:rPr>
          <w:rFonts w:ascii="Times New Roman" w:hAnsi="Times New Roman" w:cs="Times New Roman"/>
        </w:rPr>
        <w:t>n</w:t>
      </w:r>
      <w:r w:rsidRPr="007F1987">
        <w:rPr>
          <w:rFonts w:ascii="Times New Roman" w:hAnsi="Times New Roman" w:cs="Times New Roman"/>
        </w:rPr>
        <w:t xml:space="preserve">etwork </w:t>
      </w:r>
      <w:r w:rsidR="00126739" w:rsidRPr="007F1987">
        <w:rPr>
          <w:rFonts w:ascii="Times New Roman" w:hAnsi="Times New Roman" w:cs="Times New Roman"/>
        </w:rPr>
        <w:t>t</w:t>
      </w:r>
      <w:r w:rsidRPr="007F1987">
        <w:rPr>
          <w:rFonts w:ascii="Times New Roman" w:hAnsi="Times New Roman" w:cs="Times New Roman"/>
        </w:rPr>
        <w:t xml:space="preserve">ransitivity </w:t>
      </w:r>
      <w:r w:rsidR="00126739" w:rsidRPr="007F1987">
        <w:rPr>
          <w:rFonts w:ascii="Times New Roman" w:hAnsi="Times New Roman" w:cs="Times New Roman"/>
        </w:rPr>
        <w:t>(</w:t>
      </w:r>
      <w:r w:rsidRPr="007F1987">
        <w:rPr>
          <w:rFonts w:ascii="Times New Roman" w:hAnsi="Times New Roman" w:cs="Times New Roman"/>
        </w:rPr>
        <w:t>1984 to 2024</w:t>
      </w:r>
      <w:r w:rsidR="00126739" w:rsidRPr="007F1987">
        <w:rPr>
          <w:rFonts w:ascii="Times New Roman" w:hAnsi="Times New Roman" w:cs="Times New Roman"/>
        </w:rPr>
        <w:t>).</w:t>
      </w:r>
    </w:p>
    <w:p w14:paraId="3BB42DD9" w14:textId="77777777" w:rsidR="00126739" w:rsidRDefault="00126739" w:rsidP="007F1987">
      <w:pPr>
        <w:spacing w:after="0" w:line="240" w:lineRule="auto"/>
        <w:rPr>
          <w:rFonts w:ascii="Times New Roman" w:hAnsi="Times New Roman" w:cs="Times New Roman"/>
        </w:rPr>
      </w:pPr>
    </w:p>
    <w:p w14:paraId="6A7AE2AA" w14:textId="77777777" w:rsidR="00B56AC6" w:rsidRPr="007F1987" w:rsidRDefault="00B56AC6" w:rsidP="007F1987">
      <w:pPr>
        <w:spacing w:after="0" w:line="240" w:lineRule="auto"/>
        <w:rPr>
          <w:rFonts w:ascii="Times New Roman" w:hAnsi="Times New Roman" w:cs="Times New Roman"/>
        </w:rPr>
      </w:pPr>
    </w:p>
    <w:p w14:paraId="09B8BF83" w14:textId="33384289" w:rsidR="00073CAB" w:rsidRPr="007F1987" w:rsidRDefault="00073CAB" w:rsidP="0036121F">
      <w:pPr>
        <w:spacing w:after="0" w:line="240" w:lineRule="auto"/>
        <w:ind w:firstLine="360"/>
        <w:jc w:val="both"/>
        <w:rPr>
          <w:rFonts w:ascii="Times New Roman" w:eastAsia="Aptos" w:hAnsi="Times New Roman" w:cs="Times New Roman"/>
          <w:color w:val="1A1C1E"/>
        </w:rPr>
      </w:pPr>
      <w:r w:rsidRPr="007F1987">
        <w:rPr>
          <w:rFonts w:ascii="Times New Roman" w:hAnsi="Times New Roman" w:cs="Times New Roman"/>
        </w:rPr>
        <w:t xml:space="preserve">This figure </w:t>
      </w:r>
      <w:r w:rsidRPr="007F1987">
        <w:rPr>
          <w:rFonts w:ascii="Times New Roman" w:eastAsia="Aptos" w:hAnsi="Times New Roman" w:cs="Times New Roman"/>
          <w:color w:val="1A1C1E"/>
        </w:rPr>
        <w:t xml:space="preserve">illustrates how banking regulations reshaped the very fabric of how banks interact, essentially creating and then solidifying a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rich club</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of powerful institutions. In the early years, before major deregulation, the banking system was highly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cliquey,</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with many local banks forming tight-knit groups, as shown by the very high network transitivity and clustering. The Riegle-Neal Act of 1994, which allowed for interstate mergers, began to change this by breaking up those local cliques, causing the overall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cliquey-ness</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to drop. At the same time, this consolidation started building a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rich club</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effect, where the newly powerful banks connected </w:t>
      </w:r>
      <w:r w:rsidRPr="007F1987">
        <w:rPr>
          <w:rFonts w:ascii="Times New Roman" w:eastAsia="Aptos" w:hAnsi="Times New Roman" w:cs="Times New Roman"/>
          <w:color w:val="1A1C1E"/>
        </w:rPr>
        <w:lastRenderedPageBreak/>
        <w:t>more among themselves, a trend visible in the rising degree assortativity. This was supercharged by the Gramm-Leach-Bliley</w:t>
      </w:r>
      <w:r w:rsidR="001715B1" w:rsidRPr="007F1987">
        <w:rPr>
          <w:rFonts w:ascii="Times New Roman" w:eastAsia="Aptos" w:hAnsi="Times New Roman" w:cs="Times New Roman"/>
          <w:color w:val="1A1C1E"/>
        </w:rPr>
        <w:t xml:space="preserve"> Act, where the </w:t>
      </w:r>
      <w:r w:rsidRPr="007F1987">
        <w:rPr>
          <w:rFonts w:ascii="Times New Roman" w:eastAsia="Aptos" w:hAnsi="Times New Roman" w:cs="Times New Roman"/>
          <w:color w:val="1A1C1E"/>
        </w:rPr>
        <w:t>network was extremely tight-knit, but the</w:t>
      </w:r>
      <w:r w:rsidR="00BA655A" w:rsidRPr="007F1987">
        <w:rPr>
          <w:rFonts w:ascii="Times New Roman" w:eastAsia="Aptos" w:hAnsi="Times New Roman" w:cs="Times New Roman"/>
          <w:color w:val="1A1C1E"/>
        </w:rPr>
        <w:t xml:space="preserve"> savings and loan (</w:t>
      </w:r>
      <w:r w:rsidRPr="007F1987">
        <w:rPr>
          <w:rFonts w:ascii="Times New Roman" w:eastAsia="Aptos" w:hAnsi="Times New Roman" w:cs="Times New Roman"/>
          <w:color w:val="1A1C1E"/>
        </w:rPr>
        <w:t>S&amp;L</w:t>
      </w:r>
      <w:r w:rsidR="00BA655A"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crisis (Wang 2025) and subsequent regulations like FIRREA and FDICIA in the early 1990s temporarily broke down these close relationships, as seen in the clear dip in both transitivity and clustering. As the system recovered and the Riegle-Neal Act of 1994 fueled a wave of mergers, the network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re-clustered</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into new, stable groups. The Gramm-Leach-Bliley Act of 1999 then strengthened the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rich club</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effect, allowing for the creation of massive financial conglomerates that became even more central and interconnected with each other, pushing assortativity to a new, higher level. The most dramatic event is the 2008 financial crisis, which caused all three metrics to plunge as trust </w:t>
      </w:r>
      <w:proofErr w:type="gramStart"/>
      <w:r w:rsidRPr="007F1987">
        <w:rPr>
          <w:rFonts w:ascii="Times New Roman" w:eastAsia="Aptos" w:hAnsi="Times New Roman" w:cs="Times New Roman"/>
          <w:color w:val="1A1C1E"/>
        </w:rPr>
        <w:t>evaporated</w:t>
      </w:r>
      <w:proofErr w:type="gramEnd"/>
      <w:r w:rsidRPr="007F1987">
        <w:rPr>
          <w:rFonts w:ascii="Times New Roman" w:eastAsia="Aptos" w:hAnsi="Times New Roman" w:cs="Times New Roman"/>
          <w:color w:val="1A1C1E"/>
        </w:rPr>
        <w:t xml:space="preserve"> and relationships shattered; the especially sharp drop in assortativity shows the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rich club</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itself fracturing under the strain. The subsequent Dodd-Frank Act reshaped the system, and as it recovered, a new, more heavily regulated version of this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cliquey,</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rich club</w:t>
      </w:r>
      <w:r w:rsidR="00126739" w:rsidRPr="007F1987">
        <w:rPr>
          <w:rFonts w:ascii="Times New Roman" w:eastAsia="Aptos" w:hAnsi="Times New Roman" w:cs="Times New Roman"/>
          <w:color w:val="1A1C1E"/>
        </w:rPr>
        <w:t>”</w:t>
      </w:r>
      <w:r w:rsidRPr="007F1987">
        <w:rPr>
          <w:rFonts w:ascii="Times New Roman" w:eastAsia="Aptos" w:hAnsi="Times New Roman" w:cs="Times New Roman"/>
          <w:color w:val="1A1C1E"/>
        </w:rPr>
        <w:t xml:space="preserve"> structure re-emerged, demonstrating a resilient but sensitive architecture that bends during crises but ultimately returns to its core form.</w:t>
      </w:r>
    </w:p>
    <w:p w14:paraId="5305707C" w14:textId="77777777" w:rsidR="00A1339B" w:rsidRDefault="00A1339B" w:rsidP="007F1987">
      <w:pPr>
        <w:spacing w:after="0" w:line="240" w:lineRule="auto"/>
        <w:ind w:firstLine="720"/>
        <w:jc w:val="both"/>
        <w:rPr>
          <w:rFonts w:ascii="Times New Roman" w:eastAsia="Aptos" w:hAnsi="Times New Roman" w:cs="Times New Roman"/>
        </w:rPr>
      </w:pPr>
    </w:p>
    <w:p w14:paraId="214D2994" w14:textId="77777777" w:rsidR="00A20906" w:rsidRPr="007F1987" w:rsidRDefault="00A20906" w:rsidP="007F1987">
      <w:pPr>
        <w:spacing w:after="0" w:line="240" w:lineRule="auto"/>
        <w:ind w:firstLine="720"/>
        <w:jc w:val="both"/>
        <w:rPr>
          <w:rFonts w:ascii="Times New Roman" w:eastAsia="Aptos" w:hAnsi="Times New Roman" w:cs="Times New Roman"/>
        </w:rPr>
      </w:pPr>
    </w:p>
    <w:p w14:paraId="334F36CD" w14:textId="77777777" w:rsidR="00A20906" w:rsidRDefault="00073CAB" w:rsidP="00A20906">
      <w:pPr>
        <w:spacing w:after="0" w:line="240" w:lineRule="auto"/>
        <w:jc w:val="center"/>
        <w:rPr>
          <w:rFonts w:ascii="Times New Roman" w:hAnsi="Times New Roman" w:cs="Times New Roman"/>
          <w:b/>
          <w:bCs/>
        </w:rPr>
      </w:pPr>
      <w:r w:rsidRPr="007F1987">
        <w:rPr>
          <w:rFonts w:ascii="Times New Roman" w:hAnsi="Times New Roman" w:cs="Times New Roman"/>
          <w:noProof/>
        </w:rPr>
        <w:drawing>
          <wp:inline distT="0" distB="0" distL="0" distR="0" wp14:anchorId="15CEA687" wp14:editId="6F2707DB">
            <wp:extent cx="5029200" cy="3771900"/>
            <wp:effectExtent l="0" t="0" r="0" b="0"/>
            <wp:docPr id="343639087" name="Picture 343639087" descr="A graph of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39087" name="Picture 343639087" descr="A graph of blue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14:paraId="0F97C209" w14:textId="7CBCE05B" w:rsidR="00073CAB" w:rsidRPr="007F1987" w:rsidRDefault="00073CAB" w:rsidP="00A20906">
      <w:pPr>
        <w:spacing w:after="0" w:line="240" w:lineRule="auto"/>
        <w:jc w:val="both"/>
        <w:rPr>
          <w:rFonts w:ascii="Times New Roman" w:hAnsi="Times New Roman" w:cs="Times New Roman"/>
        </w:rPr>
      </w:pPr>
      <w:r w:rsidRPr="007F1987">
        <w:rPr>
          <w:rFonts w:ascii="Times New Roman" w:hAnsi="Times New Roman" w:cs="Times New Roman"/>
          <w:b/>
          <w:bCs/>
        </w:rPr>
        <w:t xml:space="preserve">Figure </w:t>
      </w:r>
      <w:r w:rsidR="005B2D9A" w:rsidRPr="007F1987">
        <w:rPr>
          <w:rFonts w:ascii="Times New Roman" w:hAnsi="Times New Roman" w:cs="Times New Roman"/>
          <w:b/>
          <w:bCs/>
        </w:rPr>
        <w:t>B3</w:t>
      </w:r>
      <w:r w:rsidR="00A20906">
        <w:rPr>
          <w:rFonts w:ascii="Times New Roman" w:hAnsi="Times New Roman" w:cs="Times New Roman"/>
          <w:b/>
          <w:bCs/>
        </w:rPr>
        <w:t>.</w:t>
      </w:r>
      <w:r w:rsidRPr="007F1987">
        <w:rPr>
          <w:rFonts w:ascii="Times New Roman" w:hAnsi="Times New Roman" w:cs="Times New Roman"/>
        </w:rPr>
        <w:t xml:space="preserve"> Quarterly </w:t>
      </w:r>
      <w:r w:rsidR="00A1339B" w:rsidRPr="007F1987">
        <w:rPr>
          <w:rFonts w:ascii="Times New Roman" w:hAnsi="Times New Roman" w:cs="Times New Roman"/>
        </w:rPr>
        <w:t>n</w:t>
      </w:r>
      <w:r w:rsidRPr="007F1987">
        <w:rPr>
          <w:rFonts w:ascii="Times New Roman" w:hAnsi="Times New Roman" w:cs="Times New Roman"/>
        </w:rPr>
        <w:t>ode-</w:t>
      </w:r>
      <w:r w:rsidR="00A1339B" w:rsidRPr="007F1987">
        <w:rPr>
          <w:rFonts w:ascii="Times New Roman" w:hAnsi="Times New Roman" w:cs="Times New Roman"/>
        </w:rPr>
        <w:t>l</w:t>
      </w:r>
      <w:r w:rsidRPr="007F1987">
        <w:rPr>
          <w:rFonts w:ascii="Times New Roman" w:hAnsi="Times New Roman" w:cs="Times New Roman"/>
        </w:rPr>
        <w:t xml:space="preserve">evel </w:t>
      </w:r>
      <w:r w:rsidR="00A1339B" w:rsidRPr="007F1987">
        <w:rPr>
          <w:rFonts w:ascii="Times New Roman" w:hAnsi="Times New Roman" w:cs="Times New Roman"/>
        </w:rPr>
        <w:t>t</w:t>
      </w:r>
      <w:r w:rsidRPr="007F1987">
        <w:rPr>
          <w:rFonts w:ascii="Times New Roman" w:hAnsi="Times New Roman" w:cs="Times New Roman"/>
        </w:rPr>
        <w:t xml:space="preserve">rends – </w:t>
      </w:r>
      <w:r w:rsidR="00A1339B" w:rsidRPr="007F1987">
        <w:rPr>
          <w:rFonts w:ascii="Times New Roman" w:hAnsi="Times New Roman" w:cs="Times New Roman"/>
        </w:rPr>
        <w:t>a</w:t>
      </w:r>
      <w:r w:rsidRPr="007F1987">
        <w:rPr>
          <w:rFonts w:ascii="Times New Roman" w:hAnsi="Times New Roman" w:cs="Times New Roman"/>
        </w:rPr>
        <w:t>v</w:t>
      </w:r>
      <w:r w:rsidR="00A1339B" w:rsidRPr="007F1987">
        <w:rPr>
          <w:rFonts w:ascii="Times New Roman" w:hAnsi="Times New Roman" w:cs="Times New Roman"/>
        </w:rPr>
        <w:t>erage</w:t>
      </w:r>
      <w:r w:rsidRPr="007F1987">
        <w:rPr>
          <w:rFonts w:ascii="Times New Roman" w:hAnsi="Times New Roman" w:cs="Times New Roman"/>
        </w:rPr>
        <w:t xml:space="preserve"> </w:t>
      </w:r>
      <w:r w:rsidR="00A1339B" w:rsidRPr="007F1987">
        <w:rPr>
          <w:rFonts w:ascii="Times New Roman" w:hAnsi="Times New Roman" w:cs="Times New Roman"/>
        </w:rPr>
        <w:t>n</w:t>
      </w:r>
      <w:r w:rsidRPr="007F1987">
        <w:rPr>
          <w:rFonts w:ascii="Times New Roman" w:hAnsi="Times New Roman" w:cs="Times New Roman"/>
        </w:rPr>
        <w:t xml:space="preserve">eighbors, </w:t>
      </w:r>
      <w:r w:rsidR="00A1339B" w:rsidRPr="007F1987">
        <w:rPr>
          <w:rFonts w:ascii="Times New Roman" w:hAnsi="Times New Roman" w:cs="Times New Roman"/>
        </w:rPr>
        <w:t>r</w:t>
      </w:r>
      <w:r w:rsidRPr="007F1987">
        <w:rPr>
          <w:rFonts w:ascii="Times New Roman" w:hAnsi="Times New Roman" w:cs="Times New Roman"/>
        </w:rPr>
        <w:t xml:space="preserve">ich </w:t>
      </w:r>
      <w:r w:rsidR="00A1339B" w:rsidRPr="007F1987">
        <w:rPr>
          <w:rFonts w:ascii="Times New Roman" w:hAnsi="Times New Roman" w:cs="Times New Roman"/>
        </w:rPr>
        <w:t>c</w:t>
      </w:r>
      <w:r w:rsidRPr="007F1987">
        <w:rPr>
          <w:rFonts w:ascii="Times New Roman" w:hAnsi="Times New Roman" w:cs="Times New Roman"/>
        </w:rPr>
        <w:t xml:space="preserve">lub </w:t>
      </w:r>
      <w:r w:rsidR="00A1339B" w:rsidRPr="007F1987">
        <w:rPr>
          <w:rFonts w:ascii="Times New Roman" w:hAnsi="Times New Roman" w:cs="Times New Roman"/>
        </w:rPr>
        <w:t>c</w:t>
      </w:r>
      <w:r w:rsidRPr="007F1987">
        <w:rPr>
          <w:rFonts w:ascii="Times New Roman" w:hAnsi="Times New Roman" w:cs="Times New Roman"/>
        </w:rPr>
        <w:t>oefficient</w:t>
      </w:r>
      <w:r w:rsidR="00A1339B" w:rsidRPr="007F1987">
        <w:rPr>
          <w:rFonts w:ascii="Times New Roman" w:hAnsi="Times New Roman" w:cs="Times New Roman"/>
        </w:rPr>
        <w:t>,</w:t>
      </w:r>
      <w:r w:rsidRPr="007F1987">
        <w:rPr>
          <w:rFonts w:ascii="Times New Roman" w:hAnsi="Times New Roman" w:cs="Times New Roman"/>
        </w:rPr>
        <w:t xml:space="preserve"> and </w:t>
      </w:r>
      <w:r w:rsidR="00A1339B" w:rsidRPr="007F1987">
        <w:rPr>
          <w:rFonts w:ascii="Times New Roman" w:hAnsi="Times New Roman" w:cs="Times New Roman"/>
        </w:rPr>
        <w:t>n</w:t>
      </w:r>
      <w:r w:rsidRPr="007F1987">
        <w:rPr>
          <w:rFonts w:ascii="Times New Roman" w:hAnsi="Times New Roman" w:cs="Times New Roman"/>
        </w:rPr>
        <w:t xml:space="preserve">ormalized </w:t>
      </w:r>
      <w:r w:rsidR="00A1339B" w:rsidRPr="007F1987">
        <w:rPr>
          <w:rFonts w:ascii="Times New Roman" w:hAnsi="Times New Roman" w:cs="Times New Roman"/>
        </w:rPr>
        <w:t>t</w:t>
      </w:r>
      <w:r w:rsidRPr="007F1987">
        <w:rPr>
          <w:rFonts w:ascii="Times New Roman" w:hAnsi="Times New Roman" w:cs="Times New Roman"/>
        </w:rPr>
        <w:t xml:space="preserve">ree </w:t>
      </w:r>
      <w:r w:rsidR="00A1339B" w:rsidRPr="007F1987">
        <w:rPr>
          <w:rFonts w:ascii="Times New Roman" w:hAnsi="Times New Roman" w:cs="Times New Roman"/>
        </w:rPr>
        <w:t>l</w:t>
      </w:r>
      <w:r w:rsidRPr="007F1987">
        <w:rPr>
          <w:rFonts w:ascii="Times New Roman" w:hAnsi="Times New Roman" w:cs="Times New Roman"/>
        </w:rPr>
        <w:t xml:space="preserve">ength </w:t>
      </w:r>
      <w:r w:rsidR="00A1339B" w:rsidRPr="007F1987">
        <w:rPr>
          <w:rFonts w:ascii="Times New Roman" w:hAnsi="Times New Roman" w:cs="Times New Roman"/>
        </w:rPr>
        <w:t>(</w:t>
      </w:r>
      <w:r w:rsidRPr="007F1987">
        <w:rPr>
          <w:rFonts w:ascii="Times New Roman" w:hAnsi="Times New Roman" w:cs="Times New Roman"/>
        </w:rPr>
        <w:t>1984 to 2024</w:t>
      </w:r>
      <w:r w:rsidR="00A1339B" w:rsidRPr="007F1987">
        <w:rPr>
          <w:rFonts w:ascii="Times New Roman" w:hAnsi="Times New Roman" w:cs="Times New Roman"/>
        </w:rPr>
        <w:t>).</w:t>
      </w:r>
    </w:p>
    <w:p w14:paraId="6355B6F6" w14:textId="77777777" w:rsidR="00A1339B" w:rsidRDefault="00A1339B" w:rsidP="007F1987">
      <w:pPr>
        <w:spacing w:after="0" w:line="240" w:lineRule="auto"/>
        <w:rPr>
          <w:rFonts w:ascii="Times New Roman" w:eastAsia="Times New Roman" w:hAnsi="Times New Roman" w:cs="Times New Roman"/>
        </w:rPr>
      </w:pPr>
    </w:p>
    <w:p w14:paraId="6929440E" w14:textId="77777777" w:rsidR="00A20906" w:rsidRPr="007F1987" w:rsidRDefault="00A20906" w:rsidP="007F1987">
      <w:pPr>
        <w:spacing w:after="0" w:line="240" w:lineRule="auto"/>
        <w:rPr>
          <w:rFonts w:ascii="Times New Roman" w:eastAsia="Times New Roman" w:hAnsi="Times New Roman" w:cs="Times New Roman"/>
        </w:rPr>
      </w:pPr>
    </w:p>
    <w:p w14:paraId="1E078F76" w14:textId="65DDC3E5" w:rsidR="00F85561" w:rsidRPr="007F1987" w:rsidRDefault="00073CAB" w:rsidP="00A20906">
      <w:pPr>
        <w:spacing w:after="0" w:line="240" w:lineRule="auto"/>
        <w:ind w:firstLine="360"/>
        <w:jc w:val="both"/>
        <w:rPr>
          <w:rFonts w:ascii="Times New Roman" w:eastAsia="Times New Roman" w:hAnsi="Times New Roman" w:cs="Times New Roman"/>
        </w:rPr>
      </w:pPr>
      <w:r w:rsidRPr="007F1987">
        <w:rPr>
          <w:rFonts w:ascii="Times New Roman" w:eastAsia="Times New Roman" w:hAnsi="Times New Roman" w:cs="Times New Roman"/>
        </w:rPr>
        <w:t xml:space="preserve">This figure illustrates how regulations and crises directly impacted the power dynamics of the banking system, particularly the formation and behavior of a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rich club</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of the most connected banks. In the early 1990s, the S&amp;L crisis </w:t>
      </w:r>
      <w:r w:rsidRPr="007F1987">
        <w:rPr>
          <w:rFonts w:ascii="Times New Roman" w:eastAsia="Aptos" w:hAnsi="Times New Roman" w:cs="Times New Roman"/>
          <w:color w:val="1A1C1E"/>
        </w:rPr>
        <w:t>(Wang 2025)</w:t>
      </w:r>
      <w:r w:rsidRPr="007F1987">
        <w:rPr>
          <w:rFonts w:ascii="Times New Roman" w:eastAsia="Times New Roman" w:hAnsi="Times New Roman" w:cs="Times New Roman"/>
        </w:rPr>
        <w:t xml:space="preserve"> and regulations like FIRREA caused a temporary breakdown in relationships, seen in the sharp dip in both the average number of bank connections and the internal cohesion of the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rich club.</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The subsequent Riegle-Neal and Gramm-</w:t>
      </w:r>
      <w:r w:rsidRPr="007F1987">
        <w:rPr>
          <w:rFonts w:ascii="Times New Roman" w:eastAsia="Times New Roman" w:hAnsi="Times New Roman" w:cs="Times New Roman"/>
        </w:rPr>
        <w:lastRenderedPageBreak/>
        <w:t xml:space="preserve">Leach-Bliley Acts then fueled the creation of massive, centralized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super-banks.</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This is clearly visible as the network</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s efficiency increased (a lower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tree length</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but it also led to a more insular system where these giants focused inward, causing a temporary drop in the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rich club</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coefficient as they reorganized. The 2008 financial crisis is marked by a dramatic shattering of the system: trust evaporated, banks disconnected from each other (plummeting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average neighbors</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the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rich club</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itself fractured (a collapsing coefficient), and the network</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s structure became highly inefficient (a spiking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tree length</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 xml:space="preserve">). In the post-crisis era, the heavy compliance costs of the Dodd-Frank Act favored the largest institutions, making them more central than ever. This is shown by the steady and dramatic rise in the average number of connections per bank, as smaller firms increasingly had to link up with the few remaining behemoths to operate, cementing the dominance of a reformed, but highly sensitive, </w:t>
      </w:r>
      <w:r w:rsidR="000C234F" w:rsidRPr="007F1987">
        <w:rPr>
          <w:rFonts w:ascii="Times New Roman" w:eastAsia="Times New Roman" w:hAnsi="Times New Roman" w:cs="Times New Roman"/>
        </w:rPr>
        <w:t>“</w:t>
      </w:r>
      <w:r w:rsidRPr="007F1987">
        <w:rPr>
          <w:rFonts w:ascii="Times New Roman" w:eastAsia="Times New Roman" w:hAnsi="Times New Roman" w:cs="Times New Roman"/>
        </w:rPr>
        <w:t>rich club.</w:t>
      </w:r>
      <w:r w:rsidR="000C234F" w:rsidRPr="007F1987">
        <w:rPr>
          <w:rFonts w:ascii="Times New Roman" w:eastAsia="Times New Roman" w:hAnsi="Times New Roman" w:cs="Times New Roman"/>
        </w:rPr>
        <w:t>”</w:t>
      </w:r>
    </w:p>
    <w:p w14:paraId="0041B3F6" w14:textId="77777777" w:rsidR="00A1339B" w:rsidRDefault="00A1339B" w:rsidP="007F1987">
      <w:pPr>
        <w:spacing w:after="0" w:line="240" w:lineRule="auto"/>
        <w:ind w:firstLine="720"/>
        <w:jc w:val="both"/>
        <w:rPr>
          <w:rFonts w:ascii="Times New Roman" w:eastAsia="Times New Roman" w:hAnsi="Times New Roman" w:cs="Times New Roman"/>
        </w:rPr>
      </w:pPr>
    </w:p>
    <w:p w14:paraId="6D20A2C5" w14:textId="77777777" w:rsidR="00A20906" w:rsidRPr="007F1987" w:rsidRDefault="00A20906" w:rsidP="007F1987">
      <w:pPr>
        <w:spacing w:after="0" w:line="240" w:lineRule="auto"/>
        <w:ind w:firstLine="720"/>
        <w:jc w:val="both"/>
        <w:rPr>
          <w:rFonts w:ascii="Times New Roman" w:eastAsia="Times New Roman" w:hAnsi="Times New Roman" w:cs="Times New Roman"/>
        </w:rPr>
      </w:pPr>
    </w:p>
    <w:p w14:paraId="16C0D696" w14:textId="02A94E5E" w:rsidR="000C234F" w:rsidRPr="007F1987" w:rsidRDefault="003759CA" w:rsidP="007F1987">
      <w:pPr>
        <w:spacing w:after="0" w:line="240" w:lineRule="auto"/>
        <w:rPr>
          <w:rFonts w:ascii="Times New Roman" w:eastAsia="Times New Roman" w:hAnsi="Times New Roman" w:cs="Times New Roman"/>
          <w:kern w:val="0"/>
          <w14:ligatures w14:val="none"/>
        </w:rPr>
      </w:pPr>
      <w:r w:rsidRPr="007F1987">
        <w:rPr>
          <w:rFonts w:ascii="Times New Roman" w:eastAsia="Times New Roman" w:hAnsi="Times New Roman" w:cs="Times New Roman"/>
          <w:b/>
          <w:bCs/>
          <w:kern w:val="0"/>
          <w14:ligatures w14:val="none"/>
        </w:rPr>
        <w:t xml:space="preserve">Appendix </w:t>
      </w:r>
      <w:r w:rsidR="006928DC" w:rsidRPr="007F1987">
        <w:rPr>
          <w:rFonts w:ascii="Times New Roman" w:eastAsia="Times New Roman" w:hAnsi="Times New Roman" w:cs="Times New Roman"/>
          <w:b/>
          <w:bCs/>
          <w:kern w:val="0"/>
          <w14:ligatures w14:val="none"/>
        </w:rPr>
        <w:t>C</w:t>
      </w:r>
      <w:r w:rsidR="0013130F">
        <w:rPr>
          <w:rFonts w:ascii="Times New Roman" w:eastAsia="Times New Roman" w:hAnsi="Times New Roman" w:cs="Times New Roman"/>
          <w:b/>
          <w:bCs/>
          <w:kern w:val="0"/>
          <w14:ligatures w14:val="none"/>
        </w:rPr>
        <w:t>:</w:t>
      </w:r>
      <w:r w:rsidRPr="007F1987">
        <w:rPr>
          <w:rFonts w:ascii="Times New Roman" w:eastAsia="Times New Roman" w:hAnsi="Times New Roman" w:cs="Times New Roman"/>
          <w:b/>
          <w:bCs/>
          <w:kern w:val="0"/>
          <w14:ligatures w14:val="none"/>
        </w:rPr>
        <w:t xml:space="preserve"> Temporal </w:t>
      </w:r>
      <w:r w:rsidR="0007523B">
        <w:rPr>
          <w:rFonts w:ascii="Times New Roman" w:eastAsia="Times New Roman" w:hAnsi="Times New Roman" w:cs="Times New Roman"/>
          <w:b/>
          <w:bCs/>
          <w:kern w:val="0"/>
          <w14:ligatures w14:val="none"/>
        </w:rPr>
        <w:t>a</w:t>
      </w:r>
      <w:r w:rsidRPr="007F1987">
        <w:rPr>
          <w:rFonts w:ascii="Times New Roman" w:eastAsia="Times New Roman" w:hAnsi="Times New Roman" w:cs="Times New Roman"/>
          <w:b/>
          <w:bCs/>
          <w:kern w:val="0"/>
          <w14:ligatures w14:val="none"/>
        </w:rPr>
        <w:t xml:space="preserve">nalysis of </w:t>
      </w:r>
      <w:r w:rsidR="0007523B">
        <w:rPr>
          <w:rFonts w:ascii="Times New Roman" w:eastAsia="Times New Roman" w:hAnsi="Times New Roman" w:cs="Times New Roman"/>
          <w:b/>
          <w:bCs/>
          <w:kern w:val="0"/>
          <w14:ligatures w14:val="none"/>
        </w:rPr>
        <w:t>e</w:t>
      </w:r>
      <w:r w:rsidRPr="007F1987">
        <w:rPr>
          <w:rFonts w:ascii="Times New Roman" w:eastAsia="Times New Roman" w:hAnsi="Times New Roman" w:cs="Times New Roman"/>
          <w:b/>
          <w:bCs/>
          <w:kern w:val="0"/>
          <w14:ligatures w14:val="none"/>
        </w:rPr>
        <w:t xml:space="preserve">mbedding </w:t>
      </w:r>
      <w:r w:rsidR="0007523B">
        <w:rPr>
          <w:rFonts w:ascii="Times New Roman" w:eastAsia="Times New Roman" w:hAnsi="Times New Roman" w:cs="Times New Roman"/>
          <w:b/>
          <w:bCs/>
          <w:kern w:val="0"/>
          <w14:ligatures w14:val="none"/>
        </w:rPr>
        <w:t>f</w:t>
      </w:r>
      <w:r w:rsidRPr="007F1987">
        <w:rPr>
          <w:rFonts w:ascii="Times New Roman" w:eastAsia="Times New Roman" w:hAnsi="Times New Roman" w:cs="Times New Roman"/>
          <w:b/>
          <w:bCs/>
          <w:kern w:val="0"/>
          <w14:ligatures w14:val="none"/>
        </w:rPr>
        <w:t xml:space="preserve">eatures </w:t>
      </w:r>
      <w:r w:rsidRPr="007F1987">
        <w:rPr>
          <w:rFonts w:ascii="Times New Roman" w:eastAsia="Times New Roman" w:hAnsi="Times New Roman" w:cs="Times New Roman"/>
          <w:kern w:val="0"/>
          <w14:ligatures w14:val="none"/>
        </w:rPr>
        <w:br/>
      </w:r>
    </w:p>
    <w:p w14:paraId="44249508" w14:textId="2C054774" w:rsidR="003759CA" w:rsidRPr="007F1987" w:rsidRDefault="003759CA" w:rsidP="007F1987">
      <w:pPr>
        <w:spacing w:after="0" w:line="240" w:lineRule="auto"/>
        <w:jc w:val="both"/>
        <w:rPr>
          <w:rFonts w:ascii="Times New Roman" w:eastAsia="Times New Roman" w:hAnsi="Times New Roman" w:cs="Times New Roman"/>
          <w:kern w:val="0"/>
          <w14:ligatures w14:val="none"/>
        </w:rPr>
      </w:pPr>
      <w:r w:rsidRPr="00586B43">
        <w:rPr>
          <w:rFonts w:ascii="Times New Roman" w:eastAsia="Times New Roman" w:hAnsi="Times New Roman" w:cs="Times New Roman"/>
          <w:b/>
          <w:bCs/>
          <w:kern w:val="0"/>
          <w14:ligatures w14:val="none"/>
        </w:rPr>
        <w:t>Node</w:t>
      </w:r>
      <w:r w:rsidR="00586B43">
        <w:rPr>
          <w:rFonts w:ascii="Times New Roman" w:eastAsia="Times New Roman" w:hAnsi="Times New Roman" w:cs="Times New Roman"/>
          <w:b/>
          <w:bCs/>
          <w:kern w:val="0"/>
          <w14:ligatures w14:val="none"/>
        </w:rPr>
        <w:t xml:space="preserve"> </w:t>
      </w:r>
      <w:r w:rsidR="000C234F" w:rsidRPr="00586B43">
        <w:rPr>
          <w:rFonts w:ascii="Times New Roman" w:eastAsia="Times New Roman" w:hAnsi="Times New Roman" w:cs="Times New Roman"/>
          <w:b/>
          <w:bCs/>
          <w:kern w:val="0"/>
          <w14:ligatures w14:val="none"/>
        </w:rPr>
        <w:t>l</w:t>
      </w:r>
      <w:r w:rsidRPr="00586B43">
        <w:rPr>
          <w:rFonts w:ascii="Times New Roman" w:eastAsia="Times New Roman" w:hAnsi="Times New Roman" w:cs="Times New Roman"/>
          <w:b/>
          <w:bCs/>
          <w:kern w:val="0"/>
          <w14:ligatures w14:val="none"/>
        </w:rPr>
        <w:t>evel:</w:t>
      </w:r>
      <w:r w:rsidRPr="007F1987">
        <w:rPr>
          <w:rFonts w:ascii="Times New Roman" w:eastAsia="Times New Roman" w:hAnsi="Times New Roman" w:cs="Times New Roman"/>
          <w:kern w:val="0"/>
          <w14:ligatures w14:val="none"/>
        </w:rPr>
        <w:t xml:space="preserve"> Examples of </w:t>
      </w:r>
      <w:r w:rsidR="000C234F" w:rsidRPr="007F1987">
        <w:rPr>
          <w:rFonts w:ascii="Times New Roman" w:eastAsia="Times New Roman" w:hAnsi="Times New Roman" w:cs="Times New Roman"/>
          <w:kern w:val="0"/>
          <w14:ligatures w14:val="none"/>
        </w:rPr>
        <w:t xml:space="preserve">the </w:t>
      </w:r>
      <w:r w:rsidRPr="007F1987">
        <w:rPr>
          <w:rFonts w:ascii="Times New Roman" w:eastAsia="Times New Roman" w:hAnsi="Times New Roman" w:cs="Times New Roman"/>
          <w:kern w:val="0"/>
          <w14:ligatures w14:val="none"/>
        </w:rPr>
        <w:t xml:space="preserve">network structure at the node-level are </w:t>
      </w:r>
      <w:r w:rsidR="000C234F" w:rsidRPr="007F1987">
        <w:rPr>
          <w:rFonts w:ascii="Times New Roman" w:eastAsia="Times New Roman" w:hAnsi="Times New Roman" w:cs="Times New Roman"/>
          <w:kern w:val="0"/>
          <w14:ligatures w14:val="none"/>
        </w:rPr>
        <w:t>d</w:t>
      </w:r>
      <w:r w:rsidRPr="007F1987">
        <w:rPr>
          <w:rFonts w:ascii="Times New Roman" w:eastAsia="Times New Roman" w:hAnsi="Times New Roman" w:cs="Times New Roman"/>
          <w:kern w:val="0"/>
          <w14:ligatures w14:val="none"/>
        </w:rPr>
        <w:t xml:space="preserve">egree centrality, betweenness centrality, closeness centrality, PageRank, local clustering coefficient, </w:t>
      </w:r>
      <w:r w:rsidR="00A93304" w:rsidRPr="007F1987">
        <w:rPr>
          <w:rFonts w:ascii="Times New Roman" w:eastAsia="Times New Roman" w:hAnsi="Times New Roman" w:cs="Times New Roman"/>
          <w:kern w:val="0"/>
          <w14:ligatures w14:val="none"/>
        </w:rPr>
        <w:t xml:space="preserve">and </w:t>
      </w:r>
      <w:r w:rsidRPr="007F1987">
        <w:rPr>
          <w:rFonts w:ascii="Times New Roman" w:eastAsia="Times New Roman" w:hAnsi="Times New Roman" w:cs="Times New Roman"/>
          <w:kern w:val="0"/>
          <w14:ligatures w14:val="none"/>
        </w:rPr>
        <w:t xml:space="preserve">initial node embeddings (if used as </w:t>
      </w:r>
      <w:r w:rsidR="000C234F" w:rsidRPr="007F1987">
        <w:rPr>
          <w:rFonts w:ascii="Times New Roman" w:eastAsia="Times New Roman" w:hAnsi="Times New Roman" w:cs="Times New Roman"/>
          <w:kern w:val="0"/>
          <w14:ligatures w14:val="none"/>
        </w:rPr>
        <w:t xml:space="preserve">an </w:t>
      </w:r>
      <w:r w:rsidRPr="007F1987">
        <w:rPr>
          <w:rFonts w:ascii="Times New Roman" w:eastAsia="Times New Roman" w:hAnsi="Times New Roman" w:cs="Times New Roman"/>
          <w:kern w:val="0"/>
          <w14:ligatures w14:val="none"/>
        </w:rPr>
        <w:t>input to TGNN). The node-level analysis will assist regulators with their oversight responsibilities of monitoring the temperature of the financial system and fashioning policy interventions to curtail any systemic risk and identify individual bank vulnerabilities in assessing localized systemic risks.</w:t>
      </w:r>
    </w:p>
    <w:p w14:paraId="7EDCE970" w14:textId="77777777" w:rsidR="000C234F" w:rsidRDefault="000C234F" w:rsidP="007F1987">
      <w:pPr>
        <w:spacing w:after="0" w:line="240" w:lineRule="auto"/>
        <w:jc w:val="both"/>
        <w:rPr>
          <w:rFonts w:ascii="Times New Roman" w:eastAsia="Times New Roman" w:hAnsi="Times New Roman" w:cs="Times New Roman"/>
          <w:kern w:val="0"/>
          <w14:ligatures w14:val="none"/>
        </w:rPr>
      </w:pPr>
    </w:p>
    <w:p w14:paraId="74D38841" w14:textId="77777777" w:rsidR="00586B43" w:rsidRPr="007F1987" w:rsidRDefault="00586B43" w:rsidP="007F1987">
      <w:pPr>
        <w:spacing w:after="0" w:line="240" w:lineRule="auto"/>
        <w:jc w:val="both"/>
        <w:rPr>
          <w:rFonts w:ascii="Times New Roman" w:eastAsia="Times New Roman" w:hAnsi="Times New Roman" w:cs="Times New Roman"/>
          <w:kern w:val="0"/>
          <w14:ligatures w14:val="none"/>
        </w:rPr>
      </w:pPr>
    </w:p>
    <w:tbl>
      <w:tblPr>
        <w:tblStyle w:val="TableGrid"/>
        <w:tblW w:w="0" w:type="auto"/>
        <w:tblLook w:val="04A0" w:firstRow="1" w:lastRow="0" w:firstColumn="1" w:lastColumn="0" w:noHBand="0" w:noVBand="1"/>
      </w:tblPr>
      <w:tblGrid>
        <w:gridCol w:w="2155"/>
        <w:gridCol w:w="7195"/>
      </w:tblGrid>
      <w:tr w:rsidR="003759CA" w:rsidRPr="00586B43" w14:paraId="1DB4E5D9" w14:textId="77777777" w:rsidTr="00586B43">
        <w:tc>
          <w:tcPr>
            <w:tcW w:w="2155" w:type="dxa"/>
          </w:tcPr>
          <w:p w14:paraId="4A763C22" w14:textId="77777777" w:rsidR="003759CA" w:rsidRPr="00586B43" w:rsidRDefault="003759CA" w:rsidP="007F1987">
            <w:pPr>
              <w:rPr>
                <w:rFonts w:ascii="Times New Roman" w:eastAsia="Times New Roman" w:hAnsi="Times New Roman" w:cs="Times New Roman"/>
                <w:b/>
                <w:bCs/>
                <w:kern w:val="0"/>
                <w:sz w:val="22"/>
                <w:szCs w:val="22"/>
                <w14:ligatures w14:val="none"/>
              </w:rPr>
            </w:pPr>
            <w:r w:rsidRPr="00586B43">
              <w:rPr>
                <w:rFonts w:ascii="Times New Roman" w:eastAsia="Times New Roman" w:hAnsi="Times New Roman" w:cs="Times New Roman"/>
                <w:b/>
                <w:bCs/>
                <w:kern w:val="0"/>
                <w:sz w:val="22"/>
                <w:szCs w:val="22"/>
                <w14:ligatures w14:val="none"/>
              </w:rPr>
              <w:t>Metric</w:t>
            </w:r>
          </w:p>
        </w:tc>
        <w:tc>
          <w:tcPr>
            <w:tcW w:w="7195" w:type="dxa"/>
          </w:tcPr>
          <w:p w14:paraId="34EDB13B" w14:textId="746DCD08" w:rsidR="003759CA" w:rsidRPr="00586B43" w:rsidRDefault="003759CA" w:rsidP="007F1987">
            <w:pPr>
              <w:rPr>
                <w:rFonts w:ascii="Times New Roman" w:eastAsia="Times New Roman" w:hAnsi="Times New Roman" w:cs="Times New Roman"/>
                <w:b/>
                <w:bCs/>
                <w:kern w:val="0"/>
                <w:sz w:val="22"/>
                <w:szCs w:val="22"/>
                <w14:ligatures w14:val="none"/>
              </w:rPr>
            </w:pPr>
            <w:r w:rsidRPr="00586B43">
              <w:rPr>
                <w:rFonts w:ascii="Times New Roman" w:eastAsia="Times New Roman" w:hAnsi="Times New Roman" w:cs="Times New Roman"/>
                <w:b/>
                <w:bCs/>
                <w:kern w:val="0"/>
                <w:sz w:val="22"/>
                <w:szCs w:val="22"/>
                <w14:ligatures w14:val="none"/>
              </w:rPr>
              <w:t xml:space="preserve">Description in </w:t>
            </w:r>
            <w:r w:rsidR="0067132C" w:rsidRPr="00586B43">
              <w:rPr>
                <w:rFonts w:ascii="Times New Roman" w:eastAsia="Times New Roman" w:hAnsi="Times New Roman" w:cs="Times New Roman"/>
                <w:b/>
                <w:bCs/>
                <w:kern w:val="0"/>
                <w:sz w:val="22"/>
                <w:szCs w:val="22"/>
                <w14:ligatures w14:val="none"/>
              </w:rPr>
              <w:t>b</w:t>
            </w:r>
            <w:r w:rsidRPr="00586B43">
              <w:rPr>
                <w:rFonts w:ascii="Times New Roman" w:eastAsia="Times New Roman" w:hAnsi="Times New Roman" w:cs="Times New Roman"/>
                <w:b/>
                <w:bCs/>
                <w:kern w:val="0"/>
                <w:sz w:val="22"/>
                <w:szCs w:val="22"/>
                <w14:ligatures w14:val="none"/>
              </w:rPr>
              <w:t>anking</w:t>
            </w:r>
          </w:p>
        </w:tc>
      </w:tr>
      <w:tr w:rsidR="003759CA" w:rsidRPr="00586B43" w14:paraId="30075021" w14:textId="77777777" w:rsidTr="00586B43">
        <w:tc>
          <w:tcPr>
            <w:tcW w:w="2155" w:type="dxa"/>
          </w:tcPr>
          <w:p w14:paraId="3FE27F43" w14:textId="335F9A20"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Degree </w:t>
            </w:r>
            <w:r w:rsidR="000C234F"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entrality</w:t>
            </w:r>
          </w:p>
          <w:p w14:paraId="6F39077A" w14:textId="77777777" w:rsidR="003759CA" w:rsidRPr="00586B43" w:rsidRDefault="003759CA" w:rsidP="007F1987">
            <w:pPr>
              <w:rPr>
                <w:rFonts w:ascii="Times New Roman" w:eastAsia="Times New Roman" w:hAnsi="Times New Roman" w:cs="Times New Roman"/>
                <w:kern w:val="0"/>
                <w:sz w:val="22"/>
                <w:szCs w:val="22"/>
                <w14:ligatures w14:val="none"/>
              </w:rPr>
            </w:pPr>
          </w:p>
          <w:p w14:paraId="79E0C0DD" w14:textId="77777777" w:rsidR="003759CA" w:rsidRPr="00586B43" w:rsidRDefault="003759CA" w:rsidP="007F1987">
            <w:pPr>
              <w:rPr>
                <w:rFonts w:ascii="Times New Roman" w:eastAsia="Times New Roman" w:hAnsi="Times New Roman" w:cs="Times New Roman"/>
                <w:kern w:val="0"/>
                <w:sz w:val="22"/>
                <w:szCs w:val="22"/>
                <w14:ligatures w14:val="none"/>
              </w:rPr>
            </w:pPr>
          </w:p>
        </w:tc>
        <w:tc>
          <w:tcPr>
            <w:tcW w:w="7195" w:type="dxa"/>
          </w:tcPr>
          <w:p w14:paraId="3E53CDB4" w14:textId="75A89EF4"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Measures how many direct lending/borrowing relationships a bank has in the interbank network. This topology is used in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{"citationID":"IRQ9rcAC","properties":{"formattedCitation":"(Cont, Moussa, and Santos 2013)","plainCitation":"(Cont, Moussa, and Santos 2013)","noteIndex":0},"citationItems":[{"id":662,"uris":["http://zotero.org/users/local/uS7NtXr0/items/8UYJ37TE"],"itemData":{"id":662,"type":"article-journal","container-title":"Handbook on systemic risk","note":"publisher: Cambridge University Press Cambridge, UK","source":"Google Scholar","title":"Network structure and systemic risk in banking systems","URL":"https://books.google.com/books?hl=en&amp;lr=&amp;id=idpLcmugvdMC&amp;oi=fnd&amp;pg=PA327&amp;dq=Network+Structure+and+Systemic+Risk+in+Banking+Systems&amp;ots=H59KMK0_t8&amp;sig=T6VugR2R2aUhtqfFCbHxmIW_ixc","volume":"5","author":[{"family":"Cont","given":"Rama"},{"family":"Moussa","given":"Amal"},{"family":"Santos","given":"Edson B."}],"accessed":{"date-parts":[["2025",7,4]]},"issued":{"date-parts":[["2013"]]}}}],"schema":"https://github.com/citation-style-language/schema/raw/master/csl-citation.json"}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 xml:space="preserve">Cont, Moussa, and Santos </w:t>
            </w:r>
            <w:r w:rsidR="000C234F" w:rsidRPr="00586B43">
              <w:rPr>
                <w:rFonts w:ascii="Times New Roman" w:hAnsi="Times New Roman" w:cs="Times New Roman"/>
                <w:sz w:val="22"/>
                <w:szCs w:val="22"/>
              </w:rPr>
              <w:t>(</w:t>
            </w:r>
            <w:r w:rsidRPr="00586B43">
              <w:rPr>
                <w:rFonts w:ascii="Times New Roman" w:hAnsi="Times New Roman" w:cs="Times New Roman"/>
                <w:sz w:val="22"/>
                <w:szCs w:val="22"/>
              </w:rPr>
              <w:t>2013)</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which explores how this network topology plays a role in shock propagation.</w:t>
            </w:r>
          </w:p>
        </w:tc>
      </w:tr>
      <w:tr w:rsidR="003759CA" w:rsidRPr="00586B43" w14:paraId="4B81070E" w14:textId="77777777" w:rsidTr="00586B43">
        <w:tc>
          <w:tcPr>
            <w:tcW w:w="2155" w:type="dxa"/>
          </w:tcPr>
          <w:p w14:paraId="2399BE62" w14:textId="60E6F4F8"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Betweenness </w:t>
            </w:r>
            <w:r w:rsidR="000C234F"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entrality</w:t>
            </w:r>
          </w:p>
          <w:p w14:paraId="5C297883" w14:textId="77777777" w:rsidR="003759CA" w:rsidRPr="00586B43" w:rsidRDefault="003759CA" w:rsidP="007F1987">
            <w:pPr>
              <w:rPr>
                <w:rFonts w:ascii="Times New Roman" w:eastAsia="Times New Roman" w:hAnsi="Times New Roman" w:cs="Times New Roman"/>
                <w:kern w:val="0"/>
                <w:sz w:val="22"/>
                <w:szCs w:val="22"/>
                <w14:ligatures w14:val="none"/>
              </w:rPr>
            </w:pPr>
          </w:p>
        </w:tc>
        <w:tc>
          <w:tcPr>
            <w:tcW w:w="7195" w:type="dxa"/>
          </w:tcPr>
          <w:p w14:paraId="3E011B4C"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Measures how often a bank acts as a bridge in interbank transactions or payment flows. A high level of this topology indicates a potential channel or a stymie to liquidity flow, which is important in systemic risk analysis. In the literature,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{"citationID":"ixglVIoj","properties":{"formattedCitation":"(Soram\\uc0\\u228{}ki et al. 2007)","plainCitation":"(Soramäki et al. 2007)","dontUpdate":true,"noteIndex":0},"citationItems":[{"id":666,"uris":["http://zotero.org/users/local/uS7NtXr0/items/E54ZR4SH"],"itemData":{"id":666,"type":"article-journal","abstract":"We explore the network topology of the interbank payments transferred between commercial banks over the Fedwire® Funds Service. We find that the network has both a low average path length and low connectivity. The network includes a tightly connected core of banks to which most other banks connect. The degree distribution is scale free over a substantial range. We find that the properties of the network changed considerably in the immediate aftermath of the events of September 11, 2001.","container-title":"Physica A: Statistical Mechanics and its Applications","DOI":"10.1016/j.physa.2006.11.093","ISSN":"0378-4371","issue":"1","journalAbbreviation":"Physica A: Statistical Mechanics and its Applications","page":"317-333","source":"ScienceDirect","title":"The topology of interbank payment flows","volume":"379","author":[{"family":"Soramäki","given":"Kimmo"},{"family":"Bech","given":"Morten L."},{"family":"Arnold","given":"Jeffrey"},{"family":"Glass","given":"Robert J."},{"family":"Beyeler","given":"Walter E."}],"issued":{"date-parts":[["2007",6,1]]}}}],"schema":"https://github.com/citation-style-language/schema/raw/master/csl-citation.json"}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kern w:val="0"/>
                <w:sz w:val="22"/>
                <w:szCs w:val="22"/>
              </w:rPr>
              <w:t>Soramäki et al. (2007)</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find that this network topology has a low average path length and low connectivity.</w:t>
            </w:r>
          </w:p>
        </w:tc>
      </w:tr>
      <w:tr w:rsidR="003759CA" w:rsidRPr="00586B43" w14:paraId="63552B04" w14:textId="77777777" w:rsidTr="00586B43">
        <w:tc>
          <w:tcPr>
            <w:tcW w:w="2155" w:type="dxa"/>
          </w:tcPr>
          <w:p w14:paraId="2FF872C3" w14:textId="1750B187"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Closeness </w:t>
            </w:r>
            <w:r w:rsidR="00A32CD2"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entrality</w:t>
            </w:r>
          </w:p>
          <w:p w14:paraId="69577209" w14:textId="77777777" w:rsidR="003759CA" w:rsidRPr="00586B43" w:rsidRDefault="003759CA" w:rsidP="007F1987">
            <w:pPr>
              <w:rPr>
                <w:rFonts w:ascii="Times New Roman" w:eastAsia="Times New Roman" w:hAnsi="Times New Roman" w:cs="Times New Roman"/>
                <w:kern w:val="0"/>
                <w:sz w:val="22"/>
                <w:szCs w:val="22"/>
                <w14:ligatures w14:val="none"/>
              </w:rPr>
            </w:pPr>
          </w:p>
        </w:tc>
        <w:tc>
          <w:tcPr>
            <w:tcW w:w="7195" w:type="dxa"/>
          </w:tcPr>
          <w:p w14:paraId="5ABEC33F"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Measures how quickly a bank can reach all other banks through interbank connections. High closeness indicates efficient access to liquidity and information within the network. According to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{"citationID":"0NTmyJ9t","properties":{"formattedCitation":"(Minoiu and Reyes 2013)","plainCitation":"(Minoiu and Reyes 2013)","dontUpdate":true,"noteIndex":0},"citationItems":[{"id":669,"uris":["http://zotero.org/users/local/uS7NtXr0/items/3AX5W32P"],"itemData":{"id":669,"type":"article-journal","abstract":"We analyze the global banking network using data on cross-border banking flows for 184 countries during 1978–2010. We find that the density of the global banking network defined by these flows is pro-cyclical, expanding and contracting with the global cycle of capital flows. We also find that country connectedness in the network tends to rise before banking and debt crises and to fall in their aftermath. Despite a historically unique build-up in aggregate flows prior to the global financial crisis, network density in 2007 was comparable to earlier peaks. This suggests that factors other than connectedness, such as the location of the initial shock to the core of the network, have contributed to the severity of the crisis. The global financial crisis stands out as an unusually large perturbation to the global banking network, with indicators of network density in 2008 reaching all-time lows.","container-title":"Journal of Financial Stability","DOI":"10.1016/j.jfs.2013.03.001","ISSN":"1572-3089","issue":"2","journalAbbreviation":"Journal of Financial Stability","page":"168-184","source":"ScienceDirect","title":"A network analysis of global banking: 1978–2010","title-short":"A network analysis of global banking","volume":"9","author":[{"family":"Minoiu","given":"Camelia"},{"family":"Reyes","given":"Javier A."}],"issued":{"date-parts":[["2013",6,1]]}}}],"schema":"https://github.com/citation-style-language/schema/raw/master/csl-citation.json"}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Minoiu and Reyes (2013)</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financial connectedness expands and contracts with the cycle of global capital flow. It emphasizes that the 2008-2009 global financial crisis is the </w:t>
            </w:r>
            <w:proofErr w:type="gramStart"/>
            <w:r w:rsidRPr="00586B43">
              <w:rPr>
                <w:rFonts w:ascii="Times New Roman" w:eastAsia="Times New Roman" w:hAnsi="Times New Roman" w:cs="Times New Roman"/>
                <w:kern w:val="0"/>
                <w:sz w:val="22"/>
                <w:szCs w:val="22"/>
                <w14:ligatures w14:val="none"/>
              </w:rPr>
              <w:t>largest unusual</w:t>
            </w:r>
            <w:proofErr w:type="gramEnd"/>
            <w:r w:rsidRPr="00586B43">
              <w:rPr>
                <w:rFonts w:ascii="Times New Roman" w:eastAsia="Times New Roman" w:hAnsi="Times New Roman" w:cs="Times New Roman"/>
                <w:kern w:val="0"/>
                <w:sz w:val="22"/>
                <w:szCs w:val="22"/>
                <w14:ligatures w14:val="none"/>
              </w:rPr>
              <w:t xml:space="preserve"> perturbation to the global banking network.</w:t>
            </w:r>
          </w:p>
        </w:tc>
      </w:tr>
      <w:tr w:rsidR="003759CA" w:rsidRPr="00586B43" w14:paraId="338EFF4E" w14:textId="77777777" w:rsidTr="00586B43">
        <w:tc>
          <w:tcPr>
            <w:tcW w:w="2155" w:type="dxa"/>
          </w:tcPr>
          <w:p w14:paraId="55601E34" w14:textId="77777777"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PageRank</w:t>
            </w:r>
          </w:p>
          <w:p w14:paraId="6373A45A" w14:textId="77777777" w:rsidR="003759CA" w:rsidRPr="00586B43" w:rsidRDefault="003759CA" w:rsidP="007F1987">
            <w:pPr>
              <w:rPr>
                <w:rFonts w:ascii="Times New Roman" w:eastAsia="Times New Roman" w:hAnsi="Times New Roman" w:cs="Times New Roman"/>
                <w:kern w:val="0"/>
                <w:sz w:val="22"/>
                <w:szCs w:val="22"/>
                <w14:ligatures w14:val="none"/>
              </w:rPr>
            </w:pPr>
          </w:p>
        </w:tc>
        <w:tc>
          <w:tcPr>
            <w:tcW w:w="7195" w:type="dxa"/>
          </w:tcPr>
          <w:p w14:paraId="66750D60" w14:textId="1218553A"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Measures the importance of a bank in the network, accounting for the quality of counterparties. It indicates key providers of liquidity or vulnerable nodes that go beyond the simple degree.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{"citationID":"9YovKpJr","properties":{"formattedCitation":"(Battiston et al. 2012)","plainCitation":"(Battiston et al. 2012)","dontUpdate":true,"noteIndex":0},"citationItems":[{"id":637,"uris":["http://zotero.org/users/local/uS7NtXr0/items/HIRWJWSA"],"itemData":{"id":637,"type":"article-journal","container-title":"Scientific reports","issue":"1","note":"publisher: Nature Publishing Group UK London","page":"541","source":"Google Scholar","title":"Debtrank: Too central to fail? financial networks, the fed and systemic risk","title-short":"Debtrank","volume":"2","author":[{"family":"Battiston","given":"Stefano"},{"family":"Puliga","given":"Michelangelo"},{"family":"Kaushik","given":"Rahul"},{"family":"Tasca","given":"Paolo"},{"family":"Caldarelli","given":"Guido"}],"issued":{"date-parts":[["2012"]]}}}],"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Battiston et al.</w:t>
            </w:r>
            <w:r w:rsidR="00A32CD2" w:rsidRPr="00586B43">
              <w:rPr>
                <w:rFonts w:ascii="Times New Roman" w:hAnsi="Times New Roman" w:cs="Times New Roman"/>
                <w:sz w:val="22"/>
                <w:szCs w:val="22"/>
              </w:rPr>
              <w:t xml:space="preserve"> </w:t>
            </w:r>
            <w:r w:rsidRPr="00586B43">
              <w:rPr>
                <w:rFonts w:ascii="Times New Roman" w:hAnsi="Times New Roman" w:cs="Times New Roman"/>
                <w:sz w:val="22"/>
                <w:szCs w:val="22"/>
              </w:rPr>
              <w:t>(2012)</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introduce </w:t>
            </w:r>
            <w:r w:rsidR="00A32CD2" w:rsidRPr="00586B43">
              <w:rPr>
                <w:rFonts w:ascii="Times New Roman" w:eastAsia="Times New Roman" w:hAnsi="Times New Roman" w:cs="Times New Roman"/>
                <w:kern w:val="0"/>
                <w:sz w:val="22"/>
                <w:szCs w:val="22"/>
                <w14:ligatures w14:val="none"/>
              </w:rPr>
              <w:t>d</w:t>
            </w:r>
            <w:r w:rsidRPr="00586B43">
              <w:rPr>
                <w:rFonts w:ascii="Times New Roman" w:eastAsia="Times New Roman" w:hAnsi="Times New Roman" w:cs="Times New Roman"/>
                <w:kern w:val="0"/>
                <w:sz w:val="22"/>
                <w:szCs w:val="22"/>
                <w14:ligatures w14:val="none"/>
              </w:rPr>
              <w:t xml:space="preserve">ebt </w:t>
            </w:r>
            <w:r w:rsidR="00A32CD2" w:rsidRPr="00586B43">
              <w:rPr>
                <w:rFonts w:ascii="Times New Roman" w:eastAsia="Times New Roman" w:hAnsi="Times New Roman" w:cs="Times New Roman"/>
                <w:kern w:val="0"/>
                <w:sz w:val="22"/>
                <w:szCs w:val="22"/>
                <w14:ligatures w14:val="none"/>
              </w:rPr>
              <w:t>r</w:t>
            </w:r>
            <w:r w:rsidRPr="00586B43">
              <w:rPr>
                <w:rFonts w:ascii="Times New Roman" w:eastAsia="Times New Roman" w:hAnsi="Times New Roman" w:cs="Times New Roman"/>
                <w:kern w:val="0"/>
                <w:sz w:val="22"/>
                <w:szCs w:val="22"/>
                <w14:ligatures w14:val="none"/>
              </w:rPr>
              <w:t>ank as a new measure of systemic impact motivated by the feedback-centrality. They find that banks (22) that received the FED emergency loans formed a strongly connected graph where each node became systemically important at the height of the global financial crisis.</w:t>
            </w:r>
          </w:p>
        </w:tc>
      </w:tr>
      <w:tr w:rsidR="003759CA" w:rsidRPr="00586B43" w14:paraId="47B33955" w14:textId="77777777" w:rsidTr="00586B43">
        <w:tc>
          <w:tcPr>
            <w:tcW w:w="2155" w:type="dxa"/>
          </w:tcPr>
          <w:p w14:paraId="0FE52E9A" w14:textId="34EE654B"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Local </w:t>
            </w:r>
            <w:r w:rsidR="00A32CD2"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 xml:space="preserve">lustering </w:t>
            </w:r>
            <w:r w:rsidR="00A32CD2"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oefficient</w:t>
            </w:r>
          </w:p>
          <w:p w14:paraId="6639868F" w14:textId="77777777" w:rsidR="003759CA" w:rsidRPr="00586B43" w:rsidRDefault="003759CA" w:rsidP="007F1987">
            <w:pPr>
              <w:rPr>
                <w:rFonts w:ascii="Times New Roman" w:eastAsia="Times New Roman" w:hAnsi="Times New Roman" w:cs="Times New Roman"/>
                <w:kern w:val="0"/>
                <w:sz w:val="22"/>
                <w:szCs w:val="22"/>
                <w14:ligatures w14:val="none"/>
              </w:rPr>
            </w:pPr>
          </w:p>
        </w:tc>
        <w:tc>
          <w:tcPr>
            <w:tcW w:w="7195" w:type="dxa"/>
          </w:tcPr>
          <w:p w14:paraId="47EC1A21"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Measures the tendency of a bank’s counterparties to also trade among themselves. High clustering indicates a localized liquidity pool or risk of </w:t>
            </w:r>
            <w:r w:rsidRPr="00586B43">
              <w:rPr>
                <w:rFonts w:ascii="Times New Roman" w:eastAsia="Times New Roman" w:hAnsi="Times New Roman" w:cs="Times New Roman"/>
                <w:kern w:val="0"/>
                <w:sz w:val="22"/>
                <w:szCs w:val="22"/>
                <w14:ligatures w14:val="none"/>
              </w:rPr>
              <w:lastRenderedPageBreak/>
              <w:t xml:space="preserve">concentration.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{"citationID":"dnMZIQa4","properties":{"formattedCitation":"(Iori et al. 2008)","plainCitation":"(Iori et al. 2008)","dontUpdate":true,"noteIndex":0},"citationItems":[{"id":674,"uris":["http://zotero.org/users/local/uS7NtXr0/items/8NQAJGX3"],"itemData":{"id":674,"type":"article-journal","abstract":"The objective of this paper is to analyse the network topology of the Italian segment of the European overnight money market through methods of statistical mechanics applied to complex networks. We investigate differences in the activities of banks of different sizes and the evolution of their connectivity structure over the maintenance period. The main purpose of the analysis is to establish the potential implications of the current institutional arrangements on the stability of the banking system and to assess the efficiency of the interbank market in terms of absence of speculative and preferential trading relationships.","collection-title":"Applications of statistical physics in economics and finance","container-title":"Journal of Economic Dynamics and Control","DOI":"10.1016/j.jedc.2007.01.032","ISSN":"0165-1889","issue":"1","journalAbbreviation":"Journal of Economic Dynamics and Control","page":"259-278","source":"ScienceDirect","title":"A network analysis of the Italian overnight money market","volume":"32","author":[{"family":"Iori","given":"Giulia"},{"family":"De Masi","given":"Giulia"},{"family":"Precup","given":"Ovidiu Vasile"},{"family":"Gabbi","given":"Giampaolo"},{"family":"Caldarelli","given":"Guido"}],"issued":{"date-parts":[["2008",1,1]]}}}],"schema":"https://github.com/citation-style-language/schema/raw/master/csl-citation.json"}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Iori et al. (2008)</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studied network topology, such as clustering coefficients and centrality, on the Italian overnight interbank market.</w:t>
            </w:r>
          </w:p>
        </w:tc>
      </w:tr>
    </w:tbl>
    <w:p w14:paraId="520C2469" w14:textId="1D8695F9" w:rsidR="003759CA" w:rsidRDefault="003759CA" w:rsidP="007F1987">
      <w:pPr>
        <w:spacing w:after="0" w:line="240" w:lineRule="auto"/>
        <w:jc w:val="both"/>
        <w:rPr>
          <w:rFonts w:ascii="Times New Roman" w:eastAsia="Times New Roman" w:hAnsi="Times New Roman" w:cs="Times New Roman"/>
          <w:kern w:val="0"/>
          <w14:ligatures w14:val="none"/>
        </w:rPr>
      </w:pPr>
      <w:r w:rsidRPr="00586B43">
        <w:rPr>
          <w:rFonts w:ascii="Times New Roman" w:eastAsia="Times New Roman" w:hAnsi="Times New Roman" w:cs="Times New Roman"/>
          <w:b/>
          <w:bCs/>
          <w:kern w:val="0"/>
          <w14:ligatures w14:val="none"/>
        </w:rPr>
        <w:lastRenderedPageBreak/>
        <w:t>Community</w:t>
      </w:r>
      <w:r w:rsidR="00586B43">
        <w:rPr>
          <w:rFonts w:ascii="Times New Roman" w:eastAsia="Times New Roman" w:hAnsi="Times New Roman" w:cs="Times New Roman"/>
          <w:b/>
          <w:bCs/>
          <w:kern w:val="0"/>
          <w14:ligatures w14:val="none"/>
        </w:rPr>
        <w:t xml:space="preserve"> </w:t>
      </w:r>
      <w:r w:rsidR="0067132C" w:rsidRPr="00586B43">
        <w:rPr>
          <w:rFonts w:ascii="Times New Roman" w:eastAsia="Times New Roman" w:hAnsi="Times New Roman" w:cs="Times New Roman"/>
          <w:b/>
          <w:bCs/>
          <w:kern w:val="0"/>
          <w14:ligatures w14:val="none"/>
        </w:rPr>
        <w:t>l</w:t>
      </w:r>
      <w:r w:rsidRPr="00586B43">
        <w:rPr>
          <w:rFonts w:ascii="Times New Roman" w:eastAsia="Times New Roman" w:hAnsi="Times New Roman" w:cs="Times New Roman"/>
          <w:b/>
          <w:bCs/>
          <w:kern w:val="0"/>
          <w14:ligatures w14:val="none"/>
        </w:rPr>
        <w:t>evel:</w:t>
      </w:r>
      <w:r w:rsidRPr="007F1987">
        <w:rPr>
          <w:rFonts w:ascii="Times New Roman" w:eastAsia="Times New Roman" w:hAnsi="Times New Roman" w:cs="Times New Roman"/>
          <w:kern w:val="0"/>
          <w14:ligatures w14:val="none"/>
        </w:rPr>
        <w:t xml:space="preserve"> Detection algorithm (e.g., Louvain), number of communities, average community size, </w:t>
      </w:r>
      <w:r w:rsidR="0067132C" w:rsidRPr="007F1987">
        <w:rPr>
          <w:rFonts w:ascii="Times New Roman" w:eastAsia="Times New Roman" w:hAnsi="Times New Roman" w:cs="Times New Roman"/>
          <w:kern w:val="0"/>
          <w14:ligatures w14:val="none"/>
        </w:rPr>
        <w:t xml:space="preserve">and </w:t>
      </w:r>
      <w:r w:rsidRPr="007F1987">
        <w:rPr>
          <w:rFonts w:ascii="Times New Roman" w:eastAsia="Times New Roman" w:hAnsi="Times New Roman" w:cs="Times New Roman"/>
          <w:kern w:val="0"/>
          <w14:ligatures w14:val="none"/>
        </w:rPr>
        <w:t>distribution of community sizes. This level of analysis provides insights into how regulators identify troubled banks for interventions and prevent systemic risk. Similarly, it facilitates policy design and interventions tailored to specific banking community structures, enhancing financial stability.</w:t>
      </w:r>
    </w:p>
    <w:p w14:paraId="741D3C0E" w14:textId="77777777" w:rsidR="00586B43" w:rsidRPr="007F1987" w:rsidRDefault="00586B43" w:rsidP="007F1987">
      <w:pPr>
        <w:spacing w:after="0" w:line="240" w:lineRule="auto"/>
        <w:jc w:val="both"/>
        <w:rPr>
          <w:rFonts w:ascii="Times New Roman" w:eastAsia="Times New Roman" w:hAnsi="Times New Roman" w:cs="Times New Roman"/>
          <w:kern w:val="0"/>
          <w14:ligatures w14:val="none"/>
        </w:rPr>
      </w:pPr>
    </w:p>
    <w:p w14:paraId="4863E6BA" w14:textId="77777777" w:rsidR="0067132C" w:rsidRPr="007F1987" w:rsidRDefault="0067132C" w:rsidP="007F1987">
      <w:pPr>
        <w:spacing w:after="0" w:line="240" w:lineRule="auto"/>
        <w:rPr>
          <w:rFonts w:ascii="Times New Roman" w:eastAsia="Times New Roman" w:hAnsi="Times New Roman" w:cs="Times New Roman"/>
          <w:kern w:val="0"/>
          <w14:ligatures w14:val="none"/>
        </w:rPr>
      </w:pPr>
    </w:p>
    <w:tbl>
      <w:tblPr>
        <w:tblStyle w:val="TableGrid"/>
        <w:tblW w:w="9355" w:type="dxa"/>
        <w:tblLook w:val="04A0" w:firstRow="1" w:lastRow="0" w:firstColumn="1" w:lastColumn="0" w:noHBand="0" w:noVBand="1"/>
      </w:tblPr>
      <w:tblGrid>
        <w:gridCol w:w="2155"/>
        <w:gridCol w:w="7200"/>
      </w:tblGrid>
      <w:tr w:rsidR="003759CA" w:rsidRPr="00586B43" w14:paraId="7AAF066B" w14:textId="77777777" w:rsidTr="00586B43">
        <w:trPr>
          <w:trHeight w:val="20"/>
        </w:trPr>
        <w:tc>
          <w:tcPr>
            <w:tcW w:w="2155" w:type="dxa"/>
          </w:tcPr>
          <w:p w14:paraId="36DDAAE2" w14:textId="6DB72B2B" w:rsidR="003759CA" w:rsidRPr="00586B43" w:rsidRDefault="003759CA" w:rsidP="007F1987">
            <w:pPr>
              <w:rPr>
                <w:rFonts w:ascii="Times New Roman" w:eastAsia="Times New Roman" w:hAnsi="Times New Roman" w:cs="Times New Roman"/>
                <w:b/>
                <w:bCs/>
                <w:kern w:val="0"/>
                <w:sz w:val="22"/>
                <w:szCs w:val="22"/>
                <w14:ligatures w14:val="none"/>
              </w:rPr>
            </w:pPr>
            <w:r w:rsidRPr="00586B43">
              <w:rPr>
                <w:rFonts w:ascii="Times New Roman" w:eastAsia="Times New Roman" w:hAnsi="Times New Roman" w:cs="Times New Roman"/>
                <w:b/>
                <w:bCs/>
                <w:kern w:val="0"/>
                <w:sz w:val="22"/>
                <w:szCs w:val="22"/>
                <w14:ligatures w14:val="none"/>
              </w:rPr>
              <w:t xml:space="preserve">Community </w:t>
            </w:r>
            <w:r w:rsidR="0067132C" w:rsidRPr="00586B43">
              <w:rPr>
                <w:rFonts w:ascii="Times New Roman" w:eastAsia="Times New Roman" w:hAnsi="Times New Roman" w:cs="Times New Roman"/>
                <w:b/>
                <w:bCs/>
                <w:kern w:val="0"/>
                <w:sz w:val="22"/>
                <w:szCs w:val="22"/>
                <w14:ligatures w14:val="none"/>
              </w:rPr>
              <w:t>m</w:t>
            </w:r>
            <w:r w:rsidRPr="00586B43">
              <w:rPr>
                <w:rFonts w:ascii="Times New Roman" w:eastAsia="Times New Roman" w:hAnsi="Times New Roman" w:cs="Times New Roman"/>
                <w:b/>
                <w:bCs/>
                <w:kern w:val="0"/>
                <w:sz w:val="22"/>
                <w:szCs w:val="22"/>
                <w14:ligatures w14:val="none"/>
              </w:rPr>
              <w:t>etric</w:t>
            </w:r>
          </w:p>
        </w:tc>
        <w:tc>
          <w:tcPr>
            <w:tcW w:w="7200" w:type="dxa"/>
          </w:tcPr>
          <w:p w14:paraId="70F178AA" w14:textId="26FFEFDB" w:rsidR="003759CA" w:rsidRPr="00586B43" w:rsidRDefault="003759CA" w:rsidP="007F1987">
            <w:pPr>
              <w:rPr>
                <w:rFonts w:ascii="Times New Roman" w:eastAsia="Times New Roman" w:hAnsi="Times New Roman" w:cs="Times New Roman"/>
                <w:b/>
                <w:bCs/>
                <w:kern w:val="0"/>
                <w:sz w:val="22"/>
                <w:szCs w:val="22"/>
                <w14:ligatures w14:val="none"/>
              </w:rPr>
            </w:pPr>
            <w:r w:rsidRPr="00586B43">
              <w:rPr>
                <w:rFonts w:ascii="Times New Roman" w:eastAsia="Times New Roman" w:hAnsi="Times New Roman" w:cs="Times New Roman"/>
                <w:b/>
                <w:bCs/>
                <w:kern w:val="0"/>
                <w:sz w:val="22"/>
                <w:szCs w:val="22"/>
                <w14:ligatures w14:val="none"/>
              </w:rPr>
              <w:t xml:space="preserve">Explanation and </w:t>
            </w:r>
            <w:r w:rsidR="0067132C" w:rsidRPr="00586B43">
              <w:rPr>
                <w:rFonts w:ascii="Times New Roman" w:eastAsia="Times New Roman" w:hAnsi="Times New Roman" w:cs="Times New Roman"/>
                <w:b/>
                <w:bCs/>
                <w:kern w:val="0"/>
                <w:sz w:val="22"/>
                <w:szCs w:val="22"/>
                <w14:ligatures w14:val="none"/>
              </w:rPr>
              <w:t>l</w:t>
            </w:r>
            <w:r w:rsidRPr="00586B43">
              <w:rPr>
                <w:rFonts w:ascii="Times New Roman" w:eastAsia="Times New Roman" w:hAnsi="Times New Roman" w:cs="Times New Roman"/>
                <w:b/>
                <w:bCs/>
                <w:kern w:val="0"/>
                <w:sz w:val="22"/>
                <w:szCs w:val="22"/>
                <w14:ligatures w14:val="none"/>
              </w:rPr>
              <w:t>iterature</w:t>
            </w:r>
          </w:p>
        </w:tc>
      </w:tr>
      <w:tr w:rsidR="003759CA" w:rsidRPr="00586B43" w14:paraId="49C3CFF1" w14:textId="77777777" w:rsidTr="00586B43">
        <w:trPr>
          <w:trHeight w:val="20"/>
        </w:trPr>
        <w:tc>
          <w:tcPr>
            <w:tcW w:w="2155" w:type="dxa"/>
          </w:tcPr>
          <w:p w14:paraId="27963008" w14:textId="43A1794D"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Community </w:t>
            </w:r>
            <w:r w:rsidR="0067132C" w:rsidRPr="00586B43">
              <w:rPr>
                <w:rFonts w:ascii="Times New Roman" w:eastAsia="Times New Roman" w:hAnsi="Times New Roman" w:cs="Times New Roman"/>
                <w:kern w:val="0"/>
                <w:sz w:val="22"/>
                <w:szCs w:val="22"/>
                <w14:ligatures w14:val="none"/>
              </w:rPr>
              <w:t>d</w:t>
            </w:r>
            <w:r w:rsidRPr="00586B43">
              <w:rPr>
                <w:rFonts w:ascii="Times New Roman" w:eastAsia="Times New Roman" w:hAnsi="Times New Roman" w:cs="Times New Roman"/>
                <w:kern w:val="0"/>
                <w:sz w:val="22"/>
                <w:szCs w:val="22"/>
                <w14:ligatures w14:val="none"/>
              </w:rPr>
              <w:t>etection</w:t>
            </w:r>
          </w:p>
        </w:tc>
        <w:tc>
          <w:tcPr>
            <w:tcW w:w="7200" w:type="dxa"/>
          </w:tcPr>
          <w:p w14:paraId="47BD71CE"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It efficiently identifies communities within large networks and optimizes modularity, a measure that quantifies the density of connections within communities compared to connections between communities.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{"citationID":"kJEMRz9j","properties":{"formattedCitation":"(Battiston et al. 2012)","plainCitation":"(Battiston et al. 2012)","dontUpdate":true,"noteIndex":0},"citationItems":[{"id":637,"uris":["http://zotero.org/users/local/uS7NtXr0/items/HIRWJWSA"],"itemData":{"id":637,"type":"article-journal","container-title":"Scientific reports","issue":"1","note":"publisher: Nature Publishing Group UK London","page":"541","source":"Google Scholar","title":"Debtrank: Too central to fail? financial networks, the fed and systemic risk","title-short":"Debtrank","volume":"2","author":[{"family":"Battiston","given":"Stefano"},{"family":"Puliga","given":"Michelangelo"},{"family":"Kaushik","given":"Rahul"},{"family":"Tasca","given":"Paolo"},{"family":"Caldarelli","given":"Guido"}],"issued":{"date-parts":[["2012"]]}}}],"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Battiston et al. (2012)</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used the </w:t>
            </w:r>
            <w:proofErr w:type="spellStart"/>
            <w:r w:rsidRPr="00586B43">
              <w:rPr>
                <w:rFonts w:ascii="Times New Roman" w:eastAsia="Times New Roman" w:hAnsi="Times New Roman" w:cs="Times New Roman"/>
                <w:kern w:val="0"/>
                <w:sz w:val="22"/>
                <w:szCs w:val="22"/>
                <w14:ligatures w14:val="none"/>
              </w:rPr>
              <w:t>Louvian</w:t>
            </w:r>
            <w:proofErr w:type="spellEnd"/>
            <w:r w:rsidRPr="00586B43">
              <w:rPr>
                <w:rFonts w:ascii="Times New Roman" w:eastAsia="Times New Roman" w:hAnsi="Times New Roman" w:cs="Times New Roman"/>
                <w:kern w:val="0"/>
                <w:sz w:val="22"/>
                <w:szCs w:val="22"/>
                <w14:ligatures w14:val="none"/>
              </w:rPr>
              <w:t xml:space="preserve"> algorithm on the interbank network to uncover community structures that show systemic vulnerabilities. They also identify a cluster of financial institutions with similar risk profiles, which assist regulators in detecting potential contagion pathways.</w:t>
            </w:r>
          </w:p>
        </w:tc>
      </w:tr>
      <w:tr w:rsidR="003759CA" w:rsidRPr="00586B43" w14:paraId="6DEA4D3A" w14:textId="77777777" w:rsidTr="00586B43">
        <w:trPr>
          <w:trHeight w:val="20"/>
        </w:trPr>
        <w:tc>
          <w:tcPr>
            <w:tcW w:w="2155" w:type="dxa"/>
          </w:tcPr>
          <w:p w14:paraId="2A3D25BA" w14:textId="24B76986"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Number of </w:t>
            </w:r>
            <w:r w:rsidR="0067132C"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ommunities</w:t>
            </w:r>
          </w:p>
        </w:tc>
        <w:tc>
          <w:tcPr>
            <w:tcW w:w="7200" w:type="dxa"/>
          </w:tcPr>
          <w:p w14:paraId="06DD2BE9"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It refers to the total clusters in a community network structure, providing insights into the network's fragmentation and integration, showing organizational patterns and interdependence among the nodes. Empirical support for this community structure is the work of Craig and von Peter (2014), who provide evidence of a tiered structure in the interbank market of the German banking system.</w:t>
            </w:r>
          </w:p>
        </w:tc>
      </w:tr>
      <w:tr w:rsidR="003759CA" w:rsidRPr="00586B43" w14:paraId="1527E0AD" w14:textId="77777777" w:rsidTr="00586B43">
        <w:trPr>
          <w:trHeight w:val="20"/>
        </w:trPr>
        <w:tc>
          <w:tcPr>
            <w:tcW w:w="2155" w:type="dxa"/>
          </w:tcPr>
          <w:p w14:paraId="50A1A421" w14:textId="68E115CD"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Average </w:t>
            </w:r>
            <w:r w:rsidR="0067132C"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 xml:space="preserve">ommunity </w:t>
            </w:r>
            <w:r w:rsidR="0067132C" w:rsidRPr="00586B43">
              <w:rPr>
                <w:rFonts w:ascii="Times New Roman" w:eastAsia="Times New Roman" w:hAnsi="Times New Roman" w:cs="Times New Roman"/>
                <w:kern w:val="0"/>
                <w:sz w:val="22"/>
                <w:szCs w:val="22"/>
                <w14:ligatures w14:val="none"/>
              </w:rPr>
              <w:t>s</w:t>
            </w:r>
            <w:r w:rsidRPr="00586B43">
              <w:rPr>
                <w:rFonts w:ascii="Times New Roman" w:eastAsia="Times New Roman" w:hAnsi="Times New Roman" w:cs="Times New Roman"/>
                <w:kern w:val="0"/>
                <w:sz w:val="22"/>
                <w:szCs w:val="22"/>
                <w14:ligatures w14:val="none"/>
              </w:rPr>
              <w:t>ize</w:t>
            </w:r>
          </w:p>
        </w:tc>
        <w:tc>
          <w:tcPr>
            <w:tcW w:w="7200" w:type="dxa"/>
          </w:tcPr>
          <w:p w14:paraId="64225BC7" w14:textId="77777777"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It is the mean number of nodes per community. It indicates how network entities organize themselves, informing whether interactions typically occur within small, tightly-knit groups or larger, loosely-connected clusters.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{"citationID":"Dh4laFAn","properties":{"formattedCitation":"(Fricke and Lux 2015)","plainCitation":"(Fricke and Lux 2015)","dontUpdate":true,"noteIndex":0},"citationItems":[{"id":678,"uris":["http://zotero.org/users/local/uS7NtXr0/items/BLWELPHV"],"itemData":{"id":678,"type":"article-journal","abstract":"We explore the network topology arising from a dataset of the overnight interbank transactions on the e-MID trading platform from January 1999 to December 2010. In order to shed light on the hierarchical structure of the banking system, we estimate different versions of a core–periphery model. Our main findings are: (1) the identified core is quite stable over time in its size as well as in many structural properties, (2) there is also high persistence over time of banks’ identified positions as members of the core or periphery, (3) allowing for asymmetric ‘coreness’ with respect to lending and borrowing considerably improves the fit and reveals a high level of asymmetry and relatively little correlation between banks’ ‘in-coreness’ and ‘out-coreness’, and (4) we show that the identified core–periphery structure could not have been obtained spuriously from random networks. During the financial crisis of 2008, the reduction of interbank lending was mainly due to core banks reducing their numbers of active outgoing links.","container-title":"Computational Economics","DOI":"10.1007/s10614-014-9427-x","ISSN":"1572-9974","issue":"3","journalAbbreviation":"Comput Econ","language":"en","page":"359-395","source":"Springer Link","title":"Core–Periphery Structure in the Overnight Money Market: Evidence from the e-MID Trading Platform","title-short":"Core–Periphery Structure in the Overnight Money Market","volume":"45","author":[{"family":"Fricke","given":"Daniel"},{"family":"Lux","given":"Thomas"}],"issued":{"date-parts":[["2015",3,1]]}}}],"schema":"https://github.com/citation-style-language/schema/raw/master/csl-citation.json"}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sz w:val="22"/>
                <w:szCs w:val="22"/>
              </w:rPr>
              <w:t>Fricke and Lux (2015)</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studied interbank lending networks using community detection algorithms and highlighted the average community size. Smaller community sizes corresponded to a fragmented interbank market, whereas larger sizes suggested greater systemic interdependencies.</w:t>
            </w:r>
          </w:p>
        </w:tc>
      </w:tr>
      <w:tr w:rsidR="003759CA" w:rsidRPr="00586B43" w14:paraId="138568DA" w14:textId="77777777" w:rsidTr="00586B43">
        <w:trPr>
          <w:trHeight w:val="20"/>
        </w:trPr>
        <w:tc>
          <w:tcPr>
            <w:tcW w:w="2155" w:type="dxa"/>
          </w:tcPr>
          <w:p w14:paraId="35E2F83B" w14:textId="26DB1BCC" w:rsidR="003759CA" w:rsidRPr="00586B43" w:rsidRDefault="003759CA" w:rsidP="007F1987">
            <w:pPr>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Distribution of </w:t>
            </w:r>
            <w:r w:rsidR="0067132C" w:rsidRPr="00586B43">
              <w:rPr>
                <w:rFonts w:ascii="Times New Roman" w:eastAsia="Times New Roman" w:hAnsi="Times New Roman" w:cs="Times New Roman"/>
                <w:kern w:val="0"/>
                <w:sz w:val="22"/>
                <w:szCs w:val="22"/>
                <w14:ligatures w14:val="none"/>
              </w:rPr>
              <w:t>c</w:t>
            </w:r>
            <w:r w:rsidRPr="00586B43">
              <w:rPr>
                <w:rFonts w:ascii="Times New Roman" w:eastAsia="Times New Roman" w:hAnsi="Times New Roman" w:cs="Times New Roman"/>
                <w:kern w:val="0"/>
                <w:sz w:val="22"/>
                <w:szCs w:val="22"/>
                <w14:ligatures w14:val="none"/>
              </w:rPr>
              <w:t xml:space="preserve">ommunity </w:t>
            </w:r>
            <w:r w:rsidR="0067132C" w:rsidRPr="00586B43">
              <w:rPr>
                <w:rFonts w:ascii="Times New Roman" w:eastAsia="Times New Roman" w:hAnsi="Times New Roman" w:cs="Times New Roman"/>
                <w:kern w:val="0"/>
                <w:sz w:val="22"/>
                <w:szCs w:val="22"/>
                <w14:ligatures w14:val="none"/>
              </w:rPr>
              <w:t>s</w:t>
            </w:r>
            <w:r w:rsidRPr="00586B43">
              <w:rPr>
                <w:rFonts w:ascii="Times New Roman" w:eastAsia="Times New Roman" w:hAnsi="Times New Roman" w:cs="Times New Roman"/>
                <w:kern w:val="0"/>
                <w:sz w:val="22"/>
                <w:szCs w:val="22"/>
                <w14:ligatures w14:val="none"/>
              </w:rPr>
              <w:t>izes</w:t>
            </w:r>
          </w:p>
        </w:tc>
        <w:tc>
          <w:tcPr>
            <w:tcW w:w="7200" w:type="dxa"/>
          </w:tcPr>
          <w:p w14:paraId="5F59CFCA" w14:textId="340C3C61" w:rsidR="003759CA" w:rsidRPr="00586B43" w:rsidRDefault="003759CA" w:rsidP="007F1987">
            <w:pPr>
              <w:jc w:val="both"/>
              <w:rPr>
                <w:rFonts w:ascii="Times New Roman" w:eastAsia="Times New Roman" w:hAnsi="Times New Roman" w:cs="Times New Roman"/>
                <w:kern w:val="0"/>
                <w:sz w:val="22"/>
                <w:szCs w:val="22"/>
                <w14:ligatures w14:val="none"/>
              </w:rPr>
            </w:pPr>
            <w:r w:rsidRPr="00586B43">
              <w:rPr>
                <w:rFonts w:ascii="Times New Roman" w:eastAsia="Times New Roman" w:hAnsi="Times New Roman" w:cs="Times New Roman"/>
                <w:kern w:val="0"/>
                <w:sz w:val="22"/>
                <w:szCs w:val="22"/>
                <w14:ligatures w14:val="none"/>
              </w:rPr>
              <w:t xml:space="preserve">Examining how community sizes vary across a network reveals the heterogeneity of network structures. It indicates whether a network comprises similarly sized communities or exhibits skewed distributions (many small communities with a few large ones). </w:t>
            </w:r>
            <w:r w:rsidRPr="00586B43">
              <w:rPr>
                <w:rFonts w:ascii="Times New Roman" w:eastAsia="Times New Roman" w:hAnsi="Times New Roman" w:cs="Times New Roman"/>
                <w:kern w:val="0"/>
                <w:sz w:val="22"/>
                <w:szCs w:val="22"/>
                <w14:ligatures w14:val="none"/>
              </w:rPr>
              <w:fldChar w:fldCharType="begin"/>
            </w:r>
            <w:r w:rsidRPr="00586B43">
              <w:rPr>
                <w:rFonts w:ascii="Times New Roman" w:eastAsia="Times New Roman" w:hAnsi="Times New Roman" w:cs="Times New Roman"/>
                <w:kern w:val="0"/>
                <w:sz w:val="22"/>
                <w:szCs w:val="22"/>
                <w14:ligatures w14:val="none"/>
              </w:rPr>
              <w:instrText xml:space="preserve"> ADDIN ZOTERO_ITEM CSL_CITATION {"citationID":"ztzWVxBN","properties":{"formattedCitation":"(P\\uc0\\u195{}\\uc0\\u169{}rez n.d.)","plainCitation":"(PÃ©rez n.d.)","dontUpdate":true,"noteIndex":0},"citationItems":[{"id":680,"uris":["http://zotero.org/users/local/uS7NtXr0/items/ALKHJ8QZ"],"itemData":{"id":680,"type":"article-journal","abstract":"ABSTRACT Two information retrieval measures, authority centrality and hub centrality, are implemented to assess the systemic importance of Colombian financial market infrastructures. Unlike standard centrality measures (eg, degree, strength, eigenvector), authority and hub centrality allow for assessing financial market infrastructures' global importance as the mutually reinforcing centrality arising from nodes pointing to other nodes (ie, hubs) and from nodes being pointed to by other nodes (ie, authorities), despite the strictly hierarchical (ie, directed and acyclic) nature of the networks they comprise. Our results verify the systemic importance of the only large value payment system and the sovereign securities' main settlement system and central depository, the foremost authority-central and hubcentral financial market infrastructures, respectively. This paper contributes to financial stability and systemic risk literature with a macroprudential perspective of infrastructure-related risk.","container-title":"Journal of Financial Market Infrastructures","language":"en","note":"publisher: Journal of Financial Market Infrastructures","source":"ideas.repec.org","title":"Assessing financial market infrastructuresâ€™ systemic importance with authority and hub centrality","URL":"https://ideas.repec.org//a/rsk/journ7/2335148.html","author":[{"family":"PÃ©rez","given":"Carlos LeÃ³n and Jhonatan"}],"accessed":{"date-parts":[["2025",7,4]]}}}],"schema":"https://github.com/citation-style-language/schema/raw/master/csl-citation.json"} </w:instrText>
            </w:r>
            <w:r w:rsidRPr="00586B43">
              <w:rPr>
                <w:rFonts w:ascii="Times New Roman" w:eastAsia="Times New Roman" w:hAnsi="Times New Roman" w:cs="Times New Roman"/>
                <w:kern w:val="0"/>
                <w:sz w:val="22"/>
                <w:szCs w:val="22"/>
                <w14:ligatures w14:val="none"/>
              </w:rPr>
              <w:fldChar w:fldCharType="separate"/>
            </w:r>
            <w:r w:rsidRPr="00586B43">
              <w:rPr>
                <w:rFonts w:ascii="Times New Roman" w:hAnsi="Times New Roman" w:cs="Times New Roman"/>
                <w:kern w:val="0"/>
                <w:sz w:val="22"/>
                <w:szCs w:val="22"/>
              </w:rPr>
              <w:t>PÃ©rez (2014)</w:t>
            </w:r>
            <w:r w:rsidRPr="00586B43">
              <w:rPr>
                <w:rFonts w:ascii="Times New Roman" w:eastAsia="Times New Roman" w:hAnsi="Times New Roman" w:cs="Times New Roman"/>
                <w:kern w:val="0"/>
                <w:sz w:val="22"/>
                <w:szCs w:val="22"/>
                <w14:ligatures w14:val="none"/>
              </w:rPr>
              <w:fldChar w:fldCharType="end"/>
            </w:r>
            <w:r w:rsidRPr="00586B43">
              <w:rPr>
                <w:rFonts w:ascii="Times New Roman" w:eastAsia="Times New Roman" w:hAnsi="Times New Roman" w:cs="Times New Roman"/>
                <w:kern w:val="0"/>
                <w:sz w:val="22"/>
                <w:szCs w:val="22"/>
                <w14:ligatures w14:val="none"/>
              </w:rPr>
              <w:t xml:space="preserve"> examined community size distributions in interbank payment networks in Colombia. They found highly skewed distributions indicating a few large communities dominated by major financial institutions and numerous smaller peripheral communities.</w:t>
            </w:r>
          </w:p>
        </w:tc>
      </w:tr>
    </w:tbl>
    <w:p w14:paraId="00143F54" w14:textId="77777777" w:rsidR="003759CA" w:rsidRPr="007F1987" w:rsidRDefault="003759CA" w:rsidP="007F1987">
      <w:pPr>
        <w:spacing w:after="0" w:line="240" w:lineRule="auto"/>
        <w:rPr>
          <w:rFonts w:ascii="Times New Roman" w:eastAsia="Times New Roman" w:hAnsi="Times New Roman" w:cs="Times New Roman"/>
          <w:kern w:val="0"/>
          <w14:ligatures w14:val="none"/>
        </w:rPr>
      </w:pPr>
    </w:p>
    <w:p w14:paraId="5C526BAC" w14:textId="77777777" w:rsidR="0067132C" w:rsidRPr="007F1987" w:rsidRDefault="0067132C" w:rsidP="007F1987">
      <w:pPr>
        <w:spacing w:after="0" w:line="240" w:lineRule="auto"/>
        <w:rPr>
          <w:rFonts w:ascii="Times New Roman" w:eastAsia="Times New Roman" w:hAnsi="Times New Roman" w:cs="Times New Roman"/>
          <w:kern w:val="0"/>
          <w14:ligatures w14:val="none"/>
        </w:rPr>
      </w:pPr>
    </w:p>
    <w:p w14:paraId="23CE1B9C" w14:textId="7D03CCA3" w:rsidR="003759CA" w:rsidRPr="007F1987" w:rsidRDefault="003759CA" w:rsidP="007F1987">
      <w:pPr>
        <w:spacing w:after="0" w:line="240" w:lineRule="auto"/>
        <w:jc w:val="both"/>
        <w:rPr>
          <w:rFonts w:ascii="Times New Roman" w:eastAsia="Times New Roman" w:hAnsi="Times New Roman" w:cs="Times New Roman"/>
          <w:kern w:val="0"/>
          <w14:ligatures w14:val="none"/>
        </w:rPr>
      </w:pPr>
      <w:r w:rsidRPr="00586B43">
        <w:rPr>
          <w:rFonts w:ascii="Times New Roman" w:eastAsia="Times New Roman" w:hAnsi="Times New Roman" w:cs="Times New Roman"/>
          <w:b/>
          <w:bCs/>
          <w:kern w:val="0"/>
          <w14:ligatures w14:val="none"/>
        </w:rPr>
        <w:t>System</w:t>
      </w:r>
      <w:r w:rsidR="00586B43" w:rsidRPr="00586B43">
        <w:rPr>
          <w:rFonts w:ascii="Times New Roman" w:eastAsia="Times New Roman" w:hAnsi="Times New Roman" w:cs="Times New Roman"/>
          <w:b/>
          <w:bCs/>
          <w:kern w:val="0"/>
          <w14:ligatures w14:val="none"/>
        </w:rPr>
        <w:t xml:space="preserve"> </w:t>
      </w:r>
      <w:r w:rsidR="0067132C" w:rsidRPr="00586B43">
        <w:rPr>
          <w:rFonts w:ascii="Times New Roman" w:eastAsia="Times New Roman" w:hAnsi="Times New Roman" w:cs="Times New Roman"/>
          <w:b/>
          <w:bCs/>
          <w:kern w:val="0"/>
          <w14:ligatures w14:val="none"/>
        </w:rPr>
        <w:t>l</w:t>
      </w:r>
      <w:r w:rsidRPr="00586B43">
        <w:rPr>
          <w:rFonts w:ascii="Times New Roman" w:eastAsia="Times New Roman" w:hAnsi="Times New Roman" w:cs="Times New Roman"/>
          <w:b/>
          <w:bCs/>
          <w:kern w:val="0"/>
          <w14:ligatures w14:val="none"/>
        </w:rPr>
        <w:t>evel (</w:t>
      </w:r>
      <w:r w:rsidR="0067132C" w:rsidRPr="00586B43">
        <w:rPr>
          <w:rFonts w:ascii="Times New Roman" w:eastAsia="Times New Roman" w:hAnsi="Times New Roman" w:cs="Times New Roman"/>
          <w:b/>
          <w:bCs/>
          <w:kern w:val="0"/>
          <w14:ligatures w14:val="none"/>
        </w:rPr>
        <w:t>g</w:t>
      </w:r>
      <w:r w:rsidRPr="00586B43">
        <w:rPr>
          <w:rFonts w:ascii="Times New Roman" w:eastAsia="Times New Roman" w:hAnsi="Times New Roman" w:cs="Times New Roman"/>
          <w:b/>
          <w:bCs/>
          <w:kern w:val="0"/>
          <w14:ligatures w14:val="none"/>
        </w:rPr>
        <w:t>lobal):</w:t>
      </w:r>
      <w:r w:rsidRPr="007F1987">
        <w:rPr>
          <w:rFonts w:ascii="Times New Roman" w:eastAsia="Times New Roman" w:hAnsi="Times New Roman" w:cs="Times New Roman"/>
          <w:kern w:val="0"/>
          <w14:ligatures w14:val="none"/>
        </w:rPr>
        <w:t xml:space="preserve"> System-level analysis is essential for capturing interbank relationships</w:t>
      </w:r>
      <w:r w:rsidR="0067132C" w:rsidRPr="007F1987">
        <w:rPr>
          <w:rFonts w:ascii="Times New Roman" w:eastAsia="Times New Roman" w:hAnsi="Times New Roman" w:cs="Times New Roman"/>
          <w:kern w:val="0"/>
          <w14:ligatures w14:val="none"/>
        </w:rPr>
        <w:t>’</w:t>
      </w:r>
      <w:r w:rsidRPr="007F1987">
        <w:rPr>
          <w:rFonts w:ascii="Times New Roman" w:eastAsia="Times New Roman" w:hAnsi="Times New Roman" w:cs="Times New Roman"/>
          <w:kern w:val="0"/>
          <w14:ligatures w14:val="none"/>
        </w:rPr>
        <w:t xml:space="preserve"> complex interdependencies and feedback loops, enabling more effective risk management and policymaking to safeguard financial stability. Examples are below: </w:t>
      </w:r>
      <w:r w:rsidR="0067132C" w:rsidRPr="007F1987">
        <w:rPr>
          <w:rFonts w:ascii="Times New Roman" w:eastAsia="Times New Roman" w:hAnsi="Times New Roman" w:cs="Times New Roman"/>
          <w:kern w:val="0"/>
          <w14:ligatures w14:val="none"/>
        </w:rPr>
        <w:t>n</w:t>
      </w:r>
      <w:r w:rsidRPr="007F1987">
        <w:rPr>
          <w:rFonts w:ascii="Times New Roman" w:eastAsia="Times New Roman" w:hAnsi="Times New Roman" w:cs="Times New Roman"/>
          <w:kern w:val="0"/>
          <w14:ligatures w14:val="none"/>
        </w:rPr>
        <w:t>etwork density, average degree, global clustering coefficient, modularity, characteristic path length, and diameter.</w:t>
      </w:r>
    </w:p>
    <w:p w14:paraId="4DA58041" w14:textId="77777777" w:rsidR="0067132C" w:rsidRPr="007F1987" w:rsidRDefault="0067132C" w:rsidP="007F1987">
      <w:pPr>
        <w:spacing w:after="0" w:line="240" w:lineRule="auto"/>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155"/>
        <w:gridCol w:w="7200"/>
      </w:tblGrid>
      <w:tr w:rsidR="003759CA" w:rsidRPr="00586B43" w14:paraId="1E9705FC" w14:textId="77777777" w:rsidTr="00F742DF">
        <w:trPr>
          <w:trHeight w:val="300"/>
        </w:trPr>
        <w:tc>
          <w:tcPr>
            <w:tcW w:w="2155" w:type="dxa"/>
            <w:tcMar>
              <w:left w:w="108" w:type="dxa"/>
              <w:right w:w="108" w:type="dxa"/>
            </w:tcMar>
          </w:tcPr>
          <w:p w14:paraId="3505FBF4"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b/>
                <w:bCs/>
                <w:sz w:val="22"/>
                <w:szCs w:val="22"/>
              </w:rPr>
              <w:t>Feature</w:t>
            </w:r>
          </w:p>
        </w:tc>
        <w:tc>
          <w:tcPr>
            <w:tcW w:w="7200" w:type="dxa"/>
            <w:tcMar>
              <w:left w:w="108" w:type="dxa"/>
              <w:right w:w="108" w:type="dxa"/>
            </w:tcMar>
          </w:tcPr>
          <w:p w14:paraId="419F7D4F"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b/>
                <w:bCs/>
                <w:sz w:val="22"/>
                <w:szCs w:val="22"/>
              </w:rPr>
              <w:t>Description</w:t>
            </w:r>
          </w:p>
        </w:tc>
      </w:tr>
      <w:tr w:rsidR="003759CA" w:rsidRPr="00586B43" w14:paraId="2304C660" w14:textId="77777777" w:rsidTr="00F742DF">
        <w:trPr>
          <w:trHeight w:val="300"/>
        </w:trPr>
        <w:tc>
          <w:tcPr>
            <w:tcW w:w="2155" w:type="dxa"/>
            <w:tcMar>
              <w:left w:w="108" w:type="dxa"/>
              <w:right w:w="108" w:type="dxa"/>
            </w:tcMar>
          </w:tcPr>
          <w:p w14:paraId="22CD5690" w14:textId="01854C28"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Network </w:t>
            </w:r>
            <w:r w:rsidR="0067132C" w:rsidRPr="00586B43">
              <w:rPr>
                <w:rFonts w:ascii="Times New Roman" w:eastAsia="Times New Roman" w:hAnsi="Times New Roman" w:cs="Times New Roman"/>
                <w:sz w:val="22"/>
                <w:szCs w:val="22"/>
              </w:rPr>
              <w:t>d</w:t>
            </w:r>
            <w:r w:rsidRPr="00586B43">
              <w:rPr>
                <w:rFonts w:ascii="Times New Roman" w:eastAsia="Times New Roman" w:hAnsi="Times New Roman" w:cs="Times New Roman"/>
                <w:sz w:val="22"/>
                <w:szCs w:val="22"/>
              </w:rPr>
              <w:t>ensity</w:t>
            </w:r>
          </w:p>
        </w:tc>
        <w:tc>
          <w:tcPr>
            <w:tcW w:w="7200" w:type="dxa"/>
            <w:tcMar>
              <w:left w:w="108" w:type="dxa"/>
              <w:right w:w="108" w:type="dxa"/>
            </w:tcMar>
          </w:tcPr>
          <w:p w14:paraId="3A7E86C3" w14:textId="71C75041"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Measures how connected the network of </w:t>
            </w:r>
            <w:r w:rsidR="0067132C" w:rsidRPr="00586B43">
              <w:rPr>
                <w:rFonts w:ascii="Times New Roman" w:eastAsia="Times New Roman" w:hAnsi="Times New Roman" w:cs="Times New Roman"/>
                <w:sz w:val="22"/>
                <w:szCs w:val="22"/>
              </w:rPr>
              <w:t>m</w:t>
            </w:r>
            <w:r w:rsidRPr="00586B43">
              <w:rPr>
                <w:rFonts w:ascii="Times New Roman" w:eastAsia="Times New Roman" w:hAnsi="Times New Roman" w:cs="Times New Roman"/>
                <w:sz w:val="22"/>
                <w:szCs w:val="22"/>
              </w:rPr>
              <w:t xml:space="preserve">id-size and large banks is relative to the maximum possible connections. </w:t>
            </w:r>
          </w:p>
        </w:tc>
      </w:tr>
      <w:tr w:rsidR="003759CA" w:rsidRPr="00586B43" w14:paraId="2DDEBE69" w14:textId="77777777" w:rsidTr="00F742DF">
        <w:trPr>
          <w:trHeight w:val="300"/>
        </w:trPr>
        <w:tc>
          <w:tcPr>
            <w:tcW w:w="2155" w:type="dxa"/>
            <w:tcMar>
              <w:left w:w="108" w:type="dxa"/>
              <w:right w:w="108" w:type="dxa"/>
            </w:tcMar>
          </w:tcPr>
          <w:p w14:paraId="093B1B0F" w14:textId="79A6BAB3"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Av</w:t>
            </w:r>
            <w:r w:rsidR="0067132C" w:rsidRPr="00586B43">
              <w:rPr>
                <w:rFonts w:ascii="Times New Roman" w:eastAsia="Times New Roman" w:hAnsi="Times New Roman" w:cs="Times New Roman"/>
                <w:sz w:val="22"/>
                <w:szCs w:val="22"/>
              </w:rPr>
              <w:t>era</w:t>
            </w:r>
            <w:r w:rsidRPr="00586B43">
              <w:rPr>
                <w:rFonts w:ascii="Times New Roman" w:eastAsia="Times New Roman" w:hAnsi="Times New Roman" w:cs="Times New Roman"/>
                <w:sz w:val="22"/>
                <w:szCs w:val="22"/>
              </w:rPr>
              <w:t>g</w:t>
            </w:r>
            <w:r w:rsidR="0067132C" w:rsidRPr="00586B43">
              <w:rPr>
                <w:rFonts w:ascii="Times New Roman" w:eastAsia="Times New Roman" w:hAnsi="Times New Roman" w:cs="Times New Roman"/>
                <w:sz w:val="22"/>
                <w:szCs w:val="22"/>
              </w:rPr>
              <w:t>e</w:t>
            </w:r>
            <w:r w:rsidRPr="00586B43">
              <w:rPr>
                <w:rFonts w:ascii="Times New Roman" w:eastAsia="Times New Roman" w:hAnsi="Times New Roman" w:cs="Times New Roman"/>
                <w:sz w:val="22"/>
                <w:szCs w:val="22"/>
              </w:rPr>
              <w:t xml:space="preserve"> </w:t>
            </w:r>
            <w:r w:rsidR="0067132C" w:rsidRPr="00586B43">
              <w:rPr>
                <w:rFonts w:ascii="Times New Roman" w:eastAsia="Times New Roman" w:hAnsi="Times New Roman" w:cs="Times New Roman"/>
                <w:sz w:val="22"/>
                <w:szCs w:val="22"/>
              </w:rPr>
              <w:t>c</w:t>
            </w:r>
            <w:r w:rsidRPr="00586B43">
              <w:rPr>
                <w:rFonts w:ascii="Times New Roman" w:eastAsia="Times New Roman" w:hAnsi="Times New Roman" w:cs="Times New Roman"/>
                <w:sz w:val="22"/>
                <w:szCs w:val="22"/>
              </w:rPr>
              <w:t xml:space="preserve">ommunity </w:t>
            </w:r>
            <w:r w:rsidR="0067132C" w:rsidRPr="00586B43">
              <w:rPr>
                <w:rFonts w:ascii="Times New Roman" w:eastAsia="Times New Roman" w:hAnsi="Times New Roman" w:cs="Times New Roman"/>
                <w:sz w:val="22"/>
                <w:szCs w:val="22"/>
              </w:rPr>
              <w:t>s</w:t>
            </w:r>
            <w:r w:rsidRPr="00586B43">
              <w:rPr>
                <w:rFonts w:ascii="Times New Roman" w:eastAsia="Times New Roman" w:hAnsi="Times New Roman" w:cs="Times New Roman"/>
                <w:sz w:val="22"/>
                <w:szCs w:val="22"/>
              </w:rPr>
              <w:t>ize</w:t>
            </w:r>
          </w:p>
        </w:tc>
        <w:tc>
          <w:tcPr>
            <w:tcW w:w="7200" w:type="dxa"/>
            <w:tcMar>
              <w:left w:w="108" w:type="dxa"/>
              <w:right w:w="108" w:type="dxa"/>
            </w:tcMar>
          </w:tcPr>
          <w:p w14:paraId="3B89BB2F" w14:textId="0C5563CF"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If the network of </w:t>
            </w:r>
            <w:r w:rsidR="0067132C" w:rsidRPr="00586B43">
              <w:rPr>
                <w:rFonts w:ascii="Times New Roman" w:eastAsia="Times New Roman" w:hAnsi="Times New Roman" w:cs="Times New Roman"/>
                <w:sz w:val="22"/>
                <w:szCs w:val="22"/>
              </w:rPr>
              <w:t>m</w:t>
            </w:r>
            <w:r w:rsidRPr="00586B43">
              <w:rPr>
                <w:rFonts w:ascii="Times New Roman" w:eastAsia="Times New Roman" w:hAnsi="Times New Roman" w:cs="Times New Roman"/>
                <w:sz w:val="22"/>
                <w:szCs w:val="22"/>
              </w:rPr>
              <w:t>id-size and large banks is divided into communities, this is the average number of banks per community.</w:t>
            </w:r>
          </w:p>
        </w:tc>
      </w:tr>
      <w:tr w:rsidR="003759CA" w:rsidRPr="00586B43" w14:paraId="406644FA" w14:textId="77777777" w:rsidTr="00F742DF">
        <w:trPr>
          <w:trHeight w:val="300"/>
        </w:trPr>
        <w:tc>
          <w:tcPr>
            <w:tcW w:w="2155" w:type="dxa"/>
            <w:tcMar>
              <w:left w:w="108" w:type="dxa"/>
              <w:right w:w="108" w:type="dxa"/>
            </w:tcMar>
          </w:tcPr>
          <w:p w14:paraId="553B8ECC" w14:textId="5265170B"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lastRenderedPageBreak/>
              <w:t>Modularity</w:t>
            </w:r>
          </w:p>
        </w:tc>
        <w:tc>
          <w:tcPr>
            <w:tcW w:w="7200" w:type="dxa"/>
            <w:tcMar>
              <w:left w:w="108" w:type="dxa"/>
              <w:right w:w="108" w:type="dxa"/>
            </w:tcMar>
          </w:tcPr>
          <w:p w14:paraId="68E1FAFA" w14:textId="42E2BC90"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Measures the strength of dividing a network of </w:t>
            </w:r>
            <w:r w:rsidR="0067132C" w:rsidRPr="00586B43">
              <w:rPr>
                <w:rFonts w:ascii="Times New Roman" w:eastAsia="Times New Roman" w:hAnsi="Times New Roman" w:cs="Times New Roman"/>
                <w:sz w:val="22"/>
                <w:szCs w:val="22"/>
              </w:rPr>
              <w:t>m</w:t>
            </w:r>
            <w:r w:rsidRPr="00586B43">
              <w:rPr>
                <w:rFonts w:ascii="Times New Roman" w:eastAsia="Times New Roman" w:hAnsi="Times New Roman" w:cs="Times New Roman"/>
                <w:sz w:val="22"/>
                <w:szCs w:val="22"/>
              </w:rPr>
              <w:t>id-size and large banks into communities. Higher modularity indicates a network of banks with well-defined, dense, sparsely connected communities.</w:t>
            </w:r>
          </w:p>
        </w:tc>
      </w:tr>
      <w:tr w:rsidR="003759CA" w:rsidRPr="00586B43" w14:paraId="47126DC5" w14:textId="77777777" w:rsidTr="00F742DF">
        <w:trPr>
          <w:trHeight w:val="300"/>
        </w:trPr>
        <w:tc>
          <w:tcPr>
            <w:tcW w:w="2155" w:type="dxa"/>
            <w:tcMar>
              <w:left w:w="108" w:type="dxa"/>
              <w:right w:w="108" w:type="dxa"/>
            </w:tcMar>
          </w:tcPr>
          <w:p w14:paraId="2E7103D6" w14:textId="0F68BB47"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Network </w:t>
            </w:r>
            <w:r w:rsidR="0067132C" w:rsidRPr="00586B43">
              <w:rPr>
                <w:rFonts w:ascii="Times New Roman" w:eastAsia="Times New Roman" w:hAnsi="Times New Roman" w:cs="Times New Roman"/>
                <w:sz w:val="22"/>
                <w:szCs w:val="22"/>
              </w:rPr>
              <w:t>t</w:t>
            </w:r>
            <w:r w:rsidRPr="00586B43">
              <w:rPr>
                <w:rFonts w:ascii="Times New Roman" w:eastAsia="Times New Roman" w:hAnsi="Times New Roman" w:cs="Times New Roman"/>
                <w:sz w:val="22"/>
                <w:szCs w:val="22"/>
              </w:rPr>
              <w:t xml:space="preserve">ransitivity </w:t>
            </w:r>
          </w:p>
        </w:tc>
        <w:tc>
          <w:tcPr>
            <w:tcW w:w="7200" w:type="dxa"/>
            <w:tcMar>
              <w:left w:w="108" w:type="dxa"/>
              <w:right w:w="108" w:type="dxa"/>
            </w:tcMar>
          </w:tcPr>
          <w:p w14:paraId="40ACFA7D"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Measures the overall tendency for nodes (active mid-size and large banks) to cluster together. Higher transitivity means a more “cliquish” or tightly knit network of banks.</w:t>
            </w:r>
          </w:p>
        </w:tc>
      </w:tr>
      <w:tr w:rsidR="003759CA" w:rsidRPr="00586B43" w14:paraId="52E2817D" w14:textId="77777777" w:rsidTr="00F742DF">
        <w:trPr>
          <w:trHeight w:val="300"/>
        </w:trPr>
        <w:tc>
          <w:tcPr>
            <w:tcW w:w="2155" w:type="dxa"/>
            <w:tcMar>
              <w:left w:w="108" w:type="dxa"/>
              <w:right w:w="108" w:type="dxa"/>
            </w:tcMar>
          </w:tcPr>
          <w:p w14:paraId="2909E8AC" w14:textId="3B869813"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Av</w:t>
            </w:r>
            <w:r w:rsidR="0067132C" w:rsidRPr="00586B43">
              <w:rPr>
                <w:rFonts w:ascii="Times New Roman" w:eastAsia="Times New Roman" w:hAnsi="Times New Roman" w:cs="Times New Roman"/>
                <w:sz w:val="22"/>
                <w:szCs w:val="22"/>
              </w:rPr>
              <w:t>era</w:t>
            </w:r>
            <w:r w:rsidRPr="00586B43">
              <w:rPr>
                <w:rFonts w:ascii="Times New Roman" w:eastAsia="Times New Roman" w:hAnsi="Times New Roman" w:cs="Times New Roman"/>
                <w:sz w:val="22"/>
                <w:szCs w:val="22"/>
              </w:rPr>
              <w:t>g</w:t>
            </w:r>
            <w:r w:rsidR="0067132C" w:rsidRPr="00586B43">
              <w:rPr>
                <w:rFonts w:ascii="Times New Roman" w:eastAsia="Times New Roman" w:hAnsi="Times New Roman" w:cs="Times New Roman"/>
                <w:sz w:val="22"/>
                <w:szCs w:val="22"/>
              </w:rPr>
              <w:t>e</w:t>
            </w:r>
            <w:r w:rsidRPr="00586B43">
              <w:rPr>
                <w:rFonts w:ascii="Times New Roman" w:eastAsia="Times New Roman" w:hAnsi="Times New Roman" w:cs="Times New Roman"/>
                <w:sz w:val="22"/>
                <w:szCs w:val="22"/>
              </w:rPr>
              <w:t xml:space="preserve"> </w:t>
            </w:r>
            <w:r w:rsidR="0067132C" w:rsidRPr="00586B43">
              <w:rPr>
                <w:rFonts w:ascii="Times New Roman" w:eastAsia="Times New Roman" w:hAnsi="Times New Roman" w:cs="Times New Roman"/>
                <w:sz w:val="22"/>
                <w:szCs w:val="22"/>
              </w:rPr>
              <w:t>c</w:t>
            </w:r>
            <w:r w:rsidRPr="00586B43">
              <w:rPr>
                <w:rFonts w:ascii="Times New Roman" w:eastAsia="Times New Roman" w:hAnsi="Times New Roman" w:cs="Times New Roman"/>
                <w:sz w:val="22"/>
                <w:szCs w:val="22"/>
              </w:rPr>
              <w:t xml:space="preserve">lustering </w:t>
            </w:r>
            <w:r w:rsidR="0067132C" w:rsidRPr="00586B43">
              <w:rPr>
                <w:rFonts w:ascii="Times New Roman" w:eastAsia="Times New Roman" w:hAnsi="Times New Roman" w:cs="Times New Roman"/>
                <w:sz w:val="22"/>
                <w:szCs w:val="22"/>
              </w:rPr>
              <w:t>c</w:t>
            </w:r>
            <w:r w:rsidRPr="00586B43">
              <w:rPr>
                <w:rFonts w:ascii="Times New Roman" w:eastAsia="Times New Roman" w:hAnsi="Times New Roman" w:cs="Times New Roman"/>
                <w:sz w:val="22"/>
                <w:szCs w:val="22"/>
              </w:rPr>
              <w:t>oeff</w:t>
            </w:r>
            <w:r w:rsidR="0067132C" w:rsidRPr="00586B43">
              <w:rPr>
                <w:rFonts w:ascii="Times New Roman" w:eastAsia="Times New Roman" w:hAnsi="Times New Roman" w:cs="Times New Roman"/>
                <w:sz w:val="22"/>
                <w:szCs w:val="22"/>
              </w:rPr>
              <w:t>icient</w:t>
            </w:r>
            <w:r w:rsidRPr="00586B43">
              <w:rPr>
                <w:rFonts w:ascii="Times New Roman" w:eastAsia="Times New Roman" w:hAnsi="Times New Roman" w:cs="Times New Roman"/>
                <w:sz w:val="22"/>
                <w:szCs w:val="22"/>
              </w:rPr>
              <w:t xml:space="preserve"> </w:t>
            </w:r>
          </w:p>
        </w:tc>
        <w:tc>
          <w:tcPr>
            <w:tcW w:w="7200" w:type="dxa"/>
            <w:tcMar>
              <w:left w:w="108" w:type="dxa"/>
              <w:right w:w="108" w:type="dxa"/>
            </w:tcMar>
          </w:tcPr>
          <w:p w14:paraId="7C2FDA9C" w14:textId="770D9EED"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For each node (active bank), it measures how connected its neighbors are to each other. It</w:t>
            </w:r>
            <w:r w:rsidR="00D63015" w:rsidRPr="00586B43">
              <w:rPr>
                <w:rFonts w:ascii="Times New Roman" w:eastAsia="Times New Roman" w:hAnsi="Times New Roman" w:cs="Times New Roman"/>
                <w:sz w:val="22"/>
                <w:szCs w:val="22"/>
              </w:rPr>
              <w:t>’</w:t>
            </w:r>
            <w:r w:rsidRPr="00586B43">
              <w:rPr>
                <w:rFonts w:ascii="Times New Roman" w:eastAsia="Times New Roman" w:hAnsi="Times New Roman" w:cs="Times New Roman"/>
                <w:sz w:val="22"/>
                <w:szCs w:val="22"/>
              </w:rPr>
              <w:t>s a local measure of cliquishness.</w:t>
            </w:r>
          </w:p>
        </w:tc>
      </w:tr>
      <w:tr w:rsidR="003759CA" w:rsidRPr="00586B43" w14:paraId="7716D4D2" w14:textId="77777777" w:rsidTr="00F742DF">
        <w:trPr>
          <w:trHeight w:val="300"/>
        </w:trPr>
        <w:tc>
          <w:tcPr>
            <w:tcW w:w="2155" w:type="dxa"/>
            <w:tcMar>
              <w:left w:w="108" w:type="dxa"/>
              <w:right w:w="108" w:type="dxa"/>
            </w:tcMar>
          </w:tcPr>
          <w:p w14:paraId="568E8B20" w14:textId="3584DAB5"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Degree </w:t>
            </w:r>
            <w:r w:rsidR="0067132C" w:rsidRPr="00586B43">
              <w:rPr>
                <w:rFonts w:ascii="Times New Roman" w:eastAsia="Times New Roman" w:hAnsi="Times New Roman" w:cs="Times New Roman"/>
                <w:sz w:val="22"/>
                <w:szCs w:val="22"/>
              </w:rPr>
              <w:t>a</w:t>
            </w:r>
            <w:r w:rsidRPr="00586B43">
              <w:rPr>
                <w:rFonts w:ascii="Times New Roman" w:eastAsia="Times New Roman" w:hAnsi="Times New Roman" w:cs="Times New Roman"/>
                <w:sz w:val="22"/>
                <w:szCs w:val="22"/>
              </w:rPr>
              <w:t>ssortativity</w:t>
            </w:r>
          </w:p>
        </w:tc>
        <w:tc>
          <w:tcPr>
            <w:tcW w:w="7200" w:type="dxa"/>
            <w:tcMar>
              <w:left w:w="108" w:type="dxa"/>
              <w:right w:w="108" w:type="dxa"/>
            </w:tcMar>
          </w:tcPr>
          <w:p w14:paraId="357C27FD"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Measures the preference for nodes (active banks) to attach to others similar in degree (number of connections).</w:t>
            </w:r>
          </w:p>
        </w:tc>
      </w:tr>
      <w:tr w:rsidR="003759CA" w:rsidRPr="00586B43" w14:paraId="67417F31" w14:textId="77777777" w:rsidTr="00F742DF">
        <w:trPr>
          <w:trHeight w:val="300"/>
        </w:trPr>
        <w:tc>
          <w:tcPr>
            <w:tcW w:w="2155" w:type="dxa"/>
            <w:tcMar>
              <w:left w:w="108" w:type="dxa"/>
              <w:right w:w="108" w:type="dxa"/>
            </w:tcMar>
          </w:tcPr>
          <w:p w14:paraId="41EF7A2B" w14:textId="27649D74"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Av</w:t>
            </w:r>
            <w:r w:rsidR="0067132C" w:rsidRPr="00586B43">
              <w:rPr>
                <w:rFonts w:ascii="Times New Roman" w:eastAsia="Times New Roman" w:hAnsi="Times New Roman" w:cs="Times New Roman"/>
                <w:sz w:val="22"/>
                <w:szCs w:val="22"/>
              </w:rPr>
              <w:t>era</w:t>
            </w:r>
            <w:r w:rsidRPr="00586B43">
              <w:rPr>
                <w:rFonts w:ascii="Times New Roman" w:eastAsia="Times New Roman" w:hAnsi="Times New Roman" w:cs="Times New Roman"/>
                <w:sz w:val="22"/>
                <w:szCs w:val="22"/>
              </w:rPr>
              <w:t>g</w:t>
            </w:r>
            <w:r w:rsidR="0067132C" w:rsidRPr="00586B43">
              <w:rPr>
                <w:rFonts w:ascii="Times New Roman" w:eastAsia="Times New Roman" w:hAnsi="Times New Roman" w:cs="Times New Roman"/>
                <w:sz w:val="22"/>
                <w:szCs w:val="22"/>
              </w:rPr>
              <w:t>e</w:t>
            </w:r>
            <w:r w:rsidRPr="00586B43">
              <w:rPr>
                <w:rFonts w:ascii="Times New Roman" w:eastAsia="Times New Roman" w:hAnsi="Times New Roman" w:cs="Times New Roman"/>
                <w:sz w:val="22"/>
                <w:szCs w:val="22"/>
              </w:rPr>
              <w:t xml:space="preserve"> </w:t>
            </w:r>
            <w:r w:rsidR="0067132C" w:rsidRPr="00586B43">
              <w:rPr>
                <w:rFonts w:ascii="Times New Roman" w:eastAsia="Times New Roman" w:hAnsi="Times New Roman" w:cs="Times New Roman"/>
                <w:sz w:val="22"/>
                <w:szCs w:val="22"/>
              </w:rPr>
              <w:t>n</w:t>
            </w:r>
            <w:r w:rsidRPr="00586B43">
              <w:rPr>
                <w:rFonts w:ascii="Times New Roman" w:eastAsia="Times New Roman" w:hAnsi="Times New Roman" w:cs="Times New Roman"/>
                <w:sz w:val="22"/>
                <w:szCs w:val="22"/>
              </w:rPr>
              <w:t xml:space="preserve">eighbors </w:t>
            </w:r>
          </w:p>
        </w:tc>
        <w:tc>
          <w:tcPr>
            <w:tcW w:w="7200" w:type="dxa"/>
            <w:tcMar>
              <w:left w:w="108" w:type="dxa"/>
              <w:right w:w="108" w:type="dxa"/>
            </w:tcMar>
          </w:tcPr>
          <w:p w14:paraId="1B2EA375" w14:textId="4B74E0ED"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The average number of direct connections each bank has </w:t>
            </w:r>
            <w:proofErr w:type="gramStart"/>
            <w:r w:rsidRPr="00586B43">
              <w:rPr>
                <w:rFonts w:ascii="Times New Roman" w:eastAsia="Times New Roman" w:hAnsi="Times New Roman" w:cs="Times New Roman"/>
                <w:sz w:val="22"/>
                <w:szCs w:val="22"/>
              </w:rPr>
              <w:t>in</w:t>
            </w:r>
            <w:proofErr w:type="gramEnd"/>
            <w:r w:rsidRPr="00586B43">
              <w:rPr>
                <w:rFonts w:ascii="Times New Roman" w:eastAsia="Times New Roman" w:hAnsi="Times New Roman" w:cs="Times New Roman"/>
                <w:sz w:val="22"/>
                <w:szCs w:val="22"/>
              </w:rPr>
              <w:t xml:space="preserve"> the network. This is identical to the “</w:t>
            </w:r>
            <w:r w:rsidR="00D63015" w:rsidRPr="00586B43">
              <w:rPr>
                <w:rFonts w:ascii="Times New Roman" w:eastAsia="Times New Roman" w:hAnsi="Times New Roman" w:cs="Times New Roman"/>
                <w:sz w:val="22"/>
                <w:szCs w:val="22"/>
              </w:rPr>
              <w:t>a</w:t>
            </w:r>
            <w:r w:rsidRPr="00586B43">
              <w:rPr>
                <w:rFonts w:ascii="Times New Roman" w:eastAsia="Times New Roman" w:hAnsi="Times New Roman" w:cs="Times New Roman"/>
                <w:sz w:val="22"/>
                <w:szCs w:val="22"/>
              </w:rPr>
              <w:t>v</w:t>
            </w:r>
            <w:r w:rsidR="00D63015" w:rsidRPr="00586B43">
              <w:rPr>
                <w:rFonts w:ascii="Times New Roman" w:eastAsia="Times New Roman" w:hAnsi="Times New Roman" w:cs="Times New Roman"/>
                <w:sz w:val="22"/>
                <w:szCs w:val="22"/>
              </w:rPr>
              <w:t>era</w:t>
            </w:r>
            <w:r w:rsidRPr="00586B43">
              <w:rPr>
                <w:rFonts w:ascii="Times New Roman" w:eastAsia="Times New Roman" w:hAnsi="Times New Roman" w:cs="Times New Roman"/>
                <w:sz w:val="22"/>
                <w:szCs w:val="22"/>
              </w:rPr>
              <w:t>g</w:t>
            </w:r>
            <w:r w:rsidR="00D63015" w:rsidRPr="00586B43">
              <w:rPr>
                <w:rFonts w:ascii="Times New Roman" w:eastAsia="Times New Roman" w:hAnsi="Times New Roman" w:cs="Times New Roman"/>
                <w:sz w:val="22"/>
                <w:szCs w:val="22"/>
              </w:rPr>
              <w:t>e</w:t>
            </w:r>
            <w:r w:rsidRPr="00586B43">
              <w:rPr>
                <w:rFonts w:ascii="Times New Roman" w:eastAsia="Times New Roman" w:hAnsi="Times New Roman" w:cs="Times New Roman"/>
                <w:sz w:val="22"/>
                <w:szCs w:val="22"/>
              </w:rPr>
              <w:t xml:space="preserve"> </w:t>
            </w:r>
            <w:r w:rsidR="00D63015" w:rsidRPr="00586B43">
              <w:rPr>
                <w:rFonts w:ascii="Times New Roman" w:eastAsia="Times New Roman" w:hAnsi="Times New Roman" w:cs="Times New Roman"/>
                <w:sz w:val="22"/>
                <w:szCs w:val="22"/>
              </w:rPr>
              <w:t>d</w:t>
            </w:r>
            <w:r w:rsidRPr="00586B43">
              <w:rPr>
                <w:rFonts w:ascii="Times New Roman" w:eastAsia="Times New Roman" w:hAnsi="Times New Roman" w:cs="Times New Roman"/>
                <w:sz w:val="22"/>
                <w:szCs w:val="22"/>
              </w:rPr>
              <w:t>egree” from the system-level chart and reflects overall network connectivity.</w:t>
            </w:r>
          </w:p>
        </w:tc>
      </w:tr>
      <w:tr w:rsidR="003759CA" w:rsidRPr="00586B43" w14:paraId="1EC0A38E" w14:textId="77777777" w:rsidTr="00F742DF">
        <w:trPr>
          <w:trHeight w:val="300"/>
        </w:trPr>
        <w:tc>
          <w:tcPr>
            <w:tcW w:w="2155" w:type="dxa"/>
            <w:tcMar>
              <w:left w:w="108" w:type="dxa"/>
              <w:right w:w="108" w:type="dxa"/>
            </w:tcMar>
          </w:tcPr>
          <w:p w14:paraId="56B963C6" w14:textId="502D8372"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Rich </w:t>
            </w:r>
            <w:r w:rsidR="0067132C" w:rsidRPr="00586B43">
              <w:rPr>
                <w:rFonts w:ascii="Times New Roman" w:eastAsia="Times New Roman" w:hAnsi="Times New Roman" w:cs="Times New Roman"/>
                <w:sz w:val="22"/>
                <w:szCs w:val="22"/>
              </w:rPr>
              <w:t>c</w:t>
            </w:r>
            <w:r w:rsidRPr="00586B43">
              <w:rPr>
                <w:rFonts w:ascii="Times New Roman" w:eastAsia="Times New Roman" w:hAnsi="Times New Roman" w:cs="Times New Roman"/>
                <w:sz w:val="22"/>
                <w:szCs w:val="22"/>
              </w:rPr>
              <w:t xml:space="preserve">lub </w:t>
            </w:r>
            <w:r w:rsidR="0067132C" w:rsidRPr="00586B43">
              <w:rPr>
                <w:rFonts w:ascii="Times New Roman" w:eastAsia="Times New Roman" w:hAnsi="Times New Roman" w:cs="Times New Roman"/>
                <w:sz w:val="22"/>
                <w:szCs w:val="22"/>
              </w:rPr>
              <w:t>c</w:t>
            </w:r>
            <w:r w:rsidRPr="00586B43">
              <w:rPr>
                <w:rFonts w:ascii="Times New Roman" w:eastAsia="Times New Roman" w:hAnsi="Times New Roman" w:cs="Times New Roman"/>
                <w:sz w:val="22"/>
                <w:szCs w:val="22"/>
              </w:rPr>
              <w:t xml:space="preserve">oefficient </w:t>
            </w:r>
          </w:p>
        </w:tc>
        <w:tc>
          <w:tcPr>
            <w:tcW w:w="7200" w:type="dxa"/>
            <w:tcMar>
              <w:left w:w="108" w:type="dxa"/>
              <w:right w:w="108" w:type="dxa"/>
            </w:tcMar>
          </w:tcPr>
          <w:p w14:paraId="21358F21"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It measures the tendency of high-degree nodes (“rich” nodes) or systemically important banks to be more densely connected amongst themselves than lower-degree nodes or smaller or less important banks. A high coefficient indicates a “rich club” phenomenon where the most connected banks form a tight core.</w:t>
            </w:r>
          </w:p>
        </w:tc>
      </w:tr>
      <w:tr w:rsidR="003759CA" w:rsidRPr="00586B43" w14:paraId="0D408BF0" w14:textId="77777777" w:rsidTr="00F742DF">
        <w:trPr>
          <w:trHeight w:val="300"/>
        </w:trPr>
        <w:tc>
          <w:tcPr>
            <w:tcW w:w="2155" w:type="dxa"/>
            <w:tcMar>
              <w:left w:w="108" w:type="dxa"/>
              <w:right w:w="108" w:type="dxa"/>
            </w:tcMar>
          </w:tcPr>
          <w:p w14:paraId="5F4F4BC3" w14:textId="3452D5B6" w:rsidR="003759CA" w:rsidRPr="00586B43" w:rsidRDefault="003759CA" w:rsidP="007F1987">
            <w:pPr>
              <w:rPr>
                <w:rFonts w:ascii="Times New Roman" w:hAnsi="Times New Roman" w:cs="Times New Roman"/>
                <w:sz w:val="22"/>
                <w:szCs w:val="22"/>
              </w:rPr>
            </w:pPr>
            <w:r w:rsidRPr="00586B43">
              <w:rPr>
                <w:rFonts w:ascii="Times New Roman" w:eastAsia="Times New Roman" w:hAnsi="Times New Roman" w:cs="Times New Roman"/>
                <w:sz w:val="22"/>
                <w:szCs w:val="22"/>
              </w:rPr>
              <w:t xml:space="preserve">Normalized </w:t>
            </w:r>
            <w:r w:rsidR="0067132C" w:rsidRPr="00586B43">
              <w:rPr>
                <w:rFonts w:ascii="Times New Roman" w:eastAsia="Times New Roman" w:hAnsi="Times New Roman" w:cs="Times New Roman"/>
                <w:sz w:val="22"/>
                <w:szCs w:val="22"/>
              </w:rPr>
              <w:t>t</w:t>
            </w:r>
            <w:r w:rsidRPr="00586B43">
              <w:rPr>
                <w:rFonts w:ascii="Times New Roman" w:eastAsia="Times New Roman" w:hAnsi="Times New Roman" w:cs="Times New Roman"/>
                <w:sz w:val="22"/>
                <w:szCs w:val="22"/>
              </w:rPr>
              <w:t xml:space="preserve">ree </w:t>
            </w:r>
            <w:r w:rsidR="0067132C" w:rsidRPr="00586B43">
              <w:rPr>
                <w:rFonts w:ascii="Times New Roman" w:eastAsia="Times New Roman" w:hAnsi="Times New Roman" w:cs="Times New Roman"/>
                <w:sz w:val="22"/>
                <w:szCs w:val="22"/>
              </w:rPr>
              <w:t>l</w:t>
            </w:r>
            <w:r w:rsidRPr="00586B43">
              <w:rPr>
                <w:rFonts w:ascii="Times New Roman" w:eastAsia="Times New Roman" w:hAnsi="Times New Roman" w:cs="Times New Roman"/>
                <w:sz w:val="22"/>
                <w:szCs w:val="22"/>
              </w:rPr>
              <w:t>ength</w:t>
            </w:r>
          </w:p>
        </w:tc>
        <w:tc>
          <w:tcPr>
            <w:tcW w:w="7200" w:type="dxa"/>
            <w:tcMar>
              <w:left w:w="108" w:type="dxa"/>
              <w:right w:w="108" w:type="dxa"/>
            </w:tcMar>
          </w:tcPr>
          <w:p w14:paraId="001A5521" w14:textId="77777777" w:rsidR="003759CA" w:rsidRPr="00586B43" w:rsidRDefault="003759CA" w:rsidP="007F1987">
            <w:pPr>
              <w:jc w:val="both"/>
              <w:rPr>
                <w:rFonts w:ascii="Times New Roman" w:hAnsi="Times New Roman" w:cs="Times New Roman"/>
                <w:sz w:val="22"/>
                <w:szCs w:val="22"/>
              </w:rPr>
            </w:pPr>
            <w:r w:rsidRPr="00586B43">
              <w:rPr>
                <w:rFonts w:ascii="Times New Roman" w:eastAsia="Times New Roman" w:hAnsi="Times New Roman" w:cs="Times New Roman"/>
                <w:sz w:val="22"/>
                <w:szCs w:val="22"/>
              </w:rPr>
              <w:t>“Tree length” in network analysis refers to characteristics of spanning trees or path lengths within tree-like substructures. A lower normalized tree length implies more efficient connections or a more compact core structure. Large banks are at the core and connected to smaller banks at the periphery.</w:t>
            </w:r>
          </w:p>
        </w:tc>
      </w:tr>
    </w:tbl>
    <w:p w14:paraId="25B7EBFF" w14:textId="77777777" w:rsidR="00AC6E8D" w:rsidRPr="007F1987" w:rsidRDefault="00AC6E8D" w:rsidP="007F1987">
      <w:pPr>
        <w:spacing w:after="0" w:line="240" w:lineRule="auto"/>
        <w:rPr>
          <w:rFonts w:ascii="Times New Roman" w:hAnsi="Times New Roman" w:cs="Times New Roman"/>
        </w:rPr>
      </w:pPr>
    </w:p>
    <w:p w14:paraId="6662CC4B" w14:textId="77777777" w:rsidR="0074359A" w:rsidRPr="007F1987" w:rsidRDefault="0074359A" w:rsidP="007F1987">
      <w:pPr>
        <w:spacing w:after="0" w:line="240" w:lineRule="auto"/>
        <w:jc w:val="both"/>
        <w:rPr>
          <w:rFonts w:ascii="Times New Roman" w:hAnsi="Times New Roman" w:cs="Times New Roman"/>
          <w:b/>
          <w:bCs/>
        </w:rPr>
      </w:pPr>
    </w:p>
    <w:p w14:paraId="653E769F" w14:textId="12F871AB" w:rsidR="00152410" w:rsidRPr="007F1987" w:rsidRDefault="00F87933" w:rsidP="007F1987">
      <w:pPr>
        <w:spacing w:after="0" w:line="240" w:lineRule="auto"/>
        <w:jc w:val="both"/>
        <w:rPr>
          <w:rFonts w:ascii="Times New Roman" w:hAnsi="Times New Roman" w:cs="Times New Roman"/>
        </w:rPr>
      </w:pPr>
      <w:r w:rsidRPr="007F1987">
        <w:rPr>
          <w:rFonts w:ascii="Times New Roman" w:hAnsi="Times New Roman" w:cs="Times New Roman"/>
          <w:b/>
          <w:bCs/>
        </w:rPr>
        <w:t xml:space="preserve">Appendix </w:t>
      </w:r>
      <w:r w:rsidR="006928DC" w:rsidRPr="007F1987">
        <w:rPr>
          <w:rFonts w:ascii="Times New Roman" w:hAnsi="Times New Roman" w:cs="Times New Roman"/>
          <w:b/>
          <w:bCs/>
        </w:rPr>
        <w:t>D</w:t>
      </w:r>
      <w:r w:rsidR="00AB1D94" w:rsidRPr="007F1987">
        <w:rPr>
          <w:rFonts w:ascii="Times New Roman" w:hAnsi="Times New Roman" w:cs="Times New Roman"/>
        </w:rPr>
        <w:t xml:space="preserve">: </w:t>
      </w:r>
      <w:r w:rsidR="006240DB" w:rsidRPr="007F1987">
        <w:rPr>
          <w:rFonts w:ascii="Times New Roman" w:eastAsia="Times New Roman" w:hAnsi="Times New Roman" w:cs="Times New Roman"/>
          <w:b/>
          <w:bCs/>
          <w:kern w:val="0"/>
          <w14:ligatures w14:val="none"/>
        </w:rPr>
        <w:t xml:space="preserve">Major </w:t>
      </w:r>
      <w:r w:rsidR="00E07FE0" w:rsidRPr="007F1987">
        <w:rPr>
          <w:rFonts w:ascii="Times New Roman" w:eastAsia="Times New Roman" w:hAnsi="Times New Roman" w:cs="Times New Roman"/>
          <w:b/>
          <w:bCs/>
          <w:kern w:val="0"/>
          <w14:ligatures w14:val="none"/>
        </w:rPr>
        <w:t xml:space="preserve">U.S. </w:t>
      </w:r>
      <w:r w:rsidR="00586B43">
        <w:rPr>
          <w:rFonts w:ascii="Times New Roman" w:eastAsia="Times New Roman" w:hAnsi="Times New Roman" w:cs="Times New Roman"/>
          <w:b/>
          <w:bCs/>
          <w:kern w:val="0"/>
          <w14:ligatures w14:val="none"/>
        </w:rPr>
        <w:t>r</w:t>
      </w:r>
      <w:r w:rsidR="005C295C" w:rsidRPr="007F1987">
        <w:rPr>
          <w:rFonts w:ascii="Times New Roman" w:eastAsia="Times New Roman" w:hAnsi="Times New Roman" w:cs="Times New Roman"/>
          <w:b/>
          <w:bCs/>
          <w:kern w:val="0"/>
          <w14:ligatures w14:val="none"/>
        </w:rPr>
        <w:t>egulations</w:t>
      </w:r>
      <w:r w:rsidR="006240DB" w:rsidRPr="007F1987">
        <w:rPr>
          <w:rFonts w:ascii="Times New Roman" w:eastAsia="Times New Roman" w:hAnsi="Times New Roman" w:cs="Times New Roman"/>
          <w:b/>
          <w:bCs/>
          <w:kern w:val="0"/>
          <w14:ligatures w14:val="none"/>
        </w:rPr>
        <w:t xml:space="preserve"> from</w:t>
      </w:r>
      <w:r w:rsidR="005C295C" w:rsidRPr="007F1987">
        <w:rPr>
          <w:rFonts w:ascii="Times New Roman" w:eastAsia="Times New Roman" w:hAnsi="Times New Roman" w:cs="Times New Roman"/>
          <w:b/>
          <w:bCs/>
          <w:kern w:val="0"/>
          <w14:ligatures w14:val="none"/>
        </w:rPr>
        <w:t xml:space="preserve"> 2014 to 2024</w:t>
      </w:r>
      <w:r w:rsidR="006240DB" w:rsidRPr="007F1987">
        <w:rPr>
          <w:rFonts w:ascii="Times New Roman" w:eastAsia="Times New Roman" w:hAnsi="Times New Roman" w:cs="Times New Roman"/>
          <w:b/>
          <w:bCs/>
          <w:kern w:val="0"/>
          <w14:ligatures w14:val="none"/>
        </w:rPr>
        <w:t xml:space="preserve"> </w:t>
      </w:r>
    </w:p>
    <w:p w14:paraId="52AE1574" w14:textId="77777777" w:rsidR="00E07FE0" w:rsidRPr="007F1987" w:rsidRDefault="00E07FE0" w:rsidP="007F1987">
      <w:pPr>
        <w:spacing w:after="0" w:line="240" w:lineRule="auto"/>
        <w:jc w:val="both"/>
        <w:rPr>
          <w:rFonts w:ascii="Times New Roman" w:hAnsi="Times New Roman" w:cs="Times New Roman"/>
        </w:rPr>
      </w:pPr>
    </w:p>
    <w:p w14:paraId="40E5D880" w14:textId="155580EB" w:rsidR="008D65D2" w:rsidRPr="007F1987" w:rsidRDefault="00E07FE0" w:rsidP="007F1987">
      <w:pPr>
        <w:spacing w:after="0" w:line="240" w:lineRule="auto"/>
        <w:jc w:val="both"/>
        <w:rPr>
          <w:rFonts w:ascii="Times New Roman" w:hAnsi="Times New Roman" w:cs="Times New Roman"/>
        </w:rPr>
      </w:pPr>
      <w:r w:rsidRPr="007F1987">
        <w:rPr>
          <w:rFonts w:ascii="Times New Roman" w:hAnsi="Times New Roman" w:cs="Times New Roman"/>
          <w:b/>
          <w:bCs/>
        </w:rPr>
        <w:t>D1.</w:t>
      </w:r>
      <w:r w:rsidRPr="007F1987">
        <w:rPr>
          <w:rFonts w:ascii="Times New Roman" w:hAnsi="Times New Roman" w:cs="Times New Roman"/>
        </w:rPr>
        <w:t xml:space="preserve"> </w:t>
      </w:r>
      <w:r w:rsidR="008D65D2" w:rsidRPr="007F1987">
        <w:rPr>
          <w:rFonts w:ascii="Times New Roman" w:hAnsi="Times New Roman" w:cs="Times New Roman"/>
          <w:b/>
          <w:bCs/>
        </w:rPr>
        <w:t>Financial Institutions Reform, Recovery, and Enforcement Act (FIRREA) - 1989</w:t>
      </w:r>
    </w:p>
    <w:p w14:paraId="2CFF6C1D" w14:textId="77777777" w:rsidR="00F742DF" w:rsidRDefault="00F742DF" w:rsidP="007F1987">
      <w:pPr>
        <w:spacing w:after="0" w:line="240" w:lineRule="auto"/>
        <w:jc w:val="both"/>
        <w:rPr>
          <w:rFonts w:ascii="Times New Roman" w:hAnsi="Times New Roman" w:cs="Times New Roman"/>
        </w:rPr>
      </w:pPr>
    </w:p>
    <w:p w14:paraId="4CAF7B05" w14:textId="323EC45A" w:rsidR="008D65D2" w:rsidRPr="007F1987" w:rsidRDefault="008D65D2" w:rsidP="007F1987">
      <w:pPr>
        <w:spacing w:after="0" w:line="240" w:lineRule="auto"/>
        <w:jc w:val="both"/>
        <w:rPr>
          <w:rFonts w:ascii="Times New Roman" w:hAnsi="Times New Roman" w:cs="Times New Roman"/>
        </w:rPr>
      </w:pPr>
      <w:r w:rsidRPr="007F1987">
        <w:rPr>
          <w:rFonts w:ascii="Times New Roman" w:hAnsi="Times New Roman" w:cs="Times New Roman"/>
        </w:rPr>
        <w:t>This regulation was promulgated in response to the savings and loan crisis. FIRREA restructured the federal savings and loan regulatory system. It established the Resolution Trust Corporation to manage insolvent thrifts and transferred regulatory authority to the Office of Thrift Supervision. The act also introduced stricter oversight and capital requirements for savings institutions, and the enforcement date was 1989.</w:t>
      </w:r>
    </w:p>
    <w:p w14:paraId="0FB0CAE1" w14:textId="77777777" w:rsidR="00F742DF" w:rsidRPr="007F1987" w:rsidRDefault="00F742DF" w:rsidP="007F1987">
      <w:pPr>
        <w:spacing w:after="0" w:line="240" w:lineRule="auto"/>
        <w:jc w:val="both"/>
        <w:rPr>
          <w:rFonts w:ascii="Times New Roman" w:hAnsi="Times New Roman" w:cs="Times New Roman"/>
        </w:rPr>
      </w:pPr>
    </w:p>
    <w:p w14:paraId="030F4477" w14:textId="7B11F48C" w:rsidR="008D65D2" w:rsidRPr="007F1987" w:rsidRDefault="00E07FE0" w:rsidP="007F1987">
      <w:pPr>
        <w:spacing w:after="0" w:line="240" w:lineRule="auto"/>
        <w:jc w:val="both"/>
        <w:rPr>
          <w:rFonts w:ascii="Times New Roman" w:hAnsi="Times New Roman" w:cs="Times New Roman"/>
        </w:rPr>
      </w:pPr>
      <w:r w:rsidRPr="007F1987">
        <w:rPr>
          <w:rFonts w:ascii="Times New Roman" w:hAnsi="Times New Roman" w:cs="Times New Roman"/>
          <w:b/>
          <w:bCs/>
        </w:rPr>
        <w:t xml:space="preserve">D2. </w:t>
      </w:r>
      <w:r w:rsidR="008D65D2" w:rsidRPr="007F1987">
        <w:rPr>
          <w:rFonts w:ascii="Times New Roman" w:hAnsi="Times New Roman" w:cs="Times New Roman"/>
          <w:b/>
          <w:bCs/>
        </w:rPr>
        <w:t>Federal Deposit Insurance Corporation Improvement Act (FDICIA) -1991</w:t>
      </w:r>
    </w:p>
    <w:p w14:paraId="794A87D4" w14:textId="77777777" w:rsidR="00F742DF" w:rsidRDefault="00F742DF" w:rsidP="007F1987">
      <w:pPr>
        <w:spacing w:after="0" w:line="240" w:lineRule="auto"/>
        <w:jc w:val="both"/>
        <w:rPr>
          <w:rFonts w:ascii="Times New Roman" w:hAnsi="Times New Roman" w:cs="Times New Roman"/>
        </w:rPr>
      </w:pPr>
    </w:p>
    <w:p w14:paraId="7BC22DF1" w14:textId="5DE36FF2" w:rsidR="008D65D2" w:rsidRPr="007F1987" w:rsidRDefault="008D65D2" w:rsidP="007F1987">
      <w:pPr>
        <w:spacing w:after="0" w:line="240" w:lineRule="auto"/>
        <w:jc w:val="both"/>
        <w:rPr>
          <w:rFonts w:ascii="Times New Roman" w:hAnsi="Times New Roman" w:cs="Times New Roman"/>
        </w:rPr>
      </w:pPr>
      <w:r w:rsidRPr="007F1987">
        <w:rPr>
          <w:rFonts w:ascii="Times New Roman" w:hAnsi="Times New Roman" w:cs="Times New Roman"/>
        </w:rPr>
        <w:t>FDICIA enhanced the FDIC</w:t>
      </w:r>
      <w:r w:rsidR="00E07FE0" w:rsidRPr="007F1987">
        <w:rPr>
          <w:rFonts w:ascii="Times New Roman" w:hAnsi="Times New Roman" w:cs="Times New Roman"/>
        </w:rPr>
        <w:t>’</w:t>
      </w:r>
      <w:r w:rsidRPr="007F1987">
        <w:rPr>
          <w:rFonts w:ascii="Times New Roman" w:hAnsi="Times New Roman" w:cs="Times New Roman"/>
        </w:rPr>
        <w:t xml:space="preserve">s authority, mandated risk-based deposit insurance premiums, and introduced prompt corrective action provisions. It also imposed stricter capital requirements and limited certain activities of insured state banks, and its enforcement date was 1991. </w:t>
      </w:r>
    </w:p>
    <w:p w14:paraId="58D0222B" w14:textId="77777777" w:rsidR="00E07FE0" w:rsidRPr="007F1987" w:rsidRDefault="00E07FE0" w:rsidP="007F1987">
      <w:pPr>
        <w:spacing w:after="0" w:line="240" w:lineRule="auto"/>
        <w:jc w:val="both"/>
        <w:rPr>
          <w:rFonts w:ascii="Times New Roman" w:hAnsi="Times New Roman" w:cs="Times New Roman"/>
        </w:rPr>
      </w:pPr>
    </w:p>
    <w:p w14:paraId="636976E7" w14:textId="7ADFA3DB" w:rsidR="008D65D2" w:rsidRPr="007F1987" w:rsidRDefault="00E07FE0" w:rsidP="007F1987">
      <w:pPr>
        <w:spacing w:after="0" w:line="240" w:lineRule="auto"/>
        <w:jc w:val="both"/>
        <w:rPr>
          <w:rFonts w:ascii="Times New Roman" w:hAnsi="Times New Roman" w:cs="Times New Roman"/>
          <w:b/>
          <w:bCs/>
        </w:rPr>
      </w:pPr>
      <w:r w:rsidRPr="007F1987">
        <w:rPr>
          <w:rFonts w:ascii="Times New Roman" w:hAnsi="Times New Roman" w:cs="Times New Roman"/>
          <w:b/>
          <w:bCs/>
        </w:rPr>
        <w:t>D3.</w:t>
      </w:r>
      <w:r w:rsidR="008D65D2" w:rsidRPr="007F1987">
        <w:rPr>
          <w:rFonts w:ascii="Times New Roman" w:hAnsi="Times New Roman" w:cs="Times New Roman"/>
          <w:b/>
          <w:bCs/>
        </w:rPr>
        <w:t xml:space="preserve"> Riegle-Neal Interstate Banking and Branching Efficiency Act (IBBEA) - 1994</w:t>
      </w:r>
    </w:p>
    <w:p w14:paraId="183BF7E3" w14:textId="77777777" w:rsidR="00F742DF" w:rsidRDefault="00F742DF" w:rsidP="007F1987">
      <w:pPr>
        <w:spacing w:after="0" w:line="240" w:lineRule="auto"/>
        <w:jc w:val="both"/>
        <w:rPr>
          <w:rFonts w:ascii="Times New Roman" w:hAnsi="Times New Roman" w:cs="Times New Roman"/>
        </w:rPr>
      </w:pPr>
    </w:p>
    <w:p w14:paraId="60037287" w14:textId="3B49C5F4" w:rsidR="008D65D2" w:rsidRPr="007F1987" w:rsidRDefault="008D65D2" w:rsidP="007F1987">
      <w:pPr>
        <w:spacing w:after="0" w:line="240" w:lineRule="auto"/>
        <w:jc w:val="both"/>
        <w:rPr>
          <w:rFonts w:ascii="Times New Roman" w:hAnsi="Times New Roman" w:cs="Times New Roman"/>
        </w:rPr>
      </w:pPr>
      <w:r w:rsidRPr="007F1987">
        <w:rPr>
          <w:rFonts w:ascii="Times New Roman" w:hAnsi="Times New Roman" w:cs="Times New Roman"/>
        </w:rPr>
        <w:t>This act allowed bank holding companies to acquire banks in any state and permitted interstate branching. It aimed to create a more efficient and competitive banking system by reducing geographic restrictions and came into force in 1994.</w:t>
      </w:r>
    </w:p>
    <w:p w14:paraId="197E2F44" w14:textId="77777777" w:rsidR="00E07FE0" w:rsidRPr="007F1987" w:rsidRDefault="00E07FE0" w:rsidP="007F1987">
      <w:pPr>
        <w:spacing w:after="0" w:line="240" w:lineRule="auto"/>
        <w:jc w:val="both"/>
        <w:rPr>
          <w:rFonts w:ascii="Times New Roman" w:hAnsi="Times New Roman" w:cs="Times New Roman"/>
        </w:rPr>
      </w:pPr>
    </w:p>
    <w:p w14:paraId="0027F4B3" w14:textId="77777777" w:rsidR="00F742DF" w:rsidRDefault="00F742DF" w:rsidP="007F1987">
      <w:pPr>
        <w:spacing w:after="0" w:line="240" w:lineRule="auto"/>
        <w:jc w:val="both"/>
        <w:rPr>
          <w:rFonts w:ascii="Times New Roman" w:hAnsi="Times New Roman" w:cs="Times New Roman"/>
          <w:b/>
          <w:bCs/>
        </w:rPr>
      </w:pPr>
    </w:p>
    <w:p w14:paraId="0232B969" w14:textId="77777777" w:rsidR="00F742DF" w:rsidRDefault="00F742DF" w:rsidP="007F1987">
      <w:pPr>
        <w:spacing w:after="0" w:line="240" w:lineRule="auto"/>
        <w:jc w:val="both"/>
        <w:rPr>
          <w:rFonts w:ascii="Times New Roman" w:hAnsi="Times New Roman" w:cs="Times New Roman"/>
          <w:b/>
          <w:bCs/>
        </w:rPr>
      </w:pPr>
    </w:p>
    <w:p w14:paraId="5F2CAF0C" w14:textId="77777777" w:rsidR="00F742DF" w:rsidRDefault="00F742DF" w:rsidP="007F1987">
      <w:pPr>
        <w:spacing w:after="0" w:line="240" w:lineRule="auto"/>
        <w:jc w:val="both"/>
        <w:rPr>
          <w:rFonts w:ascii="Times New Roman" w:hAnsi="Times New Roman" w:cs="Times New Roman"/>
          <w:b/>
          <w:bCs/>
        </w:rPr>
      </w:pPr>
    </w:p>
    <w:p w14:paraId="7F4D937C" w14:textId="6EFF9CBB" w:rsidR="008D65D2" w:rsidRPr="007F1987" w:rsidRDefault="00E07FE0" w:rsidP="007F1987">
      <w:pPr>
        <w:spacing w:after="0" w:line="240" w:lineRule="auto"/>
        <w:jc w:val="both"/>
        <w:rPr>
          <w:rFonts w:ascii="Times New Roman" w:hAnsi="Times New Roman" w:cs="Times New Roman"/>
          <w:b/>
          <w:bCs/>
        </w:rPr>
      </w:pPr>
      <w:r w:rsidRPr="007F1987">
        <w:rPr>
          <w:rFonts w:ascii="Times New Roman" w:hAnsi="Times New Roman" w:cs="Times New Roman"/>
          <w:b/>
          <w:bCs/>
        </w:rPr>
        <w:lastRenderedPageBreak/>
        <w:t>D</w:t>
      </w:r>
      <w:r w:rsidR="008D65D2" w:rsidRPr="007F1987">
        <w:rPr>
          <w:rFonts w:ascii="Times New Roman" w:hAnsi="Times New Roman" w:cs="Times New Roman"/>
          <w:b/>
          <w:bCs/>
        </w:rPr>
        <w:t>4</w:t>
      </w:r>
      <w:r w:rsidRPr="007F1987">
        <w:rPr>
          <w:rFonts w:ascii="Times New Roman" w:hAnsi="Times New Roman" w:cs="Times New Roman"/>
          <w:b/>
          <w:bCs/>
        </w:rPr>
        <w:t>.</w:t>
      </w:r>
      <w:r w:rsidR="008D65D2" w:rsidRPr="007F1987">
        <w:rPr>
          <w:rFonts w:ascii="Times New Roman" w:hAnsi="Times New Roman" w:cs="Times New Roman"/>
          <w:b/>
          <w:bCs/>
        </w:rPr>
        <w:t xml:space="preserve"> Gramm-Leach-</w:t>
      </w:r>
      <w:r w:rsidRPr="007F1987">
        <w:rPr>
          <w:rFonts w:ascii="Times New Roman" w:hAnsi="Times New Roman" w:cs="Times New Roman"/>
          <w:b/>
          <w:bCs/>
        </w:rPr>
        <w:t>B</w:t>
      </w:r>
      <w:r w:rsidR="008D65D2" w:rsidRPr="007F1987">
        <w:rPr>
          <w:rFonts w:ascii="Times New Roman" w:hAnsi="Times New Roman" w:cs="Times New Roman"/>
          <w:b/>
          <w:bCs/>
        </w:rPr>
        <w:t>liley Act (GLBA) - 1999</w:t>
      </w:r>
    </w:p>
    <w:p w14:paraId="6527E1A1" w14:textId="77777777" w:rsidR="00F742DF" w:rsidRDefault="00F742DF" w:rsidP="007F1987">
      <w:pPr>
        <w:spacing w:after="0" w:line="240" w:lineRule="auto"/>
        <w:jc w:val="both"/>
        <w:rPr>
          <w:rFonts w:ascii="Times New Roman" w:hAnsi="Times New Roman" w:cs="Times New Roman"/>
        </w:rPr>
      </w:pPr>
    </w:p>
    <w:p w14:paraId="5E1FF235" w14:textId="50443EBE" w:rsidR="008D65D2" w:rsidRPr="007F1987" w:rsidRDefault="008D65D2" w:rsidP="007F1987">
      <w:pPr>
        <w:spacing w:after="0" w:line="240" w:lineRule="auto"/>
        <w:jc w:val="both"/>
        <w:rPr>
          <w:rFonts w:ascii="Times New Roman" w:hAnsi="Times New Roman" w:cs="Times New Roman"/>
        </w:rPr>
      </w:pPr>
      <w:r w:rsidRPr="007F1987">
        <w:rPr>
          <w:rFonts w:ascii="Times New Roman" w:hAnsi="Times New Roman" w:cs="Times New Roman"/>
        </w:rPr>
        <w:t xml:space="preserve">GLBA repealed parts of the Glass-Steagall Act, allowing commercial banks, investment banks, and insurance companies to consolidate. It </w:t>
      </w:r>
      <w:proofErr w:type="gramStart"/>
      <w:r w:rsidRPr="007F1987">
        <w:rPr>
          <w:rFonts w:ascii="Times New Roman" w:hAnsi="Times New Roman" w:cs="Times New Roman"/>
        </w:rPr>
        <w:t>aimed</w:t>
      </w:r>
      <w:proofErr w:type="gramEnd"/>
      <w:r w:rsidRPr="007F1987">
        <w:rPr>
          <w:rFonts w:ascii="Times New Roman" w:hAnsi="Times New Roman" w:cs="Times New Roman"/>
        </w:rPr>
        <w:t xml:space="preserve"> to modernize the financial services industry and promote competition. The </w:t>
      </w:r>
      <w:proofErr w:type="gramStart"/>
      <w:r w:rsidRPr="007F1987">
        <w:rPr>
          <w:rFonts w:ascii="Times New Roman" w:hAnsi="Times New Roman" w:cs="Times New Roman"/>
        </w:rPr>
        <w:t>enforcement date</w:t>
      </w:r>
      <w:proofErr w:type="gramEnd"/>
      <w:r w:rsidRPr="007F1987">
        <w:rPr>
          <w:rFonts w:ascii="Times New Roman" w:hAnsi="Times New Roman" w:cs="Times New Roman"/>
        </w:rPr>
        <w:t xml:space="preserve"> </w:t>
      </w:r>
      <w:r w:rsidR="00E07FE0" w:rsidRPr="007F1987">
        <w:rPr>
          <w:rFonts w:ascii="Times New Roman" w:hAnsi="Times New Roman" w:cs="Times New Roman"/>
        </w:rPr>
        <w:t>wa</w:t>
      </w:r>
      <w:r w:rsidRPr="007F1987">
        <w:rPr>
          <w:rFonts w:ascii="Times New Roman" w:hAnsi="Times New Roman" w:cs="Times New Roman"/>
        </w:rPr>
        <w:t>s 1999.</w:t>
      </w:r>
    </w:p>
    <w:p w14:paraId="448BD0DC" w14:textId="77777777" w:rsidR="00E07FE0" w:rsidRPr="007F1987" w:rsidRDefault="00E07FE0" w:rsidP="007F1987">
      <w:pPr>
        <w:spacing w:after="0" w:line="240" w:lineRule="auto"/>
        <w:jc w:val="both"/>
        <w:rPr>
          <w:rFonts w:ascii="Times New Roman" w:hAnsi="Times New Roman" w:cs="Times New Roman"/>
        </w:rPr>
      </w:pPr>
    </w:p>
    <w:p w14:paraId="7189102F" w14:textId="77777777" w:rsidR="00F742DF" w:rsidRDefault="00F742DF" w:rsidP="007F1987">
      <w:pPr>
        <w:spacing w:after="0" w:line="240" w:lineRule="auto"/>
        <w:jc w:val="both"/>
        <w:rPr>
          <w:rFonts w:ascii="Times New Roman" w:hAnsi="Times New Roman" w:cs="Times New Roman"/>
          <w:b/>
          <w:bCs/>
        </w:rPr>
      </w:pPr>
    </w:p>
    <w:p w14:paraId="0A9BC654" w14:textId="6C937F57" w:rsidR="008D65D2" w:rsidRPr="007F1987" w:rsidRDefault="00E07FE0" w:rsidP="007F1987">
      <w:pPr>
        <w:spacing w:after="0" w:line="240" w:lineRule="auto"/>
        <w:jc w:val="both"/>
        <w:rPr>
          <w:rFonts w:ascii="Times New Roman" w:hAnsi="Times New Roman" w:cs="Times New Roman"/>
          <w:b/>
          <w:bCs/>
        </w:rPr>
      </w:pPr>
      <w:r w:rsidRPr="007F1987">
        <w:rPr>
          <w:rFonts w:ascii="Times New Roman" w:hAnsi="Times New Roman" w:cs="Times New Roman"/>
          <w:b/>
          <w:bCs/>
        </w:rPr>
        <w:t>D</w:t>
      </w:r>
      <w:r w:rsidR="008D65D2" w:rsidRPr="007F1987">
        <w:rPr>
          <w:rFonts w:ascii="Times New Roman" w:hAnsi="Times New Roman" w:cs="Times New Roman"/>
          <w:b/>
          <w:bCs/>
        </w:rPr>
        <w:t>5</w:t>
      </w:r>
      <w:r w:rsidRPr="007F1987">
        <w:rPr>
          <w:rFonts w:ascii="Times New Roman" w:hAnsi="Times New Roman" w:cs="Times New Roman"/>
          <w:b/>
          <w:bCs/>
        </w:rPr>
        <w:t>.</w:t>
      </w:r>
      <w:r w:rsidR="008D65D2" w:rsidRPr="007F1987">
        <w:rPr>
          <w:rFonts w:ascii="Times New Roman" w:hAnsi="Times New Roman" w:cs="Times New Roman"/>
          <w:b/>
          <w:bCs/>
        </w:rPr>
        <w:t xml:space="preserve"> Dodd-Frank Wall Street Reform and Consumer Protection Act - 2010</w:t>
      </w:r>
    </w:p>
    <w:p w14:paraId="314A609A" w14:textId="77777777" w:rsidR="00F742DF" w:rsidRDefault="00F742DF" w:rsidP="007F1987">
      <w:pPr>
        <w:spacing w:after="0" w:line="240" w:lineRule="auto"/>
        <w:jc w:val="both"/>
        <w:rPr>
          <w:rFonts w:ascii="Times New Roman" w:hAnsi="Times New Roman" w:cs="Times New Roman"/>
        </w:rPr>
      </w:pPr>
    </w:p>
    <w:p w14:paraId="15144DA6" w14:textId="4607B8D3" w:rsidR="008D65D2" w:rsidRPr="007F1987" w:rsidRDefault="008D65D2" w:rsidP="007F1987">
      <w:pPr>
        <w:spacing w:after="0" w:line="240" w:lineRule="auto"/>
        <w:jc w:val="both"/>
        <w:rPr>
          <w:rFonts w:ascii="Times New Roman" w:hAnsi="Times New Roman" w:cs="Times New Roman"/>
        </w:rPr>
      </w:pPr>
      <w:r w:rsidRPr="007F1987">
        <w:rPr>
          <w:rFonts w:ascii="Times New Roman" w:hAnsi="Times New Roman" w:cs="Times New Roman"/>
        </w:rPr>
        <w:t>Dodd-Frank introduced comprehensive financial regulatory reforms in response to the 2008 financial crisis. It established the Consumer Financial Protection Bureau, imposed stricter capital and liquidity requirements, and introduced the Volcker Rule, which restricted proprietary trading by banks.</w:t>
      </w:r>
    </w:p>
    <w:p w14:paraId="4FF1FA06" w14:textId="77777777" w:rsidR="00E07FE0" w:rsidRPr="007F1987" w:rsidRDefault="008D65D2" w:rsidP="00F742DF">
      <w:pPr>
        <w:spacing w:after="0" w:line="240" w:lineRule="auto"/>
        <w:ind w:firstLine="360"/>
        <w:jc w:val="both"/>
        <w:rPr>
          <w:rFonts w:ascii="Times New Roman" w:hAnsi="Times New Roman" w:cs="Times New Roman"/>
        </w:rPr>
      </w:pPr>
      <w:r w:rsidRPr="007F1987">
        <w:rPr>
          <w:rFonts w:ascii="Times New Roman" w:hAnsi="Times New Roman" w:cs="Times New Roman"/>
        </w:rPr>
        <w:t>The Volcker Rule is a key provision of the Dodd-Frank Wall Street Reform and Consumer Protection Act of 2010, enacted in response to the 2007–2009 financial crisis. Named after former Federal Reserve Chairman Paul Volcker, the rule aims to reduce excessive risk-taking by banks and safeguard the financial system from speculative activities that do not benefit customers or the broader economy. It was enforced in 2010.</w:t>
      </w:r>
    </w:p>
    <w:p w14:paraId="2CFB4F32" w14:textId="77777777" w:rsidR="0064036F" w:rsidRDefault="0064036F" w:rsidP="007F1987">
      <w:pPr>
        <w:spacing w:after="0" w:line="240" w:lineRule="auto"/>
        <w:rPr>
          <w:rFonts w:ascii="Times New Roman" w:eastAsia="Times New Roman" w:hAnsi="Times New Roman" w:cs="Times New Roman"/>
          <w:b/>
          <w:bCs/>
          <w:kern w:val="0"/>
          <w14:ligatures w14:val="none"/>
        </w:rPr>
      </w:pPr>
    </w:p>
    <w:p w14:paraId="69AC9F45" w14:textId="77777777" w:rsidR="00F742DF" w:rsidRPr="007F1987" w:rsidRDefault="00F742DF" w:rsidP="007F1987">
      <w:pPr>
        <w:spacing w:after="0" w:line="240" w:lineRule="auto"/>
        <w:rPr>
          <w:rFonts w:ascii="Times New Roman" w:eastAsia="Times New Roman" w:hAnsi="Times New Roman" w:cs="Times New Roman"/>
          <w:b/>
          <w:bCs/>
          <w:kern w:val="0"/>
          <w14:ligatures w14:val="none"/>
        </w:rPr>
      </w:pPr>
    </w:p>
    <w:p w14:paraId="08107810" w14:textId="4C34F398" w:rsidR="00E07FE0" w:rsidRDefault="00D22EBA" w:rsidP="007F1987">
      <w:pPr>
        <w:spacing w:after="0" w:line="240" w:lineRule="auto"/>
        <w:rPr>
          <w:rFonts w:ascii="Times New Roman" w:eastAsia="Times New Roman" w:hAnsi="Times New Roman" w:cs="Times New Roman"/>
          <w:b/>
          <w:bCs/>
          <w:kern w:val="0"/>
          <w14:ligatures w14:val="none"/>
        </w:rPr>
      </w:pPr>
      <w:r w:rsidRPr="007F1987">
        <w:rPr>
          <w:rFonts w:ascii="Times New Roman" w:eastAsia="Times New Roman" w:hAnsi="Times New Roman" w:cs="Times New Roman"/>
          <w:b/>
          <w:bCs/>
          <w:kern w:val="0"/>
          <w14:ligatures w14:val="none"/>
        </w:rPr>
        <w:t>App</w:t>
      </w:r>
      <w:r w:rsidR="006C2614" w:rsidRPr="007F1987">
        <w:rPr>
          <w:rFonts w:ascii="Times New Roman" w:eastAsia="Times New Roman" w:hAnsi="Times New Roman" w:cs="Times New Roman"/>
          <w:b/>
          <w:bCs/>
          <w:kern w:val="0"/>
          <w14:ligatures w14:val="none"/>
        </w:rPr>
        <w:t xml:space="preserve">endix </w:t>
      </w:r>
      <w:r w:rsidR="00A10878" w:rsidRPr="007F1987">
        <w:rPr>
          <w:rFonts w:ascii="Times New Roman" w:eastAsia="Times New Roman" w:hAnsi="Times New Roman" w:cs="Times New Roman"/>
          <w:b/>
          <w:bCs/>
          <w:kern w:val="0"/>
          <w14:ligatures w14:val="none"/>
        </w:rPr>
        <w:t>E</w:t>
      </w:r>
      <w:r w:rsidR="006C2614" w:rsidRPr="007F1987">
        <w:rPr>
          <w:rFonts w:ascii="Times New Roman" w:eastAsia="Times New Roman" w:hAnsi="Times New Roman" w:cs="Times New Roman"/>
          <w:b/>
          <w:bCs/>
          <w:kern w:val="0"/>
          <w14:ligatures w14:val="none"/>
        </w:rPr>
        <w:t xml:space="preserve">: </w:t>
      </w:r>
      <w:r w:rsidR="00B840A7" w:rsidRPr="007F1987">
        <w:rPr>
          <w:rFonts w:ascii="Times New Roman" w:eastAsia="Times New Roman" w:hAnsi="Times New Roman" w:cs="Times New Roman"/>
          <w:b/>
          <w:bCs/>
          <w:kern w:val="0"/>
          <w14:ligatures w14:val="none"/>
        </w:rPr>
        <w:t xml:space="preserve">Significance of </w:t>
      </w:r>
      <w:r w:rsidR="00F742DF">
        <w:rPr>
          <w:rFonts w:ascii="Times New Roman" w:eastAsia="Times New Roman" w:hAnsi="Times New Roman" w:cs="Times New Roman"/>
          <w:b/>
          <w:bCs/>
          <w:kern w:val="0"/>
          <w14:ligatures w14:val="none"/>
        </w:rPr>
        <w:t>d</w:t>
      </w:r>
      <w:r w:rsidR="00B840A7" w:rsidRPr="007F1987">
        <w:rPr>
          <w:rFonts w:ascii="Times New Roman" w:eastAsia="Times New Roman" w:hAnsi="Times New Roman" w:cs="Times New Roman"/>
          <w:b/>
          <w:bCs/>
          <w:kern w:val="0"/>
          <w14:ligatures w14:val="none"/>
        </w:rPr>
        <w:t xml:space="preserve">etected </w:t>
      </w:r>
      <w:r w:rsidR="00F742DF">
        <w:rPr>
          <w:rFonts w:ascii="Times New Roman" w:eastAsia="Times New Roman" w:hAnsi="Times New Roman" w:cs="Times New Roman"/>
          <w:b/>
          <w:bCs/>
          <w:kern w:val="0"/>
          <w14:ligatures w14:val="none"/>
        </w:rPr>
        <w:t>a</w:t>
      </w:r>
      <w:r w:rsidR="00B840A7" w:rsidRPr="007F1987">
        <w:rPr>
          <w:rFonts w:ascii="Times New Roman" w:eastAsia="Times New Roman" w:hAnsi="Times New Roman" w:cs="Times New Roman"/>
          <w:b/>
          <w:bCs/>
          <w:kern w:val="0"/>
          <w14:ligatures w14:val="none"/>
        </w:rPr>
        <w:t>nomalies</w:t>
      </w:r>
      <w:r w:rsidR="006C2614" w:rsidRPr="007F1987">
        <w:rPr>
          <w:rFonts w:ascii="Times New Roman" w:eastAsia="Times New Roman" w:hAnsi="Times New Roman" w:cs="Times New Roman"/>
          <w:b/>
          <w:bCs/>
          <w:kern w:val="0"/>
          <w14:ligatures w14:val="none"/>
        </w:rPr>
        <w:t xml:space="preserve"> and TGNN </w:t>
      </w:r>
      <w:r w:rsidR="00F742DF">
        <w:rPr>
          <w:rFonts w:ascii="Times New Roman" w:eastAsia="Times New Roman" w:hAnsi="Times New Roman" w:cs="Times New Roman"/>
          <w:b/>
          <w:bCs/>
          <w:kern w:val="0"/>
          <w14:ligatures w14:val="none"/>
        </w:rPr>
        <w:t>c</w:t>
      </w:r>
      <w:r w:rsidR="006C2614" w:rsidRPr="007F1987">
        <w:rPr>
          <w:rFonts w:ascii="Times New Roman" w:eastAsia="Times New Roman" w:hAnsi="Times New Roman" w:cs="Times New Roman"/>
          <w:b/>
          <w:bCs/>
          <w:kern w:val="0"/>
          <w14:ligatures w14:val="none"/>
        </w:rPr>
        <w:t xml:space="preserve">apacity to </w:t>
      </w:r>
      <w:r w:rsidR="00F742DF">
        <w:rPr>
          <w:rFonts w:ascii="Times New Roman" w:eastAsia="Times New Roman" w:hAnsi="Times New Roman" w:cs="Times New Roman"/>
          <w:b/>
          <w:bCs/>
          <w:kern w:val="0"/>
          <w14:ligatures w14:val="none"/>
        </w:rPr>
        <w:t>p</w:t>
      </w:r>
      <w:r w:rsidR="006C2614" w:rsidRPr="007F1987">
        <w:rPr>
          <w:rFonts w:ascii="Times New Roman" w:eastAsia="Times New Roman" w:hAnsi="Times New Roman" w:cs="Times New Roman"/>
          <w:b/>
          <w:bCs/>
          <w:kern w:val="0"/>
          <w14:ligatures w14:val="none"/>
        </w:rPr>
        <w:t xml:space="preserve">rovide </w:t>
      </w:r>
      <w:proofErr w:type="spellStart"/>
      <w:r w:rsidR="00F742DF">
        <w:rPr>
          <w:rFonts w:ascii="Times New Roman" w:eastAsia="Times New Roman" w:hAnsi="Times New Roman" w:cs="Times New Roman"/>
          <w:b/>
          <w:bCs/>
          <w:kern w:val="0"/>
          <w14:ligatures w14:val="none"/>
        </w:rPr>
        <w:t>r</w:t>
      </w:r>
      <w:r w:rsidR="006C2614" w:rsidRPr="007F1987">
        <w:rPr>
          <w:rFonts w:ascii="Times New Roman" w:eastAsia="Times New Roman" w:hAnsi="Times New Roman" w:cs="Times New Roman"/>
          <w:b/>
          <w:bCs/>
          <w:kern w:val="0"/>
          <w14:ligatures w14:val="none"/>
        </w:rPr>
        <w:t>arly</w:t>
      </w:r>
      <w:proofErr w:type="spellEnd"/>
      <w:r w:rsidR="006C2614" w:rsidRPr="007F1987">
        <w:rPr>
          <w:rFonts w:ascii="Times New Roman" w:eastAsia="Times New Roman" w:hAnsi="Times New Roman" w:cs="Times New Roman"/>
          <w:b/>
          <w:bCs/>
          <w:kern w:val="0"/>
          <w14:ligatures w14:val="none"/>
        </w:rPr>
        <w:t xml:space="preserve"> </w:t>
      </w:r>
      <w:r w:rsidR="00F742DF">
        <w:rPr>
          <w:rFonts w:ascii="Times New Roman" w:eastAsia="Times New Roman" w:hAnsi="Times New Roman" w:cs="Times New Roman"/>
          <w:b/>
          <w:bCs/>
          <w:kern w:val="0"/>
          <w14:ligatures w14:val="none"/>
        </w:rPr>
        <w:t>w</w:t>
      </w:r>
      <w:r w:rsidR="006C2614" w:rsidRPr="007F1987">
        <w:rPr>
          <w:rFonts w:ascii="Times New Roman" w:eastAsia="Times New Roman" w:hAnsi="Times New Roman" w:cs="Times New Roman"/>
          <w:b/>
          <w:bCs/>
          <w:kern w:val="0"/>
          <w14:ligatures w14:val="none"/>
        </w:rPr>
        <w:t xml:space="preserve">arning </w:t>
      </w:r>
      <w:r w:rsidR="00F742DF">
        <w:rPr>
          <w:rFonts w:ascii="Times New Roman" w:eastAsia="Times New Roman" w:hAnsi="Times New Roman" w:cs="Times New Roman"/>
          <w:b/>
          <w:bCs/>
          <w:kern w:val="0"/>
          <w14:ligatures w14:val="none"/>
        </w:rPr>
        <w:t>s</w:t>
      </w:r>
      <w:r w:rsidR="006C2614" w:rsidRPr="007F1987">
        <w:rPr>
          <w:rFonts w:ascii="Times New Roman" w:eastAsia="Times New Roman" w:hAnsi="Times New Roman" w:cs="Times New Roman"/>
          <w:b/>
          <w:bCs/>
          <w:kern w:val="0"/>
          <w14:ligatures w14:val="none"/>
        </w:rPr>
        <w:t>igna</w:t>
      </w:r>
      <w:r w:rsidR="00DE7F41" w:rsidRPr="007F1987">
        <w:rPr>
          <w:rFonts w:ascii="Times New Roman" w:eastAsia="Times New Roman" w:hAnsi="Times New Roman" w:cs="Times New Roman"/>
          <w:b/>
          <w:bCs/>
          <w:kern w:val="0"/>
          <w14:ligatures w14:val="none"/>
        </w:rPr>
        <w:t>ls</w:t>
      </w:r>
    </w:p>
    <w:p w14:paraId="7C13EB48" w14:textId="77777777" w:rsidR="00F742DF" w:rsidRPr="007F1987" w:rsidRDefault="00F742DF" w:rsidP="007F1987">
      <w:pPr>
        <w:spacing w:after="0" w:line="240" w:lineRule="auto"/>
        <w:rPr>
          <w:rFonts w:ascii="Times New Roman" w:eastAsia="Times New Roman" w:hAnsi="Times New Roman" w:cs="Times New Roman"/>
          <w:b/>
          <w:bCs/>
          <w:kern w:val="0"/>
          <w14:ligatures w14:val="none"/>
        </w:rPr>
      </w:pPr>
    </w:p>
    <w:p w14:paraId="425213C7" w14:textId="527EF230" w:rsidR="00965850" w:rsidRPr="007F1987" w:rsidRDefault="00E07FE0" w:rsidP="007F1987">
      <w:pPr>
        <w:spacing w:after="0" w:line="240" w:lineRule="auto"/>
        <w:rPr>
          <w:rFonts w:ascii="Times New Roman" w:eastAsia="Times New Roman" w:hAnsi="Times New Roman" w:cs="Times New Roman"/>
          <w:b/>
          <w:bCs/>
          <w:kern w:val="0"/>
          <w14:ligatures w14:val="none"/>
        </w:rPr>
      </w:pPr>
      <w:r w:rsidRPr="007F1987">
        <w:rPr>
          <w:rFonts w:ascii="Times New Roman" w:eastAsia="Times New Roman" w:hAnsi="Times New Roman" w:cs="Times New Roman"/>
          <w:b/>
          <w:bCs/>
          <w:kern w:val="0"/>
          <w14:ligatures w14:val="none"/>
        </w:rPr>
        <w:t xml:space="preserve">E1. </w:t>
      </w:r>
      <w:r w:rsidR="0039770B" w:rsidRPr="007F1987">
        <w:rPr>
          <w:rFonts w:ascii="Times New Roman" w:eastAsia="Times New Roman" w:hAnsi="Times New Roman" w:cs="Times New Roman"/>
          <w:b/>
          <w:bCs/>
          <w:kern w:val="0"/>
          <w14:ligatures w14:val="none"/>
        </w:rPr>
        <w:t xml:space="preserve">Significance of </w:t>
      </w:r>
      <w:r w:rsidR="00F742DF">
        <w:rPr>
          <w:rFonts w:ascii="Times New Roman" w:eastAsia="Times New Roman" w:hAnsi="Times New Roman" w:cs="Times New Roman"/>
          <w:b/>
          <w:bCs/>
          <w:kern w:val="0"/>
          <w14:ligatures w14:val="none"/>
        </w:rPr>
        <w:t>d</w:t>
      </w:r>
      <w:r w:rsidR="0039770B" w:rsidRPr="007F1987">
        <w:rPr>
          <w:rFonts w:ascii="Times New Roman" w:eastAsia="Times New Roman" w:hAnsi="Times New Roman" w:cs="Times New Roman"/>
          <w:b/>
          <w:bCs/>
          <w:kern w:val="0"/>
          <w14:ligatures w14:val="none"/>
        </w:rPr>
        <w:t xml:space="preserve">etected </w:t>
      </w:r>
      <w:r w:rsidR="00F742DF">
        <w:rPr>
          <w:rFonts w:ascii="Times New Roman" w:eastAsia="Times New Roman" w:hAnsi="Times New Roman" w:cs="Times New Roman"/>
          <w:b/>
          <w:bCs/>
          <w:kern w:val="0"/>
          <w14:ligatures w14:val="none"/>
        </w:rPr>
        <w:t>a</w:t>
      </w:r>
      <w:r w:rsidR="0039770B" w:rsidRPr="007F1987">
        <w:rPr>
          <w:rFonts w:ascii="Times New Roman" w:eastAsia="Times New Roman" w:hAnsi="Times New Roman" w:cs="Times New Roman"/>
          <w:b/>
          <w:bCs/>
          <w:kern w:val="0"/>
          <w14:ligatures w14:val="none"/>
        </w:rPr>
        <w:t xml:space="preserve">nomalies </w:t>
      </w:r>
    </w:p>
    <w:p w14:paraId="6CF50196" w14:textId="77777777" w:rsidR="00F742DF" w:rsidRDefault="00F742DF" w:rsidP="007F1987">
      <w:pPr>
        <w:pStyle w:val="ListParagraph"/>
        <w:spacing w:after="0" w:line="240" w:lineRule="auto"/>
        <w:ind w:left="0"/>
        <w:jc w:val="both"/>
        <w:rPr>
          <w:rFonts w:ascii="Times New Roman" w:eastAsia="Times New Roman" w:hAnsi="Times New Roman" w:cs="Times New Roman"/>
          <w:kern w:val="0"/>
          <w14:ligatures w14:val="none"/>
        </w:rPr>
      </w:pPr>
    </w:p>
    <w:p w14:paraId="4CB3C3FB" w14:textId="233615F4" w:rsidR="00B840A7" w:rsidRPr="007F1987" w:rsidRDefault="00B840A7" w:rsidP="007F1987">
      <w:pPr>
        <w:pStyle w:val="ListParagraph"/>
        <w:spacing w:after="0" w:line="240" w:lineRule="auto"/>
        <w:ind w:left="0"/>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 xml:space="preserve">The bank behavior and events captured by the </w:t>
      </w:r>
      <w:r w:rsidR="00E07FE0" w:rsidRPr="007F1987">
        <w:rPr>
          <w:rFonts w:ascii="Times New Roman" w:eastAsia="Times New Roman" w:hAnsi="Times New Roman" w:cs="Times New Roman"/>
          <w:kern w:val="0"/>
          <w14:ligatures w14:val="none"/>
        </w:rPr>
        <w:t>t</w:t>
      </w:r>
      <w:r w:rsidRPr="007F1987">
        <w:rPr>
          <w:rFonts w:ascii="Times New Roman" w:eastAsia="Times New Roman" w:hAnsi="Times New Roman" w:cs="Times New Roman"/>
          <w:kern w:val="0"/>
          <w14:ligatures w14:val="none"/>
        </w:rPr>
        <w:t xml:space="preserve">emporal </w:t>
      </w:r>
      <w:r w:rsidR="00E07FE0" w:rsidRPr="007F1987">
        <w:rPr>
          <w:rFonts w:ascii="Times New Roman" w:eastAsia="Times New Roman" w:hAnsi="Times New Roman" w:cs="Times New Roman"/>
          <w:kern w:val="0"/>
          <w14:ligatures w14:val="none"/>
        </w:rPr>
        <w:t>g</w:t>
      </w:r>
      <w:r w:rsidRPr="007F1987">
        <w:rPr>
          <w:rFonts w:ascii="Times New Roman" w:eastAsia="Times New Roman" w:hAnsi="Times New Roman" w:cs="Times New Roman"/>
          <w:kern w:val="0"/>
          <w14:ligatures w14:val="none"/>
        </w:rPr>
        <w:t xml:space="preserve">raph </w:t>
      </w:r>
      <w:r w:rsidR="00E07FE0" w:rsidRPr="007F1987">
        <w:rPr>
          <w:rFonts w:ascii="Times New Roman" w:eastAsia="Times New Roman" w:hAnsi="Times New Roman" w:cs="Times New Roman"/>
          <w:kern w:val="0"/>
          <w14:ligatures w14:val="none"/>
        </w:rPr>
        <w:t>n</w:t>
      </w:r>
      <w:r w:rsidRPr="007F1987">
        <w:rPr>
          <w:rFonts w:ascii="Times New Roman" w:eastAsia="Times New Roman" w:hAnsi="Times New Roman" w:cs="Times New Roman"/>
          <w:kern w:val="0"/>
          <w14:ligatures w14:val="none"/>
        </w:rPr>
        <w:t xml:space="preserve">eural </w:t>
      </w:r>
      <w:r w:rsidR="00E07FE0" w:rsidRPr="007F1987">
        <w:rPr>
          <w:rFonts w:ascii="Times New Roman" w:eastAsia="Times New Roman" w:hAnsi="Times New Roman" w:cs="Times New Roman"/>
          <w:kern w:val="0"/>
          <w14:ligatures w14:val="none"/>
        </w:rPr>
        <w:t>n</w:t>
      </w:r>
      <w:r w:rsidRPr="007F1987">
        <w:rPr>
          <w:rFonts w:ascii="Times New Roman" w:eastAsia="Times New Roman" w:hAnsi="Times New Roman" w:cs="Times New Roman"/>
          <w:kern w:val="0"/>
          <w14:ligatures w14:val="none"/>
        </w:rPr>
        <w:t>etwork (TGNN)-detected anomalies are first, regulatory pressure, and legal events</w:t>
      </w:r>
      <w:r w:rsidRPr="007F1987">
        <w:rPr>
          <w:rFonts w:ascii="Times New Roman" w:eastAsia="Times New Roman" w:hAnsi="Times New Roman" w:cs="Times New Roman"/>
          <w:b/>
          <w:bCs/>
          <w:kern w:val="0"/>
          <w14:ligatures w14:val="none"/>
        </w:rPr>
        <w:t>.</w:t>
      </w:r>
      <w:r w:rsidRPr="007F1987">
        <w:rPr>
          <w:rFonts w:ascii="Times New Roman" w:eastAsia="Times New Roman" w:hAnsi="Times New Roman" w:cs="Times New Roman"/>
          <w:kern w:val="0"/>
          <w14:ligatures w14:val="none"/>
        </w:rPr>
        <w:t xml:space="preserve"> To explain, banks under significant regulatory scrutiny or involved in major financial settlements and compliance issues exhibit high anomaly scores. For instance, JP Morgan recorded a high anomaly score associated with regulatory pressures, fines, and settlements due to its central role in interbank lending and derivatives markets, amplifying its interbank risk exposure </w:t>
      </w:r>
      <w:r w:rsidRPr="007F1987">
        <w:rPr>
          <w:rFonts w:ascii="Times New Roman" w:eastAsia="Times New Roman" w:hAnsi="Times New Roman" w:cs="Times New Roman"/>
          <w:kern w:val="0"/>
          <w14:ligatures w14:val="none"/>
        </w:rPr>
        <w:fldChar w:fldCharType="begin"/>
      </w:r>
      <w:r w:rsidRPr="007F1987">
        <w:rPr>
          <w:rFonts w:ascii="Times New Roman" w:eastAsia="Times New Roman" w:hAnsi="Times New Roman" w:cs="Times New Roman"/>
          <w:kern w:val="0"/>
          <w14:ligatures w14:val="none"/>
        </w:rPr>
        <w:instrText xml:space="preserve"> ADDIN ZOTERO_ITEM CSL_CITATION {"citationID":"gGMtyN9c","properties":{"formattedCitation":"(Acharya et al. 2014; Strahan 2013)","plainCitation":"(Acharya et al. 2014; Strahan 2013)","noteIndex":0},"citationItems":[{"id":684,"uris":["http://zotero.org/users/local/uS7NtXr0/items/Z2C3N9BV"],"itemData":{"id":684,"type":"article-journal","abstract":"We model a loop between sovereign and bank credit risk. A distressed financial sector induces government bailouts, whose cost increases sovereign credit risk. Increased sovereign credit risk in turn weakens the financial sector by eroding the value of its government guarantees and bond holdings. Using credit default swap (CDS) rates on European sovereigns and banks, we show that bailouts triggered the rise of sovereign credit risk in 2008. We document that post-bailout changes in sovereign CDS explain changes in bank CDS even after controlling for aggregate and bank-level determinants of credit spreads, confirming the sovereign-bank loop.","container-title":"The Journal of Finance","DOI":"10.1111/jofi.12206","ISSN":"1540-6261","issue":"6","language":"en","license":"© 2014 the American Finance Association","note":"_eprint: https://onlinelibrary.wiley.com/doi/pdf/10.1111/jofi.12206","page":"2689-2739","source":"Wiley Online Library","title":"A Pyrrhic Victory? Bank Bailouts and Sovereign Credit Risk","title-short":"A Pyrrhic Victory?","volume":"69","author":[{"family":"Acharya","given":"Viral"},{"family":"Drechsler","given":"Itamar"},{"family":"Schnabl","given":"Philipp"}],"issued":{"date-parts":[["2014"]]}}},{"id":686,"uris":["http://zotero.org/users/local/uS7NtXr0/items/Z8PLZB55"],"itemData":{"id":686,"type":"article-journal","abstract":"Governments cannot credibly commit to eschew bailouts of creditors when large financial institutions become distressed. This too-big-to-fail (TBTF) problem distorts how markets price securities issued by TBTF firms, thus encouraging them to borrow too much and take too much risk. TBTF also encourages financial firms to grow, leading to competitive inequity and potential misallocation of credit. This review discusses evidence that such distortions are empirically relevant and also discusses the policy efforts to limit them. In the wake of the Financial Crisis of 2007–2008, it seems increased concentration in the financial industry has worsened the TBTF problem. Nevertheless, markets price the risks of large financial firms more now than before the Financial Crisis.","container-title":"Annual Review of Financial Economics","DOI":"10.1146/annurev-financial-110112-121025","ISSN":"1941-1367, 1941-1375","issue":"1","journalAbbreviation":"Annu. Rev. Financ. Econ.","language":"en","page":"43-61","source":"DOI.org (Crossref)","title":"Too Big to Fail: Causes, Consequences, and Policy Responses","title-short":"Too Big to Fail","volume":"5","author":[{"family":"Strahan","given":"Philip E."}],"issued":{"date-parts":[["2013",11,1]]}}}],"schema":"https://github.com/citation-style-language/schema/raw/master/csl-citation.json"} </w:instrText>
      </w:r>
      <w:r w:rsidRPr="007F1987">
        <w:rPr>
          <w:rFonts w:ascii="Times New Roman" w:eastAsia="Times New Roman" w:hAnsi="Times New Roman" w:cs="Times New Roman"/>
          <w:kern w:val="0"/>
          <w14:ligatures w14:val="none"/>
        </w:rPr>
        <w:fldChar w:fldCharType="separate"/>
      </w:r>
      <w:r w:rsidRPr="007F1987">
        <w:rPr>
          <w:rFonts w:ascii="Times New Roman" w:hAnsi="Times New Roman" w:cs="Times New Roman"/>
        </w:rPr>
        <w:t>(Acharya et al. 2014; Strahan 2013)</w:t>
      </w:r>
      <w:r w:rsidRPr="007F1987">
        <w:rPr>
          <w:rFonts w:ascii="Times New Roman" w:eastAsia="Times New Roman" w:hAnsi="Times New Roman" w:cs="Times New Roman"/>
          <w:kern w:val="0"/>
          <w14:ligatures w14:val="none"/>
        </w:rPr>
        <w:fldChar w:fldCharType="end"/>
      </w:r>
      <w:r w:rsidRPr="007F1987">
        <w:rPr>
          <w:rFonts w:ascii="Times New Roman" w:eastAsia="Times New Roman" w:hAnsi="Times New Roman" w:cs="Times New Roman"/>
          <w:kern w:val="0"/>
          <w14:ligatures w14:val="none"/>
        </w:rPr>
        <w:t>.</w:t>
      </w:r>
    </w:p>
    <w:p w14:paraId="40F8DE94" w14:textId="77777777" w:rsidR="00F742DF" w:rsidRDefault="00B840A7" w:rsidP="00F742DF">
      <w:pPr>
        <w:spacing w:after="0" w:line="240" w:lineRule="auto"/>
        <w:ind w:firstLine="360"/>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 xml:space="preserve">Another important TGNN-detected anomaly is eventful and significant mergers and acquisitions within the interbank relationships. The anomalies captured by TGNN include periods of substantial organizational restructuring, such as mergers or acquisitions. First Horizon Bank, which exhibited a notably high anomaly score, reflects such an event due to its acquisition of IberiaBank Corporation. This significantly changes its interbank market footprint and connectivity </w:t>
      </w:r>
      <w:r w:rsidRPr="007F1987">
        <w:rPr>
          <w:rFonts w:ascii="Times New Roman" w:eastAsia="Times New Roman" w:hAnsi="Times New Roman" w:cs="Times New Roman"/>
          <w:kern w:val="0"/>
          <w14:ligatures w14:val="none"/>
        </w:rPr>
        <w:fldChar w:fldCharType="begin"/>
      </w:r>
      <w:r w:rsidRPr="007F1987">
        <w:rPr>
          <w:rFonts w:ascii="Times New Roman" w:eastAsia="Times New Roman" w:hAnsi="Times New Roman" w:cs="Times New Roman"/>
          <w:kern w:val="0"/>
          <w14:ligatures w14:val="none"/>
        </w:rPr>
        <w:instrText xml:space="preserve"> ADDIN ZOTERO_ITEM CSL_CITATION {"citationID":"6L9VmaXH","properties":{"formattedCitation":"(Carlson and Mitchener 2005; Hassan and Giouvris 2021; Johnson and Rice 2008)","plainCitation":"(Carlson and Mitchener 2005; Hassan and Giouvris 2021; Johnson and Rice 2008)","noteIndex":0},"citationItems":[{"id":509,"uris":["http://zotero.org/users/local/uS7NtXr0/items/BKDCX34R"],"itemData":{"id":509,"type":"document","publisher":"National Bureau of Economic Research Cambridge, Mass., USA","source":"Google Scholar","title":"Branch banking, bank competition, and financial stability","URL":"https://www.nber.org/papers/w11291","author":[{"family":"Carlson","given":"Mark"},{"family":"Mitchener","given":"Kris James"}],"accessed":{"date-parts":[["2025",6,14]]},"issued":{"date-parts":[["2005"]]}}},{"id":536,"uris":["http://zotero.org/users/local/uS7NtXr0/items/TBK6TAHY"],"itemData":{"id":536,"type":"article-journal","abstract":"The purpose of this paper is to examine the effects of bank mergers on systemic and systematic risks on the relative merits of product and market diversification strategies. It also observes determinants of M&amp;amp;A deals criteria, product and market diversification positioning, crisis threshold and other regulatory and market factors.,This research examines the impact and association between merger announcements and regulatory reforms at bank and system levels by investigating the impact of various bank consolidation strategies on firms’ risks. We estimate beta(s) as an index of financial institutions’ systematic risk. We then develop an index of the estimated equity value loss as the long-rum marginal expected shortfall (LRMES). LRMES contributes to compute systemic risk (SRISK) contribution of these firms, which is the capital that a firm is expected to need if we have another financial crisis.,Large acquiring banks decrease systemic risk contribution in cross-border M&amp;amp;As with a non-bank financial institution, and witness profitability (ROA) gains, supporting geographic diversification stability. Capital requirements, activity restrictions and bank concentration increase systemic risk contribution in national mergers. Bank mergers with investment FIs targets enhance productivity but impair technical efficiency, contrary to bank-real estate deals where technical efficiency change accompanied lower systemic risk contribution.,Financial institutions are recommended to avoid trapped capital and liquidity by efficiently using local balance sheet and strengthening them via implementing models that clearly set diversification and netting benefits to determine capital reserves and to drive capital efficiency through the clarity on product–activity–geography diversification and focus. This contributes to successful ringfencing, decreases compliance costs and maximises returns and minimises several risks including systemic risk.,Policy implications: the adversative properties of bank mergers in respect of systemic risk require strict and innovative monitoring of bank mergers from the bidding level by both acquirers and targets and regulators and competition supervisory bodies. Moreover, emphasis on regulators/governments intervention and role, as it provides a stabilising factor of the markets and consecutively lower systemic risk even if the systematic idiosyncratic risk contribution was significant. However, such roles have to be well planned and scaled to avoid providing motives for banks to seek too-big-too-fail or too-big-to-discipline status.,This research contributes to the renewing regulatory debate on banks sustainable structures by examining the risk effect of bank diversification versus focus. The authors aim to address the multidimensional impacts and risks inherent to M&amp;amp;A deals, by examining the extent of the interconnectedness of M&amp;amp;A and its implications within and beyond the banking sector.","archive_location":"world","container-title":"Journal of Financial Economic Policy","DOI":"10.1108/JFEP-03-2020-0043","ISSN":"1757-6385","issue":"2","language":"en","note":"publisher: Emerald Publishing Limited","page":"256-284","source":"www.emerald.com","title":"Bank mergers: the cyclical behaviour of regulation, risk and returns","title-short":"Bank mergers","volume":"13","author":[{"family":"Hassan","given":"Mohamad"},{"family":"Giouvris","given":"Evangelos"}],"issued":{"date-parts":[["2021",1,28]]}}},{"id":511,"uris":["http://zotero.org/users/local/uS7NtXr0/items/ZEQT2R4T"],"itemData":{"id":511,"type":"article-journal","container-title":"Washington and Lee Law Review","journalAbbreviation":"Wash. &amp; Lee L. Rev.","page":"73","source":"COinS","title":"Assessing a Decade of Interstate Bank Branching","volume":"65","author":[{"family":"Johnson","given":"Christian A."},{"family":"Rice","given":"Tara"}],"issued":{"date-parts":[["2008"]]}}}],"schema":"https://github.com/citation-style-language/schema/raw/master/csl-citation.json"} </w:instrText>
      </w:r>
      <w:r w:rsidRPr="007F1987">
        <w:rPr>
          <w:rFonts w:ascii="Times New Roman" w:eastAsia="Times New Roman" w:hAnsi="Times New Roman" w:cs="Times New Roman"/>
          <w:kern w:val="0"/>
          <w14:ligatures w14:val="none"/>
        </w:rPr>
        <w:fldChar w:fldCharType="separate"/>
      </w:r>
      <w:r w:rsidRPr="007F1987">
        <w:rPr>
          <w:rFonts w:ascii="Times New Roman" w:hAnsi="Times New Roman" w:cs="Times New Roman"/>
        </w:rPr>
        <w:t>(Carlson and Mitchener 2005; Hassan and Giouvris 2021; Johnson and Rice 2008)</w:t>
      </w:r>
      <w:r w:rsidRPr="007F1987">
        <w:rPr>
          <w:rFonts w:ascii="Times New Roman" w:eastAsia="Times New Roman" w:hAnsi="Times New Roman" w:cs="Times New Roman"/>
          <w:kern w:val="0"/>
          <w14:ligatures w14:val="none"/>
        </w:rPr>
        <w:fldChar w:fldCharType="end"/>
      </w:r>
      <w:r w:rsidRPr="007F1987">
        <w:rPr>
          <w:rFonts w:ascii="Times New Roman" w:eastAsia="Times New Roman" w:hAnsi="Times New Roman" w:cs="Times New Roman"/>
          <w:kern w:val="0"/>
          <w14:ligatures w14:val="none"/>
        </w:rPr>
        <w:t>.</w:t>
      </w:r>
    </w:p>
    <w:p w14:paraId="12817EFD" w14:textId="77777777" w:rsidR="00F742DF" w:rsidRDefault="00B840A7" w:rsidP="00F742DF">
      <w:pPr>
        <w:spacing w:after="0" w:line="240" w:lineRule="auto"/>
        <w:ind w:firstLine="360"/>
        <w:jc w:val="both"/>
        <w:rPr>
          <w:rFonts w:ascii="Times New Roman" w:eastAsia="Times New Roman" w:hAnsi="Times New Roman" w:cs="Times New Roman"/>
          <w:b/>
          <w:bCs/>
          <w:kern w:val="0"/>
          <w14:ligatures w14:val="none"/>
        </w:rPr>
      </w:pPr>
      <w:r w:rsidRPr="007F1987">
        <w:rPr>
          <w:rFonts w:ascii="Times New Roman" w:eastAsia="Times New Roman" w:hAnsi="Times New Roman" w:cs="Times New Roman"/>
          <w:kern w:val="0"/>
          <w14:ligatures w14:val="none"/>
        </w:rPr>
        <w:t>Moreover,</w:t>
      </w:r>
      <w:r w:rsidRPr="007F1987">
        <w:rPr>
          <w:rFonts w:ascii="Times New Roman" w:eastAsia="Times New Roman" w:hAnsi="Times New Roman" w:cs="Times New Roman"/>
          <w:b/>
          <w:bCs/>
          <w:kern w:val="0"/>
          <w14:ligatures w14:val="none"/>
        </w:rPr>
        <w:t xml:space="preserve"> </w:t>
      </w:r>
      <w:r w:rsidRPr="007F1987">
        <w:rPr>
          <w:rFonts w:ascii="Times New Roman" w:eastAsia="Times New Roman" w:hAnsi="Times New Roman" w:cs="Times New Roman"/>
          <w:kern w:val="0"/>
          <w14:ligatures w14:val="none"/>
        </w:rPr>
        <w:t>the TGNN-detected anomaly captures systemically important financial activities such as large overnight interbank positions or other alternative market transactions indicative of potential liquidity stress or systemic risks. Banks labeled as “too-big-to-fail” or involved in substantial interconnectedness record an elevated anomaly score</w:t>
      </w:r>
      <w:r w:rsidRPr="007F1987">
        <w:rPr>
          <w:rFonts w:ascii="Times New Roman" w:eastAsia="Times New Roman" w:hAnsi="Times New Roman" w:cs="Times New Roman"/>
          <w:b/>
          <w:bCs/>
          <w:kern w:val="0"/>
          <w14:ligatures w14:val="none"/>
        </w:rPr>
        <w:t xml:space="preserve"> </w:t>
      </w:r>
      <w:r w:rsidRPr="007F1987">
        <w:rPr>
          <w:rFonts w:ascii="Times New Roman" w:eastAsia="Times New Roman" w:hAnsi="Times New Roman" w:cs="Times New Roman"/>
          <w:b/>
          <w:bCs/>
          <w:kern w:val="0"/>
          <w14:ligatures w14:val="none"/>
        </w:rPr>
        <w:fldChar w:fldCharType="begin"/>
      </w:r>
      <w:r w:rsidRPr="007F1987">
        <w:rPr>
          <w:rFonts w:ascii="Times New Roman" w:eastAsia="Times New Roman" w:hAnsi="Times New Roman" w:cs="Times New Roman"/>
          <w:b/>
          <w:bCs/>
          <w:kern w:val="0"/>
          <w14:ligatures w14:val="none"/>
        </w:rPr>
        <w:instrText xml:space="preserve"> ADDIN ZOTERO_ITEM CSL_CITATION {"citationID":"T9F5qlib","properties":{"formattedCitation":"(Battiston et al. 2012; Craig and von Peter 2014; Fricke and Lux 2015)","plainCitation":"(Battiston et al. 2012; Craig and von Peter 2014; Fricke and Lux 2015)","noteIndex":0},"citationItems":[{"id":637,"uris":["http://zotero.org/users/local/uS7NtXr0/items/HIRWJWSA"],"itemData":{"id":637,"type":"article-journal","container-title":"Scientific reports","issue":"1","note":"publisher: Nature Publishing Group UK London","page":"541","source":"Google Scholar","title":"Debtrank: Too central to fail? financial networks, the fed and systemic risk","title-short":"Debtrank","volume":"2","author":[{"family":"Battiston","given":"Stefano"},{"family":"Puliga","given":"Michelangelo"},{"family":"Kaushik","given":"Rahul"},{"family":"Tasca","given":"Paolo"},{"family":"Caldarelli","given":"Guido"}],"issued":{"date-parts":[["2012"]]}}},{"id":676,"uris":["http://zotero.org/users/local/uS7NtXr0/items/FFKWXSRS"],"itemData":{"id":676,"type":"article-journal","abstract":"This paper provides evidence that interbank markets are tiered rather than flat, in the sense that most banks do not lend to each other directly but through money center banks acting as intermediaries. We capture the concept of tiering by developing a core-periphery model, and devise a procedure for fitting the model to real-world networks. Using Bundesbank data on bilateral interbank exposures among 2000 banks from 1999 to 2012, we find strong evidence of tiering in the German banking system. This extent of tiering is unlikely to arise in standard random networks. Indeed, we show that bank specialization and balance sheet variables predict how banks position themselves in the interbank market. This link provides a promising avenue for understanding the formation of financial networks.","container-title":"Journal of Financial Intermediation","DOI":"10.1016/j.jfi.2014.02.003","ISSN":"1042-9573","issue":"3","journalAbbreviation":"Journal of Financial Intermediation","page":"322-347","source":"ScienceDirect","title":"Interbank tiering and money center banks","volume":"23","author":[{"family":"Craig","given":"Ben"},{"family":"Peter","given":"Goetz","non-dropping-particle":"von"}],"issued":{"date-parts":[["2014",7,1]]}}},{"id":678,"uris":["http://zotero.org/users/local/uS7NtXr0/items/BLWELPHV"],"itemData":{"id":678,"type":"article-journal","abstract":"We explore the network topology arising from a dataset of the overnight interbank transactions on the e-MID trading platform from January 1999 to December 2010. In order to shed light on the hierarchical structure of the banking system, we estimate different versions of a core–periphery model. Our main findings are: (1) the identified core is quite stable over time in its size as well as in many structural properties, (2) there is also high persistence over time of banks’ identified positions as members of the core or periphery, (3) allowing for asymmetric ‘coreness’ with respect to lending and borrowing considerably improves the fit and reveals a high level of asymmetry and relatively little correlation between banks’ ‘in-coreness’ and ‘out-coreness’, and (4) we show that the identified core–periphery structure could not have been obtained spuriously from random networks. During the financial crisis of 2008, the reduction of interbank lending was mainly due to core banks reducing their numbers of active outgoing links.","container-title":"Computational Economics","DOI":"10.1007/s10614-014-9427-x","ISSN":"1572-9974","issue":"3","journalAbbreviation":"Comput Econ","language":"en","page":"359-395","source":"Springer Link","title":"Core–Periphery Structure in the Overnight Money Market: Evidence from the e-MID Trading Platform","title-short":"Core–Periphery Structure in the Overnight Money Market","volume":"45","author":[{"family":"Fricke","given":"Daniel"},{"family":"Lux","given":"Thomas"}],"issued":{"date-parts":[["2015",3,1]]}}}],"schema":"https://github.com/citation-style-language/schema/raw/master/csl-citation.json"} </w:instrText>
      </w:r>
      <w:r w:rsidRPr="007F1987">
        <w:rPr>
          <w:rFonts w:ascii="Times New Roman" w:eastAsia="Times New Roman" w:hAnsi="Times New Roman" w:cs="Times New Roman"/>
          <w:b/>
          <w:bCs/>
          <w:kern w:val="0"/>
          <w14:ligatures w14:val="none"/>
        </w:rPr>
        <w:fldChar w:fldCharType="separate"/>
      </w:r>
      <w:r w:rsidRPr="007F1987">
        <w:rPr>
          <w:rFonts w:ascii="Times New Roman" w:hAnsi="Times New Roman" w:cs="Times New Roman"/>
        </w:rPr>
        <w:t>(Battiston et al. 2012; Craig and von Peter 2014; Fricke and Lux 2015)</w:t>
      </w:r>
      <w:r w:rsidRPr="007F1987">
        <w:rPr>
          <w:rFonts w:ascii="Times New Roman" w:eastAsia="Times New Roman" w:hAnsi="Times New Roman" w:cs="Times New Roman"/>
          <w:b/>
          <w:bCs/>
          <w:kern w:val="0"/>
          <w14:ligatures w14:val="none"/>
        </w:rPr>
        <w:fldChar w:fldCharType="end"/>
      </w:r>
      <w:r w:rsidRPr="007F1987">
        <w:rPr>
          <w:rFonts w:ascii="Times New Roman" w:eastAsia="Times New Roman" w:hAnsi="Times New Roman" w:cs="Times New Roman"/>
          <w:b/>
          <w:bCs/>
          <w:kern w:val="0"/>
          <w14:ligatures w14:val="none"/>
        </w:rPr>
        <w:t>.</w:t>
      </w:r>
    </w:p>
    <w:p w14:paraId="14B5F191" w14:textId="08E69F7F" w:rsidR="00B840A7" w:rsidRPr="007F1987" w:rsidRDefault="00B840A7" w:rsidP="00F742DF">
      <w:pPr>
        <w:spacing w:after="0" w:line="240" w:lineRule="auto"/>
        <w:ind w:firstLine="360"/>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 xml:space="preserve">Lastly, the anomalies detected by TGNN reflect significant expansions or contractions in a bank's geographic or market footprint. This causes shifts in their position and interconnectedness in the interbank network. This can arise from strategic expansions when there is regulatory </w:t>
      </w:r>
      <w:r w:rsidRPr="007F1987">
        <w:rPr>
          <w:rFonts w:ascii="Times New Roman" w:eastAsia="Times New Roman" w:hAnsi="Times New Roman" w:cs="Times New Roman"/>
          <w:kern w:val="0"/>
          <w14:ligatures w14:val="none"/>
        </w:rPr>
        <w:lastRenderedPageBreak/>
        <w:t xml:space="preserve">relaxation or contraction due to regulatory tightening </w:t>
      </w:r>
      <w:r w:rsidRPr="007F1987">
        <w:rPr>
          <w:rFonts w:ascii="Times New Roman" w:eastAsia="Times New Roman" w:hAnsi="Times New Roman" w:cs="Times New Roman"/>
          <w:kern w:val="0"/>
          <w14:ligatures w14:val="none"/>
        </w:rPr>
        <w:fldChar w:fldCharType="begin"/>
      </w:r>
      <w:r w:rsidRPr="007F1987">
        <w:rPr>
          <w:rFonts w:ascii="Times New Roman" w:eastAsia="Times New Roman" w:hAnsi="Times New Roman" w:cs="Times New Roman"/>
          <w:kern w:val="0"/>
          <w14:ligatures w14:val="none"/>
        </w:rPr>
        <w:instrText xml:space="preserve"> ADDIN ZOTERO_ITEM CSL_CITATION {"citationID":"UXAVqlGd","properties":{"formattedCitation":"(Avery et al. 1999; Chen et al. 2025; Rice and Davis 2007)","plainCitation":"(Avery et al. 1999; Chen et al. 2025; Rice and Davis 2007)","noteIndex":0},"citationItems":[{"id":515,"uris":["http://zotero.org/users/local/uS7NtXr0/items/2LFFZV8C"],"itemData":{"id":515,"type":"article-journal","abstract":"This paper examines the association between consolidation and changes in levels of bank branching as measured by changes in the number of bank branches per capita. Using a specially-constructed data set, we address this issue as well as how this relationship varies with the type of consolidation and initial regulatory, competitive, and market conditions. We find that merges where merging institutions have branch networks which overlap within a ZIP code (within-ZIP merger) are strongly associated with a reduction in offices per capita in that ZIP code. This result is robust across time and holds in both rural and urban areas. The findings also suggest that, contrary to popularly held views, consolidation is not unambiguously negatively associated with changes in the number of banking offices per capita. Neither within-market-but-not-within-ZIP mergers nor out-of-market mergers consistently show such a relationship. We also find that the relationships between within-ZIP and within-market-but-not-within-ZIP mergers and changes in the number of bank offices per capita are more negative in low-income neighborhoods than in other neighborhoods. However, because most states now have unrestricted branching and because savings associations are less prevalent and financially healthier than in the past, these findings may not be indicative of future branching patterns.","container-title":"Journal of Banking &amp; Finance","DOI":"10.1016/S0378-4266(98)00094-6","ISSN":"0378-4266","issue":"2","journalAbbreviation":"Journal of Banking &amp; Finance","page":"497-532","source":"ScienceDirect","title":"Consolidation and bank branching patterns","volume":"23","author":[{"family":"Avery","given":"Robert B."},{"family":"Bostic","given":"Raphael W."},{"family":"Calem","given":"Paul S."},{"family":"Canner","given":"Glenn B."}],"issued":{"date-parts":[["1999",2,1]]}}},{"id":521,"uris":["http://zotero.org/users/local/uS7NtXr0/items/PQJBS9A6"],"itemData":{"id":521,"type":"chapter","abstract":"This study investigates the changing relationship between the board structure and chief executive officer (CEO) compensation of US commercial banks due to an exogenous shock, that is, the Gramm–Leach–Bliley Act (GLBA) of 1999. We hypothesize that the board structure of banks will change toward a more efficient role mitigating the interest conflicts between shareholders and managers and thus affect CEO compensation after the passage of the act. Our empirical results show that, after the passage of the act, bank boards significantly decreased their size, separated the dual roles of CEO and board chair, and increased board meeting frequencies and director ownership. Better-governed boards, however, are more willing to compensate CEOs after the passage of the GLBA. Our study complements the literature on the relationship between board function and CEO compensation.","archive_location":"world","container-title":"Advances in Pacific Basin Business, Economics and Finance","ISBN":"978-1-83549-685-5","language":"en","note":"ISSN: 2514-4650\nDOI: 10.1108/S2514-465020250000013001","page":"1-44","publisher":"Emerald Publishing Limited","source":"www.emerald.com","title":"Board Structure and CEO Compensation: Evidence From the 1999 Financial Services Modernization Act (Gramm–Leach–Bliley Act)","title-short":"Board Structure and CEO Compensation","URL":"https://www.emerald.com/insight/content/doi/10.1108/s2514-465020250000013001/full/html","volume":"13","author":[{"family":"Chen","given":"I.-Ju"},{"family":"Liang","given":"Hsin-Yu"},{"family":"Chen","given":"Carl R."},{"family":"Lin","given":"Jia-Ying"}],"accessed":{"date-parts":[["2025",6,14]]},"issued":{"date-parts":[["2025",5,5]]}}},{"id":513,"uris":["http://zotero.org/users/local/uS7NtXr0/items/2B8SES6H"],"itemData":{"id":513,"type":"article-journal","container-title":"Chicago Fed Letter","page":"18","source":"Google Scholar","title":"The branch banking boom in Illinois: A byproduct of restrictive branching laws","title-short":"The branch banking boom in Illinois","volume":"238","author":[{"family":"Rice","given":"Tara"},{"family":"Davis","given":"Erin"}],"issued":{"date-parts":[["2007"]]}}}],"schema":"https://github.com/citation-style-language/schema/raw/master/csl-citation.json"} </w:instrText>
      </w:r>
      <w:r w:rsidRPr="007F1987">
        <w:rPr>
          <w:rFonts w:ascii="Times New Roman" w:eastAsia="Times New Roman" w:hAnsi="Times New Roman" w:cs="Times New Roman"/>
          <w:kern w:val="0"/>
          <w14:ligatures w14:val="none"/>
        </w:rPr>
        <w:fldChar w:fldCharType="separate"/>
      </w:r>
      <w:r w:rsidRPr="007F1987">
        <w:rPr>
          <w:rFonts w:ascii="Times New Roman" w:hAnsi="Times New Roman" w:cs="Times New Roman"/>
        </w:rPr>
        <w:t>(Avery et al. 1999; Chen et al. 2025; Rice and Davis 2007)</w:t>
      </w:r>
      <w:r w:rsidRPr="007F1987">
        <w:rPr>
          <w:rFonts w:ascii="Times New Roman" w:eastAsia="Times New Roman" w:hAnsi="Times New Roman" w:cs="Times New Roman"/>
          <w:kern w:val="0"/>
          <w14:ligatures w14:val="none"/>
        </w:rPr>
        <w:fldChar w:fldCharType="end"/>
      </w:r>
      <w:r w:rsidRPr="007F1987">
        <w:rPr>
          <w:rFonts w:ascii="Times New Roman" w:eastAsia="Times New Roman" w:hAnsi="Times New Roman" w:cs="Times New Roman"/>
          <w:kern w:val="0"/>
          <w14:ligatures w14:val="none"/>
        </w:rPr>
        <w:t>.</w:t>
      </w:r>
    </w:p>
    <w:p w14:paraId="5975D562" w14:textId="77777777" w:rsidR="00E07FE0" w:rsidRPr="007F1987" w:rsidRDefault="00E07FE0" w:rsidP="007F1987">
      <w:pPr>
        <w:spacing w:after="0" w:line="240" w:lineRule="auto"/>
        <w:ind w:firstLine="720"/>
        <w:jc w:val="both"/>
        <w:rPr>
          <w:rFonts w:ascii="Times New Roman" w:eastAsia="Times New Roman" w:hAnsi="Times New Roman" w:cs="Times New Roman"/>
          <w:kern w:val="0"/>
          <w14:ligatures w14:val="none"/>
        </w:rPr>
      </w:pPr>
    </w:p>
    <w:p w14:paraId="230113CE" w14:textId="0F305C9C" w:rsidR="00B840A7" w:rsidRPr="007F1987" w:rsidRDefault="00E07FE0" w:rsidP="007F1987">
      <w:pPr>
        <w:spacing w:after="0" w:line="240" w:lineRule="auto"/>
        <w:jc w:val="both"/>
        <w:rPr>
          <w:rFonts w:ascii="Times New Roman" w:eastAsia="Times New Roman" w:hAnsi="Times New Roman" w:cs="Times New Roman"/>
          <w:b/>
          <w:bCs/>
          <w:kern w:val="0"/>
          <w14:ligatures w14:val="none"/>
        </w:rPr>
      </w:pPr>
      <w:r w:rsidRPr="007F1987">
        <w:rPr>
          <w:rFonts w:ascii="Times New Roman" w:eastAsia="Times New Roman" w:hAnsi="Times New Roman" w:cs="Times New Roman"/>
          <w:b/>
          <w:bCs/>
          <w:kern w:val="0"/>
          <w14:ligatures w14:val="none"/>
        </w:rPr>
        <w:t xml:space="preserve">E2. </w:t>
      </w:r>
      <w:r w:rsidR="00B840A7" w:rsidRPr="007F1987">
        <w:rPr>
          <w:rFonts w:ascii="Times New Roman" w:eastAsia="Times New Roman" w:hAnsi="Times New Roman" w:cs="Times New Roman"/>
          <w:b/>
          <w:bCs/>
          <w:kern w:val="0"/>
          <w14:ligatures w14:val="none"/>
        </w:rPr>
        <w:t xml:space="preserve">How </w:t>
      </w:r>
      <w:r w:rsidR="00BF3009">
        <w:rPr>
          <w:rFonts w:ascii="Times New Roman" w:eastAsia="Times New Roman" w:hAnsi="Times New Roman" w:cs="Times New Roman"/>
          <w:b/>
          <w:bCs/>
          <w:kern w:val="0"/>
          <w14:ligatures w14:val="none"/>
        </w:rPr>
        <w:t>e</w:t>
      </w:r>
      <w:r w:rsidR="00B840A7" w:rsidRPr="007F1987">
        <w:rPr>
          <w:rFonts w:ascii="Times New Roman" w:eastAsia="Times New Roman" w:hAnsi="Times New Roman" w:cs="Times New Roman"/>
          <w:b/>
          <w:bCs/>
          <w:kern w:val="0"/>
          <w14:ligatures w14:val="none"/>
        </w:rPr>
        <w:t xml:space="preserve">arly </w:t>
      </w:r>
      <w:r w:rsidR="00BF3009">
        <w:rPr>
          <w:rFonts w:ascii="Times New Roman" w:eastAsia="Times New Roman" w:hAnsi="Times New Roman" w:cs="Times New Roman"/>
          <w:b/>
          <w:bCs/>
          <w:kern w:val="0"/>
          <w14:ligatures w14:val="none"/>
        </w:rPr>
        <w:t>c</w:t>
      </w:r>
      <w:r w:rsidR="00B840A7" w:rsidRPr="007F1987">
        <w:rPr>
          <w:rFonts w:ascii="Times New Roman" w:eastAsia="Times New Roman" w:hAnsi="Times New Roman" w:cs="Times New Roman"/>
          <w:b/>
          <w:bCs/>
          <w:kern w:val="0"/>
          <w14:ligatures w14:val="none"/>
        </w:rPr>
        <w:t>an TGNN-</w:t>
      </w:r>
      <w:r w:rsidR="00BF3009">
        <w:rPr>
          <w:rFonts w:ascii="Times New Roman" w:eastAsia="Times New Roman" w:hAnsi="Times New Roman" w:cs="Times New Roman"/>
          <w:b/>
          <w:bCs/>
          <w:kern w:val="0"/>
          <w14:ligatures w14:val="none"/>
        </w:rPr>
        <w:t>d</w:t>
      </w:r>
      <w:r w:rsidR="00B840A7" w:rsidRPr="007F1987">
        <w:rPr>
          <w:rFonts w:ascii="Times New Roman" w:eastAsia="Times New Roman" w:hAnsi="Times New Roman" w:cs="Times New Roman"/>
          <w:b/>
          <w:bCs/>
          <w:kern w:val="0"/>
          <w14:ligatures w14:val="none"/>
        </w:rPr>
        <w:t xml:space="preserve">etected </w:t>
      </w:r>
      <w:r w:rsidR="00BF3009">
        <w:rPr>
          <w:rFonts w:ascii="Times New Roman" w:eastAsia="Times New Roman" w:hAnsi="Times New Roman" w:cs="Times New Roman"/>
          <w:b/>
          <w:bCs/>
          <w:kern w:val="0"/>
          <w14:ligatures w14:val="none"/>
        </w:rPr>
        <w:t>a</w:t>
      </w:r>
      <w:r w:rsidR="00B840A7" w:rsidRPr="007F1987">
        <w:rPr>
          <w:rFonts w:ascii="Times New Roman" w:eastAsia="Times New Roman" w:hAnsi="Times New Roman" w:cs="Times New Roman"/>
          <w:b/>
          <w:bCs/>
          <w:kern w:val="0"/>
          <w14:ligatures w14:val="none"/>
        </w:rPr>
        <w:t xml:space="preserve">nomalies </w:t>
      </w:r>
      <w:r w:rsidR="00BF3009">
        <w:rPr>
          <w:rFonts w:ascii="Times New Roman" w:eastAsia="Times New Roman" w:hAnsi="Times New Roman" w:cs="Times New Roman"/>
          <w:b/>
          <w:bCs/>
          <w:kern w:val="0"/>
          <w14:ligatures w14:val="none"/>
        </w:rPr>
        <w:t>p</w:t>
      </w:r>
      <w:r w:rsidR="00B840A7" w:rsidRPr="007F1987">
        <w:rPr>
          <w:rFonts w:ascii="Times New Roman" w:eastAsia="Times New Roman" w:hAnsi="Times New Roman" w:cs="Times New Roman"/>
          <w:b/>
          <w:bCs/>
          <w:kern w:val="0"/>
          <w14:ligatures w14:val="none"/>
        </w:rPr>
        <w:t xml:space="preserve">rovide </w:t>
      </w:r>
      <w:r w:rsidR="00BF3009">
        <w:rPr>
          <w:rFonts w:ascii="Times New Roman" w:eastAsia="Times New Roman" w:hAnsi="Times New Roman" w:cs="Times New Roman"/>
          <w:b/>
          <w:bCs/>
          <w:kern w:val="0"/>
          <w14:ligatures w14:val="none"/>
        </w:rPr>
        <w:t>w</w:t>
      </w:r>
      <w:r w:rsidR="00B840A7" w:rsidRPr="007F1987">
        <w:rPr>
          <w:rFonts w:ascii="Times New Roman" w:eastAsia="Times New Roman" w:hAnsi="Times New Roman" w:cs="Times New Roman"/>
          <w:b/>
          <w:bCs/>
          <w:kern w:val="0"/>
          <w14:ligatures w14:val="none"/>
        </w:rPr>
        <w:t xml:space="preserve">arning </w:t>
      </w:r>
      <w:r w:rsidR="00BF3009">
        <w:rPr>
          <w:rFonts w:ascii="Times New Roman" w:eastAsia="Times New Roman" w:hAnsi="Times New Roman" w:cs="Times New Roman"/>
          <w:b/>
          <w:bCs/>
          <w:kern w:val="0"/>
          <w14:ligatures w14:val="none"/>
        </w:rPr>
        <w:t>s</w:t>
      </w:r>
      <w:r w:rsidR="00B840A7" w:rsidRPr="007F1987">
        <w:rPr>
          <w:rFonts w:ascii="Times New Roman" w:eastAsia="Times New Roman" w:hAnsi="Times New Roman" w:cs="Times New Roman"/>
          <w:b/>
          <w:bCs/>
          <w:kern w:val="0"/>
          <w14:ligatures w14:val="none"/>
        </w:rPr>
        <w:t>ignals?</w:t>
      </w:r>
    </w:p>
    <w:p w14:paraId="277DF099" w14:textId="77777777" w:rsidR="00F742DF" w:rsidRDefault="00F742DF" w:rsidP="007F1987">
      <w:pPr>
        <w:spacing w:after="0" w:line="240" w:lineRule="auto"/>
        <w:jc w:val="both"/>
        <w:rPr>
          <w:rFonts w:ascii="Times New Roman" w:eastAsia="Times New Roman" w:hAnsi="Times New Roman" w:cs="Times New Roman"/>
          <w:kern w:val="0"/>
          <w14:ligatures w14:val="none"/>
        </w:rPr>
      </w:pPr>
    </w:p>
    <w:p w14:paraId="7B618E4A" w14:textId="0CF17E10" w:rsidR="00B840A7" w:rsidRPr="007F1987" w:rsidRDefault="00B840A7" w:rsidP="007F1987">
      <w:pPr>
        <w:spacing w:after="0" w:line="240" w:lineRule="auto"/>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TGNN-generated anomaly scores offer proactive early warning signals of financial stress, often several quarters in advance: Anomaly signals consistently precede recognized financial stress or distress events several quarters ahead. Historical anomalies that identified JP Morgan and First Horizon emerged significantly prior to known mergers, regulatory events, and</w:t>
      </w:r>
      <w:r w:rsidR="007E64F5" w:rsidRPr="007F1987">
        <w:rPr>
          <w:rFonts w:ascii="Times New Roman" w:eastAsia="Times New Roman" w:hAnsi="Times New Roman" w:cs="Times New Roman"/>
          <w:kern w:val="0"/>
          <w14:ligatures w14:val="none"/>
        </w:rPr>
        <w:t>/</w:t>
      </w:r>
      <w:r w:rsidRPr="007F1987">
        <w:rPr>
          <w:rFonts w:ascii="Times New Roman" w:eastAsia="Times New Roman" w:hAnsi="Times New Roman" w:cs="Times New Roman"/>
          <w:kern w:val="0"/>
          <w14:ligatures w14:val="none"/>
        </w:rPr>
        <w:t>or publicly reported financial stress. This implies, therefore, that the model</w:t>
      </w:r>
      <w:r w:rsidR="007E64F5" w:rsidRPr="007F1987">
        <w:rPr>
          <w:rFonts w:ascii="Times New Roman" w:eastAsia="Times New Roman" w:hAnsi="Times New Roman" w:cs="Times New Roman"/>
          <w:kern w:val="0"/>
          <w14:ligatures w14:val="none"/>
        </w:rPr>
        <w:t>’</w:t>
      </w:r>
      <w:r w:rsidRPr="007F1987">
        <w:rPr>
          <w:rFonts w:ascii="Times New Roman" w:eastAsia="Times New Roman" w:hAnsi="Times New Roman" w:cs="Times New Roman"/>
          <w:kern w:val="0"/>
          <w14:ligatures w14:val="none"/>
        </w:rPr>
        <w:t>s ability to provide timely early warnings is plausible.</w:t>
      </w:r>
    </w:p>
    <w:p w14:paraId="4C31F629" w14:textId="77777777" w:rsidR="00F742DF" w:rsidRDefault="00B840A7" w:rsidP="00F742DF">
      <w:pPr>
        <w:spacing w:after="0" w:line="240" w:lineRule="auto"/>
        <w:ind w:firstLine="360"/>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Moreover, this dynamic time-series model (TGNN) has the capacity to identify nuance changes in banks</w:t>
      </w:r>
      <w:r w:rsidR="007E64F5" w:rsidRPr="007F1987">
        <w:rPr>
          <w:rFonts w:ascii="Times New Roman" w:eastAsia="Times New Roman" w:hAnsi="Times New Roman" w:cs="Times New Roman"/>
          <w:kern w:val="0"/>
          <w14:ligatures w14:val="none"/>
        </w:rPr>
        <w:t>’</w:t>
      </w:r>
      <w:r w:rsidRPr="007F1987">
        <w:rPr>
          <w:rFonts w:ascii="Times New Roman" w:eastAsia="Times New Roman" w:hAnsi="Times New Roman" w:cs="Times New Roman"/>
          <w:kern w:val="0"/>
          <w14:ligatures w14:val="none"/>
        </w:rPr>
        <w:t xml:space="preserve"> interbank relationships that precede broader financial stress and invariably provides crucial lead-time advantages. This helps regulators proactively intervene to mitigate systemic risks and manage potential contagion </w:t>
      </w:r>
      <w:r w:rsidRPr="007F1987">
        <w:rPr>
          <w:rFonts w:ascii="Times New Roman" w:eastAsia="Times New Roman" w:hAnsi="Times New Roman" w:cs="Times New Roman"/>
          <w:kern w:val="0"/>
          <w14:ligatures w14:val="none"/>
        </w:rPr>
        <w:fldChar w:fldCharType="begin"/>
      </w:r>
      <w:r w:rsidRPr="007F1987">
        <w:rPr>
          <w:rFonts w:ascii="Times New Roman" w:eastAsia="Times New Roman" w:hAnsi="Times New Roman" w:cs="Times New Roman"/>
          <w:kern w:val="0"/>
          <w14:ligatures w14:val="none"/>
        </w:rPr>
        <w:instrText xml:space="preserve"> ADDIN ZOTERO_ITEM CSL_CITATION {"citationID":"TsQpX83w","properties":{"formattedCitation":"(Acemoglu et al. 2015; Eisenberg and Noe 2001; Gai and Kapadia 2010)","plainCitation":"(Acemoglu et al. 2015; Eisenberg and Noe 2001; Gai and Kapadia 2010)","noteIndex":0},"citationItems":[{"id":538,"uris":["http://zotero.org/users/local/uS7NtXr0/items/UNELQ7YB"],"itemData":{"id":538,"type":"article-journal","abstract":"This paper argues that the extent of financial contagion exhibits a\nform of phase transition: as long as the magnitude of negative shocks\naffecting financial institutions are sufficiently small, a more densely\nconnected financial network (corresponding to a more diversified\npattern of interbank liabilities) enhances financial stability.\nHowever, beyond a certain point, dense interconnections serve as a\nmechanism for the propagation of shocks, leading to a more fragile\nfinancial system. Our results thus highlight that the same factors\nthat contribute to resilience under certain conditions may function\nas significant sources of systemic risk under others. (JEL D85, E44,\nG21, G28, L14)","container-title":"American Economic Review","DOI":"10.1257/aer.20130456","ISSN":"0002-8282","issue":"2","language":"en","page":"564-608","source":"www.aeaweb.org","title":"Systemic Risk and Stability in Financial Networks","volume":"105","author":[{"family":"Acemoglu","given":"Daron"},{"family":"Ozdaglar","given":"Asuman"},{"family":"Tahbaz-Salehi","given":"Alireza"}],"issued":{"date-parts":[["2015",2]]}}},{"id":563,"uris":["http://zotero.org/users/local/uS7NtXr0/items/KKEDXDMS"],"itemData":{"id":563,"type":"article-journal","abstract":"We consider default by firms that are part of a single clearing mechanism. The obligations of all firms within the system are determined simultaneously in a fashion consistent with the priority of debt claims and the limited liability of equity. We first show, via a fixed-point argument, that there always exists a “clearing payment vector” that clears the obligations of the members of the clearing system; under mild regularity conditions, this clearing vector is unique. Next, we develop an algorithm that both clears the financial system in a computationally efficient fashion and provides information on the systemic risk faced by the individual system firms. Finally, we produce qualitative comparative statics for financial systems. These comparative statics imply that, in contrast to single-firm results, even unsystematic, nondissipative shocks to the system will lower the total value of the system and may lower the value of the equity of some of the individual system firms.","container-title":"Management Science","DOI":"10.1287/mnsc.47.2.236.9835","ISSN":"0025-1909","issue":"2","note":"publisher: INFORMS","page":"236-249","source":"pubsonline.informs.org (Atypon)","title":"Systemic Risk in Financial Systems","volume":"47","author":[{"family":"Eisenberg","given":"Larry"},{"family":"Noe","given":"Thomas H."}],"issued":{"date-parts":[["2001",2]]}}},{"id":731,"uris":["http://zotero.org/users/local/uS7NtXr0/items/UM2EIAIY"],"itemData":{"id":731,"type":"article-journal","abstract":"This paper develops an analytical model of contagion in financial networks with arbitrary structure. We explore how the probability and potential impact of contagion is influenced by aggregate and idiosyncratic shocks, changes in network structure and asset market liquidity. Our findings suggest that financial systems exhibit arobust-yet-fragiletendency: while the probability of contagion may be low, the effects can be extremely widespread when problems occur. And we suggest why the resilience of the system in withstanding fairly large shocks prior to 2007 should not have been taken as a reliable guide to its future robustness.","container-title":"Proceedings of the Royal Society A: Mathematical, Physical and Engineering Sciences","DOI":"10.1098/rspa.2009.0410","ISSN":"1364-5021, 1471-2946","issue":"2120","journalAbbreviation":"Proc. R. Soc. A.","language":"en","license":"https://royalsociety.org/journals/ethics-policies/data-sharing-mining/","note":"publisher: The Royal Society","page":"2401-2423","source":"Crossref","title":"Contagion in financial networks","volume":"466","author":[{"family":"Gai","given":"Prasanna"},{"family":"Kapadia","given":"Sujit"}],"issued":{"date-parts":[["2010",8,8]]}}}],"schema":"https://github.com/citation-style-language/schema/raw/master/csl-citation.json"} </w:instrText>
      </w:r>
      <w:r w:rsidRPr="007F1987">
        <w:rPr>
          <w:rFonts w:ascii="Times New Roman" w:eastAsia="Times New Roman" w:hAnsi="Times New Roman" w:cs="Times New Roman"/>
          <w:kern w:val="0"/>
          <w14:ligatures w14:val="none"/>
        </w:rPr>
        <w:fldChar w:fldCharType="separate"/>
      </w:r>
      <w:r w:rsidRPr="007F1987">
        <w:rPr>
          <w:rFonts w:ascii="Times New Roman" w:hAnsi="Times New Roman" w:cs="Times New Roman"/>
        </w:rPr>
        <w:t>(Acemoglu et al. 2015; Eisenberg and Noe 2001; Gai and Kapadia 2010)</w:t>
      </w:r>
      <w:r w:rsidRPr="007F1987">
        <w:rPr>
          <w:rFonts w:ascii="Times New Roman" w:eastAsia="Times New Roman" w:hAnsi="Times New Roman" w:cs="Times New Roman"/>
          <w:kern w:val="0"/>
          <w14:ligatures w14:val="none"/>
        </w:rPr>
        <w:fldChar w:fldCharType="end"/>
      </w:r>
      <w:r w:rsidRPr="007F1987">
        <w:rPr>
          <w:rFonts w:ascii="Times New Roman" w:eastAsia="Times New Roman" w:hAnsi="Times New Roman" w:cs="Times New Roman"/>
          <w:kern w:val="0"/>
          <w14:ligatures w14:val="none"/>
        </w:rPr>
        <w:t>.</w:t>
      </w:r>
    </w:p>
    <w:p w14:paraId="463FE29E" w14:textId="77777777" w:rsidR="00F742DF" w:rsidRDefault="00B840A7" w:rsidP="00F742DF">
      <w:pPr>
        <w:spacing w:after="0" w:line="240" w:lineRule="auto"/>
        <w:ind w:firstLine="360"/>
        <w:jc w:val="both"/>
        <w:rPr>
          <w:rFonts w:ascii="Times New Roman" w:eastAsia="Times New Roman" w:hAnsi="Times New Roman" w:cs="Times New Roman"/>
          <w:kern w:val="0"/>
          <w14:ligatures w14:val="none"/>
        </w:rPr>
      </w:pPr>
      <w:r w:rsidRPr="007F1987">
        <w:rPr>
          <w:rFonts w:ascii="Times New Roman" w:eastAsia="Times New Roman" w:hAnsi="Times New Roman" w:cs="Times New Roman"/>
          <w:kern w:val="0"/>
          <w14:ligatures w14:val="none"/>
        </w:rPr>
        <w:t xml:space="preserve">Lastly, it has been shown that high anomaly scores strongly correlate with elevated financial stress periods documented. This correlation enhances the credibility and usage of TGNN-based anomaly detection as a surveillance tool. This emphasizes the model’s efficacy in preemptively signaling financial vulnerabilities </w:t>
      </w:r>
      <w:r w:rsidRPr="007F1987">
        <w:rPr>
          <w:rFonts w:ascii="Times New Roman" w:eastAsia="Times New Roman" w:hAnsi="Times New Roman" w:cs="Times New Roman"/>
          <w:kern w:val="0"/>
          <w14:ligatures w14:val="none"/>
        </w:rPr>
        <w:fldChar w:fldCharType="begin"/>
      </w:r>
      <w:r w:rsidRPr="007F1987">
        <w:rPr>
          <w:rFonts w:ascii="Times New Roman" w:eastAsia="Times New Roman" w:hAnsi="Times New Roman" w:cs="Times New Roman"/>
          <w:kern w:val="0"/>
          <w14:ligatures w14:val="none"/>
        </w:rPr>
        <w:instrText xml:space="preserve"> ADDIN ZOTERO_ITEM CSL_CITATION {"citationID":"0xbhQzjp","properties":{"formattedCitation":"(Battiston et al. 2012; Gong et al. 2019; Wang et al. 2017)","plainCitation":"(Battiston et al. 2012; Gong et al. 2019; Wang et al. 2017)","noteIndex":0},"citationItems":[{"id":637,"uris":["http://zotero.org/users/local/uS7NtXr0/items/HIRWJWSA"],"itemData":{"id":637,"type":"article-journal","container-title":"Scientific reports","issue":"1","note":"publisher: Nature Publishing Group UK London","page":"541","source":"Google Scholar","title":"Debtrank: Too central to fail? financial networks, the fed and systemic risk","title-short":"Debtrank","volume":"2","author":[{"family":"Battiston","given":"Stefano"},{"family":"Puliga","given":"Michelangelo"},{"family":"Kaushik","given":"Rahul"},{"family":"Tasca","given":"Paolo"},{"family":"Caldarelli","given":"Guido"}],"issued":{"date-parts":[["2012"]]}}},{"id":557,"uris":["http://zotero.org/users/local/uS7NtXr0/items/5PVF38RV"],"itemData":{"id":557,"type":"article-journal","abstract":"We construct the causal complex network of financial institution based on the Granger-causality network as well as the principal component analysis, and further analyze the network topology structure characteristics using centrality indicators. From the perspective of time dimension and space dimension, the causal complex network among financial institutions is analyzed with the dynamic variation of systemic risk measured. One improvement is that the CAPM is employed to filter out the market risk. Moreover, we study the contribution of individual financial firm to the systemic risk through three well known systemic risk measures containing the systemic risk index (SRISK), the marginal expected shortfall (MES) and the conditional Value at Risk (CoVaR). The proposed methodology framework is applied to the banks, securities and insurance companies in Chinese financial markets. Empirical researches find that the causal network of Chinese financial entities possesses small world and scale free properties, with the number of connections increasing dramatically in turmoil periods, indicating stronger interconnectedness in the financial system during crisis. Moreover, the network based connectedness measures through topology structure analysis can identify and quantify the financial crisis, serving as significant systemic risk indicators. In addition, different systemic risk measures employed in our framework can identify similar rankings of risky financial firms quantitatively, which provide references for regulations.","container-title":"International Review of Economics &amp; Finance","DOI":"10.1016/j.iref.2019.07.004","ISSN":"1059-0560","journalAbbreviation":"International Review of Economics &amp; Finance","page":"290-307","source":"ScienceDirect","title":"Financial systemic risk measurement based on causal network connectedness analysis","volume":"64","author":[{"family":"Gong","given":"Xiao-Li"},{"family":"Liu","given":"Xi-Hua"},{"family":"Xiong","given":"Xiong"},{"family":"Zhang","given":"Wei"}],"issued":{"date-parts":[["2019",11,1]]}}},{"id":561,"uris":["http://zotero.org/users/local/uS7NtXr0/items/I2VBJEBZ"],"itemData":{"id":561,"type":"article-journal","container-title":"Quantitative Finance","DOI":"10.1080/14697688.2016.1272762","ISSN":"1469-7688, 1469-7696","issue":"9","journalAbbreviation":"Quantitative Finance","language":"en","page":"1417-1433","source":"DOI.org (Crossref)","title":"Extreme risk spillover network: application to financial institutions","title-short":"Extreme risk spillover network","volume":"17","author":[{"family":"Wang","given":"Gang-Jin"},{"family":"Xie","given":"Chi"},{"family":"He","given":"Kaijian"},{"family":"Stanley","given":"H. Eugene"}],"issued":{"date-parts":[["2017",9,2]]}}}],"schema":"https://github.com/citation-style-language/schema/raw/master/csl-citation.json"} </w:instrText>
      </w:r>
      <w:r w:rsidRPr="007F1987">
        <w:rPr>
          <w:rFonts w:ascii="Times New Roman" w:eastAsia="Times New Roman" w:hAnsi="Times New Roman" w:cs="Times New Roman"/>
          <w:kern w:val="0"/>
          <w14:ligatures w14:val="none"/>
        </w:rPr>
        <w:fldChar w:fldCharType="separate"/>
      </w:r>
      <w:r w:rsidRPr="007F1987">
        <w:rPr>
          <w:rFonts w:ascii="Times New Roman" w:hAnsi="Times New Roman" w:cs="Times New Roman"/>
        </w:rPr>
        <w:t>(Battiston et al. 2012; Gong et al. 2019; Wang et al. 2017)</w:t>
      </w:r>
      <w:r w:rsidRPr="007F1987">
        <w:rPr>
          <w:rFonts w:ascii="Times New Roman" w:eastAsia="Times New Roman" w:hAnsi="Times New Roman" w:cs="Times New Roman"/>
          <w:kern w:val="0"/>
          <w14:ligatures w14:val="none"/>
        </w:rPr>
        <w:fldChar w:fldCharType="end"/>
      </w:r>
      <w:r w:rsidRPr="007F1987">
        <w:rPr>
          <w:rFonts w:ascii="Times New Roman" w:eastAsia="Times New Roman" w:hAnsi="Times New Roman" w:cs="Times New Roman"/>
          <w:kern w:val="0"/>
          <w14:ligatures w14:val="none"/>
        </w:rPr>
        <w:t>.</w:t>
      </w:r>
    </w:p>
    <w:p w14:paraId="2ECC464D" w14:textId="04DA501C" w:rsidR="009943F5" w:rsidRPr="007F1987" w:rsidRDefault="00B840A7" w:rsidP="00F742DF">
      <w:pPr>
        <w:spacing w:after="0" w:line="240" w:lineRule="auto"/>
        <w:ind w:firstLine="360"/>
        <w:jc w:val="both"/>
        <w:rPr>
          <w:rFonts w:ascii="Times New Roman" w:hAnsi="Times New Roman" w:cs="Times New Roman"/>
        </w:rPr>
      </w:pPr>
      <w:r w:rsidRPr="007F1987">
        <w:rPr>
          <w:rFonts w:ascii="Times New Roman" w:eastAsia="Times New Roman" w:hAnsi="Times New Roman" w:cs="Times New Roman"/>
          <w:kern w:val="0"/>
          <w14:ligatures w14:val="none"/>
        </w:rPr>
        <w:t>In summary, the anomalies detected by TGNN provide valuable and timely signals concerning bank behaviors associated with regulatory pressures, significant mergers, systemic financial activities, and shifts in banking footprint. Also, these anomalies offer substantial advance warning signals (often several quarters ahead) regarding potential systemic risks or financial distress, emphasizing TGNN</w:t>
      </w:r>
      <w:r w:rsidR="007E64F5" w:rsidRPr="007F1987">
        <w:rPr>
          <w:rFonts w:ascii="Times New Roman" w:eastAsia="Times New Roman" w:hAnsi="Times New Roman" w:cs="Times New Roman"/>
          <w:kern w:val="0"/>
          <w14:ligatures w14:val="none"/>
        </w:rPr>
        <w:t>’</w:t>
      </w:r>
      <w:r w:rsidRPr="007F1987">
        <w:rPr>
          <w:rFonts w:ascii="Times New Roman" w:eastAsia="Times New Roman" w:hAnsi="Times New Roman" w:cs="Times New Roman"/>
          <w:kern w:val="0"/>
          <w14:ligatures w14:val="none"/>
        </w:rPr>
        <w:t>s utility as a proactive regulatory monitoring tool</w:t>
      </w:r>
      <w:r w:rsidR="007E64F5" w:rsidRPr="007F1987">
        <w:rPr>
          <w:rFonts w:ascii="Times New Roman" w:eastAsia="Times New Roman" w:hAnsi="Times New Roman" w:cs="Times New Roman"/>
          <w:kern w:val="0"/>
          <w14:ligatures w14:val="none"/>
        </w:rPr>
        <w:t>.</w:t>
      </w:r>
    </w:p>
    <w:p w14:paraId="102AA4EB" w14:textId="77777777" w:rsidR="00407673" w:rsidRPr="007F1987" w:rsidRDefault="00407673" w:rsidP="007F1987">
      <w:pPr>
        <w:spacing w:after="0" w:line="240" w:lineRule="auto"/>
        <w:jc w:val="both"/>
        <w:rPr>
          <w:rFonts w:ascii="Times New Roman" w:hAnsi="Times New Roman" w:cs="Times New Roman"/>
        </w:rPr>
      </w:pPr>
    </w:p>
    <w:p w14:paraId="226CCAA9" w14:textId="77777777" w:rsidR="00407673" w:rsidRPr="007F1987" w:rsidRDefault="00407673" w:rsidP="007F1987">
      <w:pPr>
        <w:spacing w:after="0" w:line="240" w:lineRule="auto"/>
        <w:jc w:val="both"/>
        <w:rPr>
          <w:rFonts w:ascii="Times New Roman" w:hAnsi="Times New Roman" w:cs="Times New Roman"/>
        </w:rPr>
      </w:pPr>
    </w:p>
    <w:sectPr w:rsidR="00407673" w:rsidRPr="007F19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614E"/>
    <w:multiLevelType w:val="hybridMultilevel"/>
    <w:tmpl w:val="2CECAB82"/>
    <w:lvl w:ilvl="0" w:tplc="F56E1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7D1848"/>
    <w:multiLevelType w:val="hybridMultilevel"/>
    <w:tmpl w:val="2104E686"/>
    <w:lvl w:ilvl="0" w:tplc="66B2349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165121734">
    <w:abstractNumId w:val="0"/>
  </w:num>
  <w:num w:numId="2" w16cid:durableId="232207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CAB"/>
    <w:rsid w:val="00054C76"/>
    <w:rsid w:val="00073CAB"/>
    <w:rsid w:val="0007523B"/>
    <w:rsid w:val="000C16A0"/>
    <w:rsid w:val="000C234F"/>
    <w:rsid w:val="000E2158"/>
    <w:rsid w:val="000F73DC"/>
    <w:rsid w:val="00101956"/>
    <w:rsid w:val="00126739"/>
    <w:rsid w:val="0013130F"/>
    <w:rsid w:val="00152410"/>
    <w:rsid w:val="001715B1"/>
    <w:rsid w:val="00187D45"/>
    <w:rsid w:val="00246700"/>
    <w:rsid w:val="00251227"/>
    <w:rsid w:val="002B45F5"/>
    <w:rsid w:val="00327332"/>
    <w:rsid w:val="00351970"/>
    <w:rsid w:val="00351D2B"/>
    <w:rsid w:val="00352079"/>
    <w:rsid w:val="00356E94"/>
    <w:rsid w:val="0036121F"/>
    <w:rsid w:val="003759CA"/>
    <w:rsid w:val="0039770B"/>
    <w:rsid w:val="003A424A"/>
    <w:rsid w:val="003A43F3"/>
    <w:rsid w:val="003A74F6"/>
    <w:rsid w:val="003A7FA3"/>
    <w:rsid w:val="003D318A"/>
    <w:rsid w:val="003E6F51"/>
    <w:rsid w:val="00407673"/>
    <w:rsid w:val="00432284"/>
    <w:rsid w:val="00476491"/>
    <w:rsid w:val="004979DD"/>
    <w:rsid w:val="004B0C8F"/>
    <w:rsid w:val="004B63C5"/>
    <w:rsid w:val="004C24F8"/>
    <w:rsid w:val="004D5517"/>
    <w:rsid w:val="00577E32"/>
    <w:rsid w:val="005839AC"/>
    <w:rsid w:val="00586B43"/>
    <w:rsid w:val="005954F5"/>
    <w:rsid w:val="005B2D9A"/>
    <w:rsid w:val="005C295C"/>
    <w:rsid w:val="005D149B"/>
    <w:rsid w:val="005F55D5"/>
    <w:rsid w:val="006240DB"/>
    <w:rsid w:val="0064036F"/>
    <w:rsid w:val="0065121F"/>
    <w:rsid w:val="00653EE9"/>
    <w:rsid w:val="0067132C"/>
    <w:rsid w:val="006928DC"/>
    <w:rsid w:val="006C2614"/>
    <w:rsid w:val="006C3359"/>
    <w:rsid w:val="006F6811"/>
    <w:rsid w:val="00711D0A"/>
    <w:rsid w:val="00712B09"/>
    <w:rsid w:val="0074359A"/>
    <w:rsid w:val="007455B7"/>
    <w:rsid w:val="007935E5"/>
    <w:rsid w:val="007D6BFF"/>
    <w:rsid w:val="007E64F5"/>
    <w:rsid w:val="007F1987"/>
    <w:rsid w:val="00800BF2"/>
    <w:rsid w:val="008432A7"/>
    <w:rsid w:val="00845541"/>
    <w:rsid w:val="00891759"/>
    <w:rsid w:val="008C79FA"/>
    <w:rsid w:val="008D65D2"/>
    <w:rsid w:val="008F10BF"/>
    <w:rsid w:val="00904637"/>
    <w:rsid w:val="00940303"/>
    <w:rsid w:val="0095792A"/>
    <w:rsid w:val="009636A8"/>
    <w:rsid w:val="00965850"/>
    <w:rsid w:val="009943F5"/>
    <w:rsid w:val="009A7462"/>
    <w:rsid w:val="009D64DC"/>
    <w:rsid w:val="00A10878"/>
    <w:rsid w:val="00A1339B"/>
    <w:rsid w:val="00A20906"/>
    <w:rsid w:val="00A32CD2"/>
    <w:rsid w:val="00A4215A"/>
    <w:rsid w:val="00A917AB"/>
    <w:rsid w:val="00A93304"/>
    <w:rsid w:val="00AB0523"/>
    <w:rsid w:val="00AB1D94"/>
    <w:rsid w:val="00AB45EC"/>
    <w:rsid w:val="00AB7989"/>
    <w:rsid w:val="00AC6E8D"/>
    <w:rsid w:val="00B032F0"/>
    <w:rsid w:val="00B552FA"/>
    <w:rsid w:val="00B56AC6"/>
    <w:rsid w:val="00B81A25"/>
    <w:rsid w:val="00B840A7"/>
    <w:rsid w:val="00BA146A"/>
    <w:rsid w:val="00BA655A"/>
    <w:rsid w:val="00BF3009"/>
    <w:rsid w:val="00BF5962"/>
    <w:rsid w:val="00C04A81"/>
    <w:rsid w:val="00C80311"/>
    <w:rsid w:val="00CC1855"/>
    <w:rsid w:val="00D22EBA"/>
    <w:rsid w:val="00D3564A"/>
    <w:rsid w:val="00D63015"/>
    <w:rsid w:val="00D73880"/>
    <w:rsid w:val="00D862FB"/>
    <w:rsid w:val="00DB6218"/>
    <w:rsid w:val="00DD3725"/>
    <w:rsid w:val="00DE7F41"/>
    <w:rsid w:val="00E07FE0"/>
    <w:rsid w:val="00E669AB"/>
    <w:rsid w:val="00E84C0F"/>
    <w:rsid w:val="00E923DC"/>
    <w:rsid w:val="00F742DF"/>
    <w:rsid w:val="00F85561"/>
    <w:rsid w:val="00F87933"/>
    <w:rsid w:val="00FC2A4E"/>
    <w:rsid w:val="00FF7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86F67B"/>
  <w15:chartTrackingRefBased/>
  <w15:docId w15:val="{A22B86B8-0241-4228-96C3-FB533F8C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CAB"/>
  </w:style>
  <w:style w:type="paragraph" w:styleId="Heading1">
    <w:name w:val="heading 1"/>
    <w:basedOn w:val="Normal"/>
    <w:next w:val="Normal"/>
    <w:link w:val="Heading1Char"/>
    <w:uiPriority w:val="9"/>
    <w:qFormat/>
    <w:rsid w:val="00073C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3C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3C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3C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3C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3C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C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C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C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C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3C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3C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3C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3C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3C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C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C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CAB"/>
    <w:rPr>
      <w:rFonts w:eastAsiaTheme="majorEastAsia" w:cstheme="majorBidi"/>
      <w:color w:val="272727" w:themeColor="text1" w:themeTint="D8"/>
    </w:rPr>
  </w:style>
  <w:style w:type="paragraph" w:styleId="Title">
    <w:name w:val="Title"/>
    <w:basedOn w:val="Normal"/>
    <w:next w:val="Normal"/>
    <w:link w:val="TitleChar"/>
    <w:uiPriority w:val="10"/>
    <w:qFormat/>
    <w:rsid w:val="00073C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C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C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C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CAB"/>
    <w:pPr>
      <w:spacing w:before="160"/>
      <w:jc w:val="center"/>
    </w:pPr>
    <w:rPr>
      <w:i/>
      <w:iCs/>
      <w:color w:val="404040" w:themeColor="text1" w:themeTint="BF"/>
    </w:rPr>
  </w:style>
  <w:style w:type="character" w:customStyle="1" w:styleId="QuoteChar">
    <w:name w:val="Quote Char"/>
    <w:basedOn w:val="DefaultParagraphFont"/>
    <w:link w:val="Quote"/>
    <w:uiPriority w:val="29"/>
    <w:rsid w:val="00073CAB"/>
    <w:rPr>
      <w:i/>
      <w:iCs/>
      <w:color w:val="404040" w:themeColor="text1" w:themeTint="BF"/>
    </w:rPr>
  </w:style>
  <w:style w:type="paragraph" w:styleId="ListParagraph">
    <w:name w:val="List Paragraph"/>
    <w:basedOn w:val="Normal"/>
    <w:uiPriority w:val="34"/>
    <w:qFormat/>
    <w:rsid w:val="00073CAB"/>
    <w:pPr>
      <w:ind w:left="720"/>
      <w:contextualSpacing/>
    </w:pPr>
  </w:style>
  <w:style w:type="character" w:styleId="IntenseEmphasis">
    <w:name w:val="Intense Emphasis"/>
    <w:basedOn w:val="DefaultParagraphFont"/>
    <w:uiPriority w:val="21"/>
    <w:qFormat/>
    <w:rsid w:val="00073CAB"/>
    <w:rPr>
      <w:i/>
      <w:iCs/>
      <w:color w:val="0F4761" w:themeColor="accent1" w:themeShade="BF"/>
    </w:rPr>
  </w:style>
  <w:style w:type="paragraph" w:styleId="IntenseQuote">
    <w:name w:val="Intense Quote"/>
    <w:basedOn w:val="Normal"/>
    <w:next w:val="Normal"/>
    <w:link w:val="IntenseQuoteChar"/>
    <w:uiPriority w:val="30"/>
    <w:qFormat/>
    <w:rsid w:val="00073C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3CAB"/>
    <w:rPr>
      <w:i/>
      <w:iCs/>
      <w:color w:val="0F4761" w:themeColor="accent1" w:themeShade="BF"/>
    </w:rPr>
  </w:style>
  <w:style w:type="character" w:styleId="IntenseReference">
    <w:name w:val="Intense Reference"/>
    <w:basedOn w:val="DefaultParagraphFont"/>
    <w:uiPriority w:val="32"/>
    <w:qFormat/>
    <w:rsid w:val="00073CAB"/>
    <w:rPr>
      <w:b/>
      <w:bCs/>
      <w:smallCaps/>
      <w:color w:val="0F4761" w:themeColor="accent1" w:themeShade="BF"/>
      <w:spacing w:val="5"/>
    </w:rPr>
  </w:style>
  <w:style w:type="character" w:styleId="CommentReference">
    <w:name w:val="annotation reference"/>
    <w:basedOn w:val="DefaultParagraphFont"/>
    <w:uiPriority w:val="99"/>
    <w:semiHidden/>
    <w:unhideWhenUsed/>
    <w:rsid w:val="00073CAB"/>
    <w:rPr>
      <w:sz w:val="16"/>
      <w:szCs w:val="16"/>
    </w:rPr>
  </w:style>
  <w:style w:type="paragraph" w:styleId="CommentText">
    <w:name w:val="annotation text"/>
    <w:basedOn w:val="Normal"/>
    <w:link w:val="CommentTextChar"/>
    <w:uiPriority w:val="99"/>
    <w:unhideWhenUsed/>
    <w:rsid w:val="00073CAB"/>
    <w:pPr>
      <w:spacing w:line="240" w:lineRule="auto"/>
    </w:pPr>
    <w:rPr>
      <w:sz w:val="20"/>
      <w:szCs w:val="20"/>
    </w:rPr>
  </w:style>
  <w:style w:type="character" w:customStyle="1" w:styleId="CommentTextChar">
    <w:name w:val="Comment Text Char"/>
    <w:basedOn w:val="DefaultParagraphFont"/>
    <w:link w:val="CommentText"/>
    <w:uiPriority w:val="99"/>
    <w:rsid w:val="00073CAB"/>
    <w:rPr>
      <w:sz w:val="20"/>
      <w:szCs w:val="20"/>
    </w:rPr>
  </w:style>
  <w:style w:type="table" w:styleId="TableGrid">
    <w:name w:val="Table Grid"/>
    <w:basedOn w:val="TableNormal"/>
    <w:uiPriority w:val="39"/>
    <w:rsid w:val="00DB6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2D9A"/>
    <w:pPr>
      <w:spacing w:after="0" w:line="240" w:lineRule="auto"/>
    </w:pPr>
  </w:style>
  <w:style w:type="paragraph" w:styleId="CommentSubject">
    <w:name w:val="annotation subject"/>
    <w:basedOn w:val="CommentText"/>
    <w:next w:val="CommentText"/>
    <w:link w:val="CommentSubjectChar"/>
    <w:uiPriority w:val="99"/>
    <w:semiHidden/>
    <w:unhideWhenUsed/>
    <w:rsid w:val="000C234F"/>
    <w:rPr>
      <w:b/>
      <w:bCs/>
    </w:rPr>
  </w:style>
  <w:style w:type="character" w:customStyle="1" w:styleId="CommentSubjectChar">
    <w:name w:val="Comment Subject Char"/>
    <w:basedOn w:val="CommentTextChar"/>
    <w:link w:val="CommentSubject"/>
    <w:uiPriority w:val="99"/>
    <w:semiHidden/>
    <w:rsid w:val="000C23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DC69D-60E2-473B-A149-E5F41A00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8023</Words>
  <Characters>48625</Characters>
  <Application>Microsoft Office Word</Application>
  <DocSecurity>0</DocSecurity>
  <Lines>1130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nanatwumowusu-peprah</dc:creator>
  <cp:keywords/>
  <dc:description/>
  <cp:lastModifiedBy>Wang, Haibo</cp:lastModifiedBy>
  <cp:revision>2</cp:revision>
  <cp:lastPrinted>2025-09-09T18:53:00Z</cp:lastPrinted>
  <dcterms:created xsi:type="dcterms:W3CDTF">2025-09-10T16:52:00Z</dcterms:created>
  <dcterms:modified xsi:type="dcterms:W3CDTF">2025-09-10T16:52:00Z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dd130032-2472-4256-968e-67d802d5cb16</vt:lpwstr>
  </property>
</Properties>
</file>