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EE40" w14:textId="77777777" w:rsidR="00024334" w:rsidRDefault="00024334" w:rsidP="00024334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upplementary materials</w:t>
      </w:r>
    </w:p>
    <w:p w14:paraId="4552F267" w14:textId="77777777" w:rsidR="00024334" w:rsidRDefault="00024334" w:rsidP="00024334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bCs/>
        </w:rPr>
      </w:pPr>
    </w:p>
    <w:p w14:paraId="3B93150E" w14:textId="77777777" w:rsidR="00F92B1A" w:rsidRDefault="00F92B1A" w:rsidP="00F92B1A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</w:rPr>
      </w:pPr>
      <w:r w:rsidRPr="00050560">
        <w:rPr>
          <w:rFonts w:ascii="Times New Roman" w:hAnsi="Times New Roman" w:cs="Times New Roman"/>
          <w:b/>
          <w:bCs/>
        </w:rPr>
        <w:t>TIA-1 promotes FUNDC1-mediated mitophagy to protect against stress-induced cellular senescence</w:t>
      </w:r>
      <w:r w:rsidRPr="00962C0A">
        <w:rPr>
          <w:rFonts w:ascii="Times New Roman" w:hAnsi="Times New Roman" w:cs="Times New Roman"/>
        </w:rPr>
        <w:t xml:space="preserve"> </w:t>
      </w:r>
    </w:p>
    <w:p w14:paraId="61396E6C" w14:textId="77777777" w:rsidR="00024334" w:rsidRPr="00706111" w:rsidRDefault="00024334" w:rsidP="00024334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/>
        </w:rPr>
        <w:t>​</w:t>
      </w:r>
      <w:proofErr w:type="spellStart"/>
      <w:r w:rsidRPr="00706111">
        <w:rPr>
          <w:rFonts w:ascii="Times New Roman" w:hAnsi="Times New Roman" w:cs="Times New Roman"/>
        </w:rPr>
        <w:t>Seongho</w:t>
      </w:r>
      <w:proofErr w:type="spellEnd"/>
      <w:r w:rsidRPr="00706111">
        <w:rPr>
          <w:rFonts w:ascii="Times New Roman" w:hAnsi="Times New Roman" w:cs="Times New Roman"/>
        </w:rPr>
        <w:t xml:space="preserve"> Cha</w:t>
      </w:r>
      <w:r w:rsidRPr="00706111">
        <w:rPr>
          <w:rFonts w:ascii="Times New Roman" w:hAnsi="Times New Roman" w:cs="Times New Roman"/>
          <w:vertAlign w:val="superscript"/>
        </w:rPr>
        <w:t xml:space="preserve">1, </w:t>
      </w:r>
      <w:r w:rsidRPr="00706111">
        <w:rPr>
          <w:rFonts w:ascii="Times New Roman" w:hAnsi="Times New Roman" w:cs="Times New Roman" w:hint="eastAsia"/>
          <w:vertAlign w:val="superscript"/>
        </w:rPr>
        <w:t>2</w:t>
      </w:r>
      <w:r w:rsidRPr="00706111">
        <w:rPr>
          <w:rFonts w:ascii="Times New Roman" w:hAnsi="Times New Roman" w:cs="Times New Roman"/>
        </w:rPr>
        <w:t xml:space="preserve">, </w:t>
      </w:r>
      <w:proofErr w:type="spellStart"/>
      <w:r w:rsidRPr="00706111">
        <w:rPr>
          <w:rFonts w:ascii="Times New Roman" w:hAnsi="Times New Roman" w:cs="Times New Roman"/>
        </w:rPr>
        <w:t>Myeongwoo</w:t>
      </w:r>
      <w:proofErr w:type="spellEnd"/>
      <w:r w:rsidRPr="00706111">
        <w:rPr>
          <w:rFonts w:ascii="Times New Roman" w:hAnsi="Times New Roman" w:cs="Times New Roman"/>
        </w:rPr>
        <w:t xml:space="preserve"> Jung</w:t>
      </w:r>
      <w:r w:rsidRPr="00706111">
        <w:rPr>
          <w:rFonts w:ascii="Times New Roman" w:hAnsi="Times New Roman" w:cs="Times New Roman"/>
          <w:vertAlign w:val="superscript"/>
        </w:rPr>
        <w:t>1</w:t>
      </w:r>
      <w:r w:rsidRPr="00706111">
        <w:rPr>
          <w:rFonts w:ascii="Times New Roman" w:hAnsi="Times New Roman" w:cs="Times New Roman"/>
        </w:rPr>
        <w:t>,</w:t>
      </w:r>
      <w:r w:rsidRPr="00706111">
        <w:rPr>
          <w:rFonts w:ascii="Times New Roman" w:hAnsi="Times New Roman" w:cs="Times New Roman" w:hint="eastAsia"/>
        </w:rPr>
        <w:t xml:space="preserve"> </w:t>
      </w:r>
      <w:proofErr w:type="spellStart"/>
      <w:r w:rsidRPr="00706111">
        <w:rPr>
          <w:rFonts w:ascii="Times New Roman" w:hAnsi="Times New Roman" w:cs="Times New Roman" w:hint="eastAsia"/>
        </w:rPr>
        <w:t>Hyosun</w:t>
      </w:r>
      <w:proofErr w:type="spellEnd"/>
      <w:r w:rsidRPr="00706111">
        <w:rPr>
          <w:rFonts w:ascii="Times New Roman" w:hAnsi="Times New Roman" w:cs="Times New Roman" w:hint="eastAsia"/>
        </w:rPr>
        <w:t xml:space="preserve"> Tak</w:t>
      </w:r>
      <w:r w:rsidRPr="00706111">
        <w:rPr>
          <w:rFonts w:ascii="Times New Roman" w:hAnsi="Times New Roman" w:cs="Times New Roman" w:hint="eastAsia"/>
          <w:vertAlign w:val="superscript"/>
        </w:rPr>
        <w:t>3</w:t>
      </w:r>
      <w:r w:rsidRPr="00706111">
        <w:rPr>
          <w:rFonts w:ascii="Times New Roman" w:hAnsi="Times New Roman" w:cs="Times New Roman" w:hint="eastAsia"/>
        </w:rPr>
        <w:t>,</w:t>
      </w:r>
      <w:r w:rsidRPr="00706111">
        <w:rPr>
          <w:rFonts w:ascii="Times New Roman" w:hAnsi="Times New Roman" w:cs="Times New Roman"/>
        </w:rPr>
        <w:t xml:space="preserve"> </w:t>
      </w:r>
      <w:proofErr w:type="spellStart"/>
      <w:r w:rsidRPr="00706111">
        <w:rPr>
          <w:rFonts w:ascii="Times New Roman" w:hAnsi="Times New Roman" w:cs="Times New Roman"/>
        </w:rPr>
        <w:t>Seungyeon</w:t>
      </w:r>
      <w:proofErr w:type="spellEnd"/>
      <w:r w:rsidRPr="00706111">
        <w:rPr>
          <w:rFonts w:ascii="Times New Roman" w:hAnsi="Times New Roman" w:cs="Times New Roman"/>
        </w:rPr>
        <w:t xml:space="preserve"> Ryu</w:t>
      </w:r>
      <w:r w:rsidRPr="00706111">
        <w:rPr>
          <w:rFonts w:ascii="Times New Roman" w:hAnsi="Times New Roman" w:cs="Times New Roman"/>
          <w:vertAlign w:val="superscript"/>
        </w:rPr>
        <w:t>1,</w:t>
      </w:r>
      <w:r w:rsidRPr="00706111">
        <w:rPr>
          <w:rFonts w:ascii="Times New Roman" w:hAnsi="Times New Roman" w:cs="Times New Roman" w:hint="eastAsia"/>
          <w:vertAlign w:val="superscript"/>
        </w:rPr>
        <w:t>2</w:t>
      </w:r>
      <w:r w:rsidRPr="00706111">
        <w:rPr>
          <w:rFonts w:ascii="Times New Roman" w:hAnsi="Times New Roman" w:cs="Times New Roman"/>
        </w:rPr>
        <w:t xml:space="preserve">, </w:t>
      </w:r>
      <w:proofErr w:type="spellStart"/>
      <w:r w:rsidRPr="00706111">
        <w:rPr>
          <w:rFonts w:ascii="Times New Roman" w:hAnsi="Times New Roman" w:cs="Times New Roman"/>
        </w:rPr>
        <w:t>Sukyoung</w:t>
      </w:r>
      <w:proofErr w:type="spellEnd"/>
      <w:r w:rsidRPr="00706111">
        <w:rPr>
          <w:rFonts w:ascii="Times New Roman" w:hAnsi="Times New Roman" w:cs="Times New Roman"/>
        </w:rPr>
        <w:t xml:space="preserve"> Han</w:t>
      </w:r>
      <w:r w:rsidRPr="00706111">
        <w:rPr>
          <w:rFonts w:ascii="Times New Roman" w:hAnsi="Times New Roman" w:cs="Times New Roman"/>
          <w:vertAlign w:val="superscript"/>
        </w:rPr>
        <w:t>1,</w:t>
      </w:r>
      <w:r w:rsidRPr="00706111">
        <w:rPr>
          <w:rFonts w:ascii="Times New Roman" w:hAnsi="Times New Roman" w:cs="Times New Roman" w:hint="eastAsia"/>
          <w:vertAlign w:val="superscript"/>
        </w:rPr>
        <w:t>2</w:t>
      </w:r>
      <w:r w:rsidRPr="00706111">
        <w:rPr>
          <w:rFonts w:ascii="Times New Roman" w:hAnsi="Times New Roman" w:cs="Times New Roman"/>
        </w:rPr>
        <w:t>,</w:t>
      </w:r>
      <w:r w:rsidRPr="00706111">
        <w:rPr>
          <w:rFonts w:ascii="Times New Roman" w:hAnsi="Times New Roman" w:cs="Times New Roman" w:hint="eastAsia"/>
        </w:rPr>
        <w:t xml:space="preserve"> </w:t>
      </w:r>
      <w:proofErr w:type="spellStart"/>
      <w:r w:rsidRPr="00706111">
        <w:rPr>
          <w:rFonts w:ascii="Times New Roman" w:hAnsi="Times New Roman" w:cs="Times New Roman" w:hint="eastAsia"/>
        </w:rPr>
        <w:t>Dongwoo</w:t>
      </w:r>
      <w:proofErr w:type="spellEnd"/>
      <w:r w:rsidRPr="00706111">
        <w:rPr>
          <w:rFonts w:ascii="Times New Roman" w:hAnsi="Times New Roman" w:cs="Times New Roman" w:hint="eastAsia"/>
        </w:rPr>
        <w:t xml:space="preserve"> Chae</w:t>
      </w:r>
      <w:r w:rsidRPr="00706111">
        <w:rPr>
          <w:rFonts w:ascii="Times New Roman" w:hAnsi="Times New Roman" w:cs="Times New Roman" w:hint="eastAsia"/>
          <w:vertAlign w:val="superscript"/>
        </w:rPr>
        <w:t>4</w:t>
      </w:r>
      <w:r w:rsidRPr="00706111">
        <w:rPr>
          <w:rFonts w:ascii="Times New Roman" w:hAnsi="Times New Roman" w:cs="Times New Roman" w:hint="eastAsia"/>
        </w:rPr>
        <w:t xml:space="preserve">, </w:t>
      </w:r>
      <w:proofErr w:type="spellStart"/>
      <w:r w:rsidRPr="00706111">
        <w:rPr>
          <w:rFonts w:ascii="Times New Roman" w:hAnsi="Times New Roman" w:cs="Times New Roman" w:hint="eastAsia"/>
        </w:rPr>
        <w:t>Jiyoon</w:t>
      </w:r>
      <w:proofErr w:type="spellEnd"/>
      <w:r w:rsidRPr="00706111">
        <w:rPr>
          <w:rFonts w:ascii="Times New Roman" w:hAnsi="Times New Roman" w:cs="Times New Roman" w:hint="eastAsia"/>
        </w:rPr>
        <w:t xml:space="preserve"> Kim</w:t>
      </w:r>
      <w:r>
        <w:rPr>
          <w:rFonts w:ascii="Times New Roman" w:hAnsi="Times New Roman" w:cs="Times New Roman" w:hint="eastAsia"/>
          <w:vertAlign w:val="superscript"/>
        </w:rPr>
        <w:t>2, 5</w:t>
      </w:r>
      <w:r w:rsidRPr="00706111">
        <w:rPr>
          <w:rFonts w:ascii="Times New Roman" w:hAnsi="Times New Roman" w:cs="Times New Roman" w:hint="eastAsia"/>
          <w:vertAlign w:val="superscript"/>
        </w:rPr>
        <w:t>, 6</w:t>
      </w:r>
      <w:r w:rsidRPr="00706111">
        <w:rPr>
          <w:rFonts w:ascii="Times New Roman" w:hAnsi="Times New Roman" w:cs="Times New Roman" w:hint="eastAsia"/>
        </w:rPr>
        <w:t>, Seung Min Jeong</w:t>
      </w:r>
      <w:r w:rsidRPr="00706111">
        <w:rPr>
          <w:rFonts w:ascii="Times New Roman" w:hAnsi="Times New Roman" w:cs="Times New Roman"/>
          <w:vertAlign w:val="superscript"/>
        </w:rPr>
        <w:t>1</w:t>
      </w:r>
      <w:r w:rsidRPr="00706111"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 w:hint="eastAsia"/>
          <w:vertAlign w:val="superscript"/>
        </w:rPr>
        <w:t xml:space="preserve"> 2, </w:t>
      </w:r>
      <w:r w:rsidRPr="00706111">
        <w:rPr>
          <w:rFonts w:ascii="Times New Roman" w:hAnsi="Times New Roman" w:cs="Times New Roman" w:hint="eastAsia"/>
          <w:vertAlign w:val="superscript"/>
        </w:rPr>
        <w:t>6</w:t>
      </w:r>
      <w:r w:rsidRPr="00706111">
        <w:rPr>
          <w:rFonts w:ascii="Times New Roman" w:hAnsi="Times New Roman" w:cs="Times New Roman" w:hint="eastAsia"/>
        </w:rPr>
        <w:t xml:space="preserve">, </w:t>
      </w:r>
      <w:proofErr w:type="spellStart"/>
      <w:r w:rsidRPr="00706111">
        <w:rPr>
          <w:rFonts w:ascii="Times New Roman" w:hAnsi="Times New Roman" w:cs="Times New Roman"/>
        </w:rPr>
        <w:t>Wook</w:t>
      </w:r>
      <w:proofErr w:type="spellEnd"/>
      <w:r w:rsidRPr="00706111">
        <w:rPr>
          <w:rFonts w:ascii="Times New Roman" w:hAnsi="Times New Roman" w:cs="Times New Roman"/>
        </w:rPr>
        <w:t xml:space="preserve"> Kim</w:t>
      </w:r>
      <w:r w:rsidRPr="00706111">
        <w:rPr>
          <w:rFonts w:ascii="Times New Roman" w:hAnsi="Times New Roman" w:cs="Times New Roman" w:hint="eastAsia"/>
          <w:vertAlign w:val="superscript"/>
        </w:rPr>
        <w:t>7</w:t>
      </w:r>
      <w:r w:rsidRPr="00706111">
        <w:rPr>
          <w:rFonts w:ascii="Times New Roman" w:hAnsi="Times New Roman" w:cs="Times New Roman"/>
        </w:rPr>
        <w:t>, and Eun Kyung Lee</w:t>
      </w:r>
      <w:r w:rsidRPr="00706111">
        <w:rPr>
          <w:rFonts w:ascii="Times New Roman" w:hAnsi="Times New Roman" w:cs="Times New Roman"/>
          <w:vertAlign w:val="superscript"/>
        </w:rPr>
        <w:t xml:space="preserve">1, </w:t>
      </w:r>
      <w:r w:rsidRPr="00706111">
        <w:rPr>
          <w:rFonts w:ascii="Times New Roman" w:hAnsi="Times New Roman" w:cs="Times New Roman" w:hint="eastAsia"/>
          <w:vertAlign w:val="superscript"/>
        </w:rPr>
        <w:t>2</w:t>
      </w:r>
      <w:r w:rsidRPr="00706111">
        <w:rPr>
          <w:rFonts w:ascii="Times New Roman" w:hAnsi="Times New Roman" w:cs="Times New Roman"/>
          <w:vertAlign w:val="superscript"/>
        </w:rPr>
        <w:t xml:space="preserve">, </w:t>
      </w:r>
      <w:r w:rsidRPr="00706111">
        <w:rPr>
          <w:rFonts w:ascii="Times New Roman" w:hAnsi="Times New Roman" w:cs="Times New Roman" w:hint="eastAsia"/>
          <w:vertAlign w:val="superscript"/>
        </w:rPr>
        <w:t>6</w:t>
      </w:r>
      <w:r w:rsidRPr="00706111">
        <w:rPr>
          <w:rFonts w:ascii="Times New Roman" w:hAnsi="Times New Roman" w:cs="Times New Roman"/>
          <w:vertAlign w:val="superscript"/>
        </w:rPr>
        <w:t>, *</w:t>
      </w:r>
      <w:r w:rsidRPr="00706111">
        <w:rPr>
          <w:rFonts w:ascii="Times New Roman" w:hAnsi="Times New Roman" w:cs="Times New Roman"/>
        </w:rPr>
        <w:t xml:space="preserve"> </w:t>
      </w:r>
    </w:p>
    <w:p w14:paraId="734E05AA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</w:p>
    <w:p w14:paraId="133C4232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</w:p>
    <w:p w14:paraId="09C44053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/>
          <w:vertAlign w:val="superscript"/>
        </w:rPr>
        <w:t xml:space="preserve">1 </w:t>
      </w:r>
      <w:r w:rsidRPr="00706111">
        <w:rPr>
          <w:rFonts w:ascii="Times New Roman" w:hAnsi="Times New Roman" w:cs="Times New Roman"/>
        </w:rPr>
        <w:t>Department of Biochemistry, College of Medicine, The Catholic University of Korea, Seoul 06591, South Korea</w:t>
      </w:r>
    </w:p>
    <w:p w14:paraId="48E4608E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 w:hint="eastAsia"/>
          <w:vertAlign w:val="superscript"/>
        </w:rPr>
        <w:t>2</w:t>
      </w:r>
      <w:r w:rsidRPr="00706111">
        <w:rPr>
          <w:rFonts w:ascii="Times New Roman" w:hAnsi="Times New Roman" w:cs="Times New Roman"/>
          <w:vertAlign w:val="superscript"/>
        </w:rPr>
        <w:t xml:space="preserve"> </w:t>
      </w:r>
      <w:r w:rsidRPr="00706111">
        <w:rPr>
          <w:rFonts w:ascii="Times New Roman" w:hAnsi="Times New Roman" w:cs="Times New Roman"/>
        </w:rPr>
        <w:t xml:space="preserve">Department of </w:t>
      </w:r>
      <w:r w:rsidRPr="00706111">
        <w:rPr>
          <w:rFonts w:ascii="Times New Roman" w:hAnsi="Times New Roman" w:cs="Times New Roman" w:hint="eastAsia"/>
        </w:rPr>
        <w:t>Medical Science</w:t>
      </w:r>
      <w:r w:rsidRPr="00706111">
        <w:rPr>
          <w:rFonts w:ascii="Times New Roman" w:hAnsi="Times New Roman" w:cs="Times New Roman"/>
        </w:rPr>
        <w:t>,</w:t>
      </w:r>
      <w:r w:rsidRPr="00706111">
        <w:rPr>
          <w:rFonts w:ascii="Times New Roman" w:hAnsi="Times New Roman" w:cs="Times New Roman" w:hint="eastAsia"/>
        </w:rPr>
        <w:t xml:space="preserve"> Graduate School,</w:t>
      </w:r>
      <w:r w:rsidRPr="00706111">
        <w:rPr>
          <w:rFonts w:ascii="Times New Roman" w:hAnsi="Times New Roman" w:cs="Times New Roman"/>
        </w:rPr>
        <w:t xml:space="preserve"> The Catholic University of Korea, Seoul 06591, South Korea</w:t>
      </w:r>
    </w:p>
    <w:p w14:paraId="7C590E76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 w:hint="eastAsia"/>
          <w:vertAlign w:val="superscript"/>
        </w:rPr>
        <w:t>3</w:t>
      </w:r>
      <w:r w:rsidRPr="00706111">
        <w:rPr>
          <w:rFonts w:ascii="Times New Roman" w:hAnsi="Times New Roman" w:cs="Times New Roman"/>
          <w:vertAlign w:val="superscript"/>
        </w:rPr>
        <w:t xml:space="preserve"> </w:t>
      </w:r>
      <w:r w:rsidRPr="00706111">
        <w:rPr>
          <w:rFonts w:ascii="Times New Roman" w:hAnsi="Times New Roman" w:cs="Times New Roman"/>
        </w:rPr>
        <w:t>INSERM U1052, CNRS UMR-5286, Cancer Research Center of Lyon (CRCL), Lyon 69008, France</w:t>
      </w:r>
    </w:p>
    <w:p w14:paraId="7F8CADC3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/>
          <w:vertAlign w:val="superscript"/>
        </w:rPr>
        <w:t>4</w:t>
      </w:r>
      <w:r w:rsidRPr="00706111">
        <w:rPr>
          <w:rFonts w:ascii="Times New Roman" w:hAnsi="Times New Roman" w:cs="Times New Roman" w:hint="eastAsia"/>
          <w:vertAlign w:val="superscript"/>
        </w:rPr>
        <w:t xml:space="preserve"> </w:t>
      </w:r>
      <w:r w:rsidRPr="00706111">
        <w:rPr>
          <w:rFonts w:ascii="Times New Roman" w:hAnsi="Times New Roman" w:cs="Times New Roman"/>
        </w:rPr>
        <w:t xml:space="preserve">Department of Pharmacology, </w:t>
      </w:r>
      <w:r w:rsidRPr="00706111">
        <w:rPr>
          <w:rFonts w:ascii="Times New Roman" w:hAnsi="Times New Roman" w:cs="Times New Roman" w:hint="eastAsia"/>
        </w:rPr>
        <w:t xml:space="preserve">Yonsei University </w:t>
      </w:r>
      <w:r w:rsidRPr="00706111">
        <w:rPr>
          <w:rFonts w:ascii="Times New Roman" w:hAnsi="Times New Roman" w:cs="Times New Roman"/>
        </w:rPr>
        <w:t xml:space="preserve">College of Medicine, </w:t>
      </w:r>
      <w:r w:rsidRPr="00706111">
        <w:rPr>
          <w:rFonts w:ascii="Times New Roman" w:hAnsi="Times New Roman" w:cs="Times New Roman" w:hint="eastAsia"/>
        </w:rPr>
        <w:t>Seoul 03722, South Korea</w:t>
      </w:r>
    </w:p>
    <w:p w14:paraId="52F31D6E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 w:hint="eastAsia"/>
          <w:vertAlign w:val="superscript"/>
        </w:rPr>
        <w:t xml:space="preserve">5 </w:t>
      </w:r>
      <w:r w:rsidRPr="00706111">
        <w:rPr>
          <w:rFonts w:ascii="Times New Roman" w:hAnsi="Times New Roman" w:cs="Times New Roman"/>
        </w:rPr>
        <w:t>Department of Pharmacology, College of Medicine, The Catholic University of Korea, Seoul</w:t>
      </w:r>
      <w:r w:rsidRPr="00706111">
        <w:rPr>
          <w:rFonts w:ascii="Times New Roman" w:hAnsi="Times New Roman" w:cs="Times New Roman" w:hint="eastAsia"/>
        </w:rPr>
        <w:t xml:space="preserve"> 06591, South Korea</w:t>
      </w:r>
    </w:p>
    <w:p w14:paraId="53BCEE16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 w:hint="eastAsia"/>
          <w:vertAlign w:val="superscript"/>
        </w:rPr>
        <w:t>6</w:t>
      </w:r>
      <w:r w:rsidRPr="00706111">
        <w:rPr>
          <w:rFonts w:ascii="Times New Roman" w:hAnsi="Times New Roman" w:cs="Times New Roman"/>
          <w:vertAlign w:val="superscript"/>
        </w:rPr>
        <w:t xml:space="preserve"> </w:t>
      </w:r>
      <w:r w:rsidRPr="00706111">
        <w:rPr>
          <w:rFonts w:ascii="Times New Roman" w:hAnsi="Times New Roman" w:cs="Times New Roman"/>
        </w:rPr>
        <w:t xml:space="preserve">Institute </w:t>
      </w:r>
      <w:r w:rsidRPr="00706111">
        <w:rPr>
          <w:rFonts w:ascii="Times New Roman" w:hAnsi="Times New Roman" w:cs="Times New Roman" w:hint="eastAsia"/>
        </w:rPr>
        <w:t>f</w:t>
      </w:r>
      <w:r w:rsidRPr="00706111">
        <w:rPr>
          <w:rFonts w:ascii="Times New Roman" w:hAnsi="Times New Roman" w:cs="Times New Roman"/>
        </w:rPr>
        <w:t>or Aging and Metabolic Diseases, College of Medicine, The Catholic University of Korea, Seoul 06591, South Korea</w:t>
      </w:r>
    </w:p>
    <w:p w14:paraId="120695C4" w14:textId="77777777" w:rsidR="00024334" w:rsidRPr="00706111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706111">
        <w:rPr>
          <w:rFonts w:ascii="Times New Roman" w:hAnsi="Times New Roman" w:cs="Times New Roman" w:hint="eastAsia"/>
          <w:vertAlign w:val="superscript"/>
        </w:rPr>
        <w:t>7</w:t>
      </w:r>
      <w:r w:rsidRPr="00706111">
        <w:rPr>
          <w:rFonts w:ascii="Times New Roman" w:hAnsi="Times New Roman" w:cs="Times New Roman"/>
          <w:vertAlign w:val="superscript"/>
        </w:rPr>
        <w:t xml:space="preserve"> </w:t>
      </w:r>
      <w:r w:rsidRPr="00706111">
        <w:rPr>
          <w:rFonts w:ascii="Times New Roman" w:hAnsi="Times New Roman" w:cs="Times New Roman"/>
        </w:rPr>
        <w:t xml:space="preserve">Department of Molecular Science &amp; Technology, </w:t>
      </w:r>
      <w:proofErr w:type="spellStart"/>
      <w:r w:rsidRPr="00706111">
        <w:rPr>
          <w:rFonts w:ascii="Times New Roman" w:hAnsi="Times New Roman" w:cs="Times New Roman"/>
        </w:rPr>
        <w:t>Ajou</w:t>
      </w:r>
      <w:proofErr w:type="spellEnd"/>
      <w:r w:rsidRPr="00706111">
        <w:rPr>
          <w:rFonts w:ascii="Times New Roman" w:hAnsi="Times New Roman" w:cs="Times New Roman"/>
        </w:rPr>
        <w:t xml:space="preserve"> University, Suwon 16499, South Korea</w:t>
      </w:r>
    </w:p>
    <w:p w14:paraId="21AC3687" w14:textId="77777777" w:rsidR="00024334" w:rsidRPr="00B7173C" w:rsidRDefault="00024334" w:rsidP="00024334">
      <w:pPr>
        <w:wordWrap/>
        <w:spacing w:after="0" w:line="480" w:lineRule="auto"/>
        <w:rPr>
          <w:rFonts w:ascii="Times New Roman" w:hAnsi="Times New Roman" w:cs="Times New Roman"/>
        </w:rPr>
      </w:pPr>
      <w:r w:rsidRPr="00B7173C">
        <w:rPr>
          <w:rFonts w:ascii="Times New Roman" w:hAnsi="Times New Roman" w:cs="Times New Roman"/>
          <w:vertAlign w:val="superscript"/>
        </w:rPr>
        <w:t xml:space="preserve">* </w:t>
      </w:r>
      <w:r w:rsidRPr="00B7173C">
        <w:rPr>
          <w:rFonts w:ascii="Times New Roman" w:hAnsi="Times New Roman" w:cs="Times New Roman"/>
        </w:rPr>
        <w:t xml:space="preserve">Correspondence should be addressed to Eun Kyung Lee; </w:t>
      </w:r>
      <w:hyperlink r:id="rId6" w:history="1">
        <w:r w:rsidRPr="00B7173C">
          <w:rPr>
            <w:rStyle w:val="a3"/>
            <w:rFonts w:ascii="Times New Roman" w:hAnsi="Times New Roman" w:cs="Times New Roman"/>
          </w:rPr>
          <w:t>leeek@catholic.ac.kr</w:t>
        </w:r>
      </w:hyperlink>
      <w:r>
        <w:rPr>
          <w:rFonts w:hint="eastAsia"/>
        </w:rPr>
        <w:t xml:space="preserve"> </w:t>
      </w:r>
    </w:p>
    <w:p w14:paraId="66B4A6F7" w14:textId="77777777" w:rsidR="00024334" w:rsidRDefault="00024334" w:rsidP="00024334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3B764E56" w14:textId="77777777" w:rsidR="00024334" w:rsidRDefault="00024334" w:rsidP="00024334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1B15F58A" wp14:editId="3479665B">
            <wp:extent cx="4653669" cy="6145303"/>
            <wp:effectExtent l="0" t="0" r="0" b="0"/>
            <wp:docPr id="19204803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35" cy="6163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815B4" w14:textId="77777777" w:rsidR="00024334" w:rsidRPr="00B47DAF" w:rsidRDefault="00024334" w:rsidP="00024334">
      <w:pPr>
        <w:spacing w:line="480" w:lineRule="auto"/>
        <w:rPr>
          <w:rFonts w:ascii="Times New Roman" w:hAnsi="Times New Roman" w:cs="Times New Roman"/>
          <w:szCs w:val="20"/>
        </w:rPr>
      </w:pPr>
      <w:r w:rsidRPr="00B47DAF">
        <w:rPr>
          <w:rFonts w:ascii="Times New Roman" w:hAnsi="Times New Roman" w:cs="Times New Roman" w:hint="eastAsia"/>
          <w:b/>
          <w:szCs w:val="20"/>
        </w:rPr>
        <w:t xml:space="preserve">Supplementary </w:t>
      </w:r>
      <w:r w:rsidRPr="00B47DAF">
        <w:rPr>
          <w:rFonts w:ascii="Times New Roman" w:hAnsi="Times New Roman" w:cs="Times New Roman"/>
          <w:b/>
          <w:szCs w:val="20"/>
        </w:rPr>
        <w:t xml:space="preserve">Figure </w:t>
      </w:r>
      <w:r w:rsidRPr="00B47DAF">
        <w:rPr>
          <w:rFonts w:ascii="Times New Roman" w:hAnsi="Times New Roman" w:cs="Times New Roman" w:hint="eastAsia"/>
          <w:b/>
          <w:szCs w:val="20"/>
        </w:rPr>
        <w:t xml:space="preserve">S1. </w:t>
      </w:r>
      <w:r w:rsidRPr="00B47DAF">
        <w:rPr>
          <w:rFonts w:ascii="Times New Roman" w:hAnsi="Times New Roman" w:cs="Times New Roman"/>
          <w:b/>
          <w:szCs w:val="20"/>
        </w:rPr>
        <w:t xml:space="preserve">Mitophagy activity assessed by </w:t>
      </w:r>
      <w:proofErr w:type="spellStart"/>
      <w:r w:rsidRPr="00B47DAF">
        <w:rPr>
          <w:rFonts w:ascii="Times New Roman" w:hAnsi="Times New Roman" w:cs="Times New Roman"/>
          <w:b/>
          <w:szCs w:val="20"/>
        </w:rPr>
        <w:t>hmt-Keima</w:t>
      </w:r>
      <w:proofErr w:type="spellEnd"/>
      <w:r w:rsidRPr="00B47DAF">
        <w:rPr>
          <w:rFonts w:ascii="Times New Roman" w:hAnsi="Times New Roman" w:cs="Times New Roman"/>
          <w:b/>
          <w:szCs w:val="20"/>
        </w:rPr>
        <w:t xml:space="preserve"> reporter assay</w:t>
      </w:r>
    </w:p>
    <w:p w14:paraId="7F5579C5" w14:textId="77777777" w:rsidR="00024334" w:rsidRPr="00B47DAF" w:rsidRDefault="00024334" w:rsidP="00024334">
      <w:pPr>
        <w:spacing w:line="480" w:lineRule="auto"/>
        <w:rPr>
          <w:rFonts w:ascii="Times New Roman" w:hAnsi="Times New Roman" w:cs="Times New Roman"/>
          <w:szCs w:val="20"/>
        </w:rPr>
      </w:pPr>
      <w:r w:rsidRPr="00B47DAF">
        <w:rPr>
          <w:rFonts w:ascii="Times New Roman" w:hAnsi="Times New Roman" w:cs="Times New Roman"/>
          <w:szCs w:val="20"/>
        </w:rPr>
        <w:t xml:space="preserve">(A and B) HEK293T cells transfected with </w:t>
      </w:r>
      <w:proofErr w:type="spellStart"/>
      <w:r w:rsidRPr="00B47DAF">
        <w:rPr>
          <w:rFonts w:ascii="Times New Roman" w:hAnsi="Times New Roman" w:cs="Times New Roman"/>
          <w:szCs w:val="20"/>
        </w:rPr>
        <w:t>phmt-Keima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were incubated with 1 mM sodium butyrate (</w:t>
      </w:r>
      <w:proofErr w:type="spellStart"/>
      <w:r w:rsidRPr="00B47DAF">
        <w:rPr>
          <w:rFonts w:ascii="Times New Roman" w:hAnsi="Times New Roman" w:cs="Times New Roman"/>
          <w:szCs w:val="20"/>
        </w:rPr>
        <w:t>NaBu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) for 72 hours (A) or </w:t>
      </w:r>
      <w:proofErr w:type="spellStart"/>
      <w:r w:rsidRPr="00B47DAF">
        <w:rPr>
          <w:rFonts w:ascii="Times New Roman" w:hAnsi="Times New Roman" w:cs="Times New Roman"/>
          <w:szCs w:val="20"/>
        </w:rPr>
        <w:t>HaCaT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, HEK293T, and SH-SY5Y cells were co-transfected with </w:t>
      </w:r>
      <w:proofErr w:type="spellStart"/>
      <w:r w:rsidRPr="00B47DAF">
        <w:rPr>
          <w:rFonts w:ascii="Times New Roman" w:hAnsi="Times New Roman" w:cs="Times New Roman"/>
          <w:szCs w:val="20"/>
        </w:rPr>
        <w:t>phmt-Keima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and siRNAs (</w:t>
      </w:r>
      <w:proofErr w:type="spellStart"/>
      <w:r w:rsidRPr="00B47DAF">
        <w:rPr>
          <w:rFonts w:ascii="Times New Roman" w:hAnsi="Times New Roman" w:cs="Times New Roman"/>
          <w:szCs w:val="20"/>
        </w:rPr>
        <w:t>siCtrl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or siTIA-1), followed by 48 hours of incubation (B). To induce mitophagy, cells were treated with FCCP (20 </w:t>
      </w:r>
      <w:proofErr w:type="spellStart"/>
      <w:r w:rsidRPr="00B47DAF">
        <w:rPr>
          <w:rFonts w:ascii="Times New Roman" w:hAnsi="Times New Roman" w:cs="Times New Roman"/>
          <w:szCs w:val="20"/>
        </w:rPr>
        <w:t>μM</w:t>
      </w:r>
      <w:proofErr w:type="spellEnd"/>
      <w:r w:rsidRPr="00B47DAF">
        <w:rPr>
          <w:rFonts w:ascii="Times New Roman" w:hAnsi="Times New Roman" w:cs="Times New Roman"/>
          <w:szCs w:val="20"/>
        </w:rPr>
        <w:t>) and oligomycin (5 </w:t>
      </w:r>
      <w:proofErr w:type="spellStart"/>
      <w:r w:rsidRPr="00B47DAF">
        <w:rPr>
          <w:rFonts w:ascii="Times New Roman" w:hAnsi="Times New Roman" w:cs="Times New Roman"/>
          <w:szCs w:val="20"/>
        </w:rPr>
        <w:t>μM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), and mitophagy activity was assessed by quantifying fluorescence signals (red/green) from the </w:t>
      </w:r>
      <w:proofErr w:type="spellStart"/>
      <w:r w:rsidRPr="00B47DAF">
        <w:rPr>
          <w:rFonts w:ascii="Times New Roman" w:hAnsi="Times New Roman" w:cs="Times New Roman"/>
          <w:szCs w:val="20"/>
        </w:rPr>
        <w:t>phmt-Keima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reporter using ImageJ software. Representative images are shown and data are presented as mean ± SEM from three independent </w:t>
      </w:r>
      <w:r w:rsidRPr="00B47DAF">
        <w:rPr>
          <w:rFonts w:ascii="Times New Roman" w:hAnsi="Times New Roman" w:cs="Times New Roman"/>
          <w:szCs w:val="20"/>
        </w:rPr>
        <w:lastRenderedPageBreak/>
        <w:t>experiments. Scale bar, 20 </w:t>
      </w:r>
      <w:proofErr w:type="spellStart"/>
      <w:r w:rsidRPr="00B47DAF">
        <w:rPr>
          <w:rFonts w:ascii="Times New Roman" w:hAnsi="Times New Roman" w:cs="Times New Roman"/>
          <w:szCs w:val="20"/>
        </w:rPr>
        <w:t>μm</w:t>
      </w:r>
      <w:proofErr w:type="spellEnd"/>
      <w:r w:rsidRPr="00B47DAF">
        <w:rPr>
          <w:rFonts w:ascii="Times New Roman" w:hAnsi="Times New Roman" w:cs="Times New Roman"/>
          <w:szCs w:val="20"/>
        </w:rPr>
        <w:t>. **p &lt; 0.01; ***p &lt; 0.001.</w:t>
      </w:r>
    </w:p>
    <w:p w14:paraId="0D2D838A" w14:textId="77777777" w:rsidR="00024334" w:rsidRPr="00E47BD8" w:rsidRDefault="00024334" w:rsidP="0002433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5885E1" wp14:editId="4F14D3E4">
            <wp:extent cx="5534025" cy="2755831"/>
            <wp:effectExtent l="0" t="0" r="0" b="6985"/>
            <wp:docPr id="84485387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28" cy="2764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BFA1C" w14:textId="77777777" w:rsidR="00024334" w:rsidRPr="00B47DAF" w:rsidRDefault="00024334" w:rsidP="00024334">
      <w:pPr>
        <w:spacing w:line="480" w:lineRule="auto"/>
        <w:rPr>
          <w:rFonts w:ascii="Times New Roman" w:hAnsi="Times New Roman" w:cs="Times New Roman"/>
          <w:color w:val="EE0000"/>
          <w:szCs w:val="20"/>
        </w:rPr>
      </w:pPr>
      <w:r w:rsidRPr="00B47DAF">
        <w:rPr>
          <w:rFonts w:ascii="Times New Roman" w:hAnsi="Times New Roman" w:cs="Times New Roman" w:hint="eastAsia"/>
          <w:b/>
          <w:szCs w:val="20"/>
        </w:rPr>
        <w:t xml:space="preserve">Supplementary </w:t>
      </w:r>
      <w:r w:rsidRPr="00B47DAF">
        <w:rPr>
          <w:rFonts w:ascii="Times New Roman" w:hAnsi="Times New Roman" w:cs="Times New Roman"/>
          <w:b/>
          <w:szCs w:val="20"/>
        </w:rPr>
        <w:t xml:space="preserve">Figure </w:t>
      </w:r>
      <w:r w:rsidRPr="00B47DAF">
        <w:rPr>
          <w:rFonts w:ascii="Times New Roman" w:hAnsi="Times New Roman" w:cs="Times New Roman" w:hint="eastAsia"/>
          <w:b/>
          <w:szCs w:val="20"/>
        </w:rPr>
        <w:t xml:space="preserve">S2. </w:t>
      </w:r>
      <w:r w:rsidRPr="00B47DAF">
        <w:rPr>
          <w:rFonts w:ascii="Times New Roman" w:hAnsi="Times New Roman" w:cs="Times New Roman"/>
          <w:b/>
          <w:szCs w:val="20"/>
        </w:rPr>
        <w:t xml:space="preserve">Mitophagy activity assessed by </w:t>
      </w:r>
      <w:proofErr w:type="spellStart"/>
      <w:r w:rsidRPr="00B47DAF">
        <w:rPr>
          <w:rFonts w:ascii="Times New Roman" w:hAnsi="Times New Roman" w:cs="Times New Roman"/>
          <w:b/>
          <w:szCs w:val="20"/>
        </w:rPr>
        <w:t>hmt-Keima</w:t>
      </w:r>
      <w:proofErr w:type="spellEnd"/>
      <w:r w:rsidRPr="00B47DAF">
        <w:rPr>
          <w:rFonts w:ascii="Times New Roman" w:hAnsi="Times New Roman" w:cs="Times New Roman"/>
          <w:b/>
          <w:szCs w:val="20"/>
        </w:rPr>
        <w:t xml:space="preserve"> reporter assay in HEK293T cells</w:t>
      </w:r>
    </w:p>
    <w:p w14:paraId="1A56C7C3" w14:textId="77777777" w:rsidR="00024334" w:rsidRPr="0029291D" w:rsidRDefault="00024334" w:rsidP="00024334">
      <w:pPr>
        <w:spacing w:line="480" w:lineRule="auto"/>
        <w:rPr>
          <w:rFonts w:ascii="Times New Roman" w:hAnsi="Times New Roman" w:cs="Times New Roman"/>
        </w:rPr>
      </w:pPr>
      <w:r w:rsidRPr="00B47DAF">
        <w:rPr>
          <w:rFonts w:ascii="Times New Roman" w:hAnsi="Times New Roman" w:cs="Times New Roman" w:hint="eastAsia"/>
          <w:szCs w:val="20"/>
        </w:rPr>
        <w:t>Following TIA-1 knockdown, H</w:t>
      </w:r>
      <w:r w:rsidRPr="00B47DAF">
        <w:rPr>
          <w:rFonts w:ascii="Times New Roman" w:hAnsi="Times New Roman" w:cs="Times New Roman"/>
          <w:szCs w:val="20"/>
        </w:rPr>
        <w:t>EK293T</w:t>
      </w:r>
      <w:r w:rsidRPr="00B47DAF">
        <w:rPr>
          <w:rFonts w:ascii="Times New Roman" w:hAnsi="Times New Roman" w:cs="Times New Roman" w:hint="eastAsia"/>
          <w:szCs w:val="20"/>
        </w:rPr>
        <w:t xml:space="preserve"> cells were treated with </w:t>
      </w:r>
      <w:r w:rsidRPr="00B47DAF">
        <w:rPr>
          <w:rFonts w:ascii="Times New Roman" w:hAnsi="Times New Roman" w:cs="Times New Roman"/>
          <w:szCs w:val="20"/>
        </w:rPr>
        <w:t xml:space="preserve">1 mM </w:t>
      </w:r>
      <w:proofErr w:type="spellStart"/>
      <w:r w:rsidRPr="00B47DAF">
        <w:rPr>
          <w:rFonts w:ascii="Times New Roman" w:hAnsi="Times New Roman" w:cs="Times New Roman"/>
          <w:szCs w:val="20"/>
        </w:rPr>
        <w:t>NaBu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for 48 hours</w:t>
      </w:r>
      <w:r w:rsidRPr="00B47DAF">
        <w:rPr>
          <w:rFonts w:ascii="Times New Roman" w:hAnsi="Times New Roman" w:cs="Times New Roman" w:hint="eastAsia"/>
          <w:szCs w:val="20"/>
        </w:rPr>
        <w:t>.</w:t>
      </w:r>
      <w:r w:rsidRPr="00B47DAF">
        <w:rPr>
          <w:rFonts w:ascii="Times New Roman" w:hAnsi="Times New Roman" w:cs="Times New Roman"/>
          <w:szCs w:val="20"/>
        </w:rPr>
        <w:t xml:space="preserve"> Mitophagy activity was assessed by monitoring the red fluorescence signals of the </w:t>
      </w:r>
      <w:proofErr w:type="spellStart"/>
      <w:r w:rsidRPr="00B47DAF">
        <w:rPr>
          <w:rFonts w:ascii="Times New Roman" w:hAnsi="Times New Roman" w:cs="Times New Roman"/>
          <w:szCs w:val="20"/>
        </w:rPr>
        <w:t>hmtKeima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reporter following treatment with FCCP (20 </w:t>
      </w:r>
      <w:proofErr w:type="spellStart"/>
      <w:r w:rsidRPr="00B47DAF">
        <w:rPr>
          <w:rFonts w:ascii="Times New Roman" w:eastAsia="맑은 고딕" w:hAnsi="Times New Roman" w:cs="Times New Roman"/>
          <w:szCs w:val="20"/>
        </w:rPr>
        <w:t>μ</w:t>
      </w:r>
      <w:r w:rsidRPr="00B47DAF">
        <w:rPr>
          <w:rFonts w:ascii="Times New Roman" w:hAnsi="Times New Roman" w:cs="Times New Roman"/>
          <w:szCs w:val="20"/>
        </w:rPr>
        <w:t>M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), and the fluorescence ratio (red/green) was determined using ImageJ software. Representative images are shown and data represent mean ± SEM from three independent experiments. Scale bar, 20 </w:t>
      </w:r>
      <w:proofErr w:type="spellStart"/>
      <w:r w:rsidRPr="00B47DAF">
        <w:rPr>
          <w:rFonts w:ascii="Times New Roman" w:hAnsi="Times New Roman" w:cs="Times New Roman"/>
          <w:szCs w:val="20"/>
        </w:rPr>
        <w:t>μm</w:t>
      </w:r>
      <w:proofErr w:type="spellEnd"/>
      <w:r w:rsidRPr="00B47DAF">
        <w:rPr>
          <w:rFonts w:ascii="Times New Roman" w:hAnsi="Times New Roman" w:cs="Times New Roman" w:hint="eastAsia"/>
          <w:szCs w:val="20"/>
        </w:rPr>
        <w:t xml:space="preserve">. </w:t>
      </w:r>
      <w:r w:rsidRPr="00B47DAF">
        <w:rPr>
          <w:rFonts w:ascii="Times New Roman" w:hAnsi="Times New Roman" w:cs="Times New Roman"/>
          <w:szCs w:val="20"/>
        </w:rPr>
        <w:t>**</w:t>
      </w:r>
      <w:r w:rsidRPr="00B47DAF">
        <w:rPr>
          <w:rFonts w:ascii="Times New Roman" w:hAnsi="Times New Roman" w:cs="Times New Roman" w:hint="eastAsia"/>
          <w:szCs w:val="20"/>
        </w:rPr>
        <w:t xml:space="preserve">, </w:t>
      </w:r>
      <w:r w:rsidRPr="00B47DAF">
        <w:rPr>
          <w:rFonts w:ascii="Times New Roman" w:hAnsi="Times New Roman" w:cs="Times New Roman"/>
          <w:szCs w:val="20"/>
        </w:rPr>
        <w:t>p &lt; 0.01; ***</w:t>
      </w:r>
      <w:r w:rsidRPr="00B47DAF">
        <w:rPr>
          <w:rFonts w:ascii="Times New Roman" w:hAnsi="Times New Roman" w:cs="Times New Roman" w:hint="eastAsia"/>
          <w:szCs w:val="20"/>
        </w:rPr>
        <w:t xml:space="preserve">, </w:t>
      </w:r>
      <w:r w:rsidRPr="00B47DAF">
        <w:rPr>
          <w:rFonts w:ascii="Times New Roman" w:hAnsi="Times New Roman" w:cs="Times New Roman"/>
          <w:szCs w:val="20"/>
        </w:rPr>
        <w:t>p &lt; 0.001.</w:t>
      </w:r>
      <w:r>
        <w:rPr>
          <w:rFonts w:ascii="Times New Roman" w:hAnsi="Times New Roman" w:cs="Times New Roman"/>
          <w:color w:val="EE0000"/>
        </w:rPr>
        <w:br w:type="page"/>
      </w:r>
    </w:p>
    <w:p w14:paraId="0E3A312D" w14:textId="77777777" w:rsidR="00024334" w:rsidRDefault="00024334" w:rsidP="00024334">
      <w:pPr>
        <w:spacing w:line="480" w:lineRule="auto"/>
        <w:jc w:val="center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noProof/>
          <w:color w:val="EE0000"/>
        </w:rPr>
        <w:lastRenderedPageBreak/>
        <w:drawing>
          <wp:inline distT="0" distB="0" distL="0" distR="0" wp14:anchorId="6D11B2C8" wp14:editId="5B04A481">
            <wp:extent cx="4944645" cy="256778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764" cy="2588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D3AB3" w14:textId="77777777" w:rsidR="00024334" w:rsidRPr="00B47DAF" w:rsidRDefault="00024334" w:rsidP="00024334">
      <w:pPr>
        <w:spacing w:line="480" w:lineRule="auto"/>
        <w:rPr>
          <w:rFonts w:ascii="Times New Roman" w:hAnsi="Times New Roman" w:cs="Times New Roman"/>
          <w:b/>
          <w:szCs w:val="20"/>
        </w:rPr>
      </w:pPr>
      <w:r w:rsidRPr="00B47DAF">
        <w:rPr>
          <w:rFonts w:ascii="Times New Roman" w:hAnsi="Times New Roman" w:cs="Times New Roman" w:hint="eastAsia"/>
          <w:b/>
          <w:szCs w:val="20"/>
        </w:rPr>
        <w:t xml:space="preserve">Supplementary </w:t>
      </w:r>
      <w:r w:rsidRPr="00B47DAF">
        <w:rPr>
          <w:rFonts w:ascii="Times New Roman" w:hAnsi="Times New Roman" w:cs="Times New Roman"/>
          <w:b/>
          <w:szCs w:val="20"/>
        </w:rPr>
        <w:t xml:space="preserve">Figure </w:t>
      </w:r>
      <w:r w:rsidRPr="00B47DAF">
        <w:rPr>
          <w:rFonts w:ascii="Times New Roman" w:hAnsi="Times New Roman" w:cs="Times New Roman" w:hint="eastAsia"/>
          <w:b/>
          <w:szCs w:val="20"/>
        </w:rPr>
        <w:t xml:space="preserve">S3. </w:t>
      </w:r>
      <w:r w:rsidRPr="00B47DAF">
        <w:rPr>
          <w:rFonts w:ascii="Times New Roman" w:hAnsi="Times New Roman" w:cs="Times New Roman"/>
          <w:b/>
          <w:szCs w:val="20"/>
        </w:rPr>
        <w:t xml:space="preserve">Release of mitochondrial DNA after </w:t>
      </w:r>
      <w:proofErr w:type="spellStart"/>
      <w:r w:rsidRPr="00B47DAF">
        <w:rPr>
          <w:rFonts w:ascii="Times New Roman" w:hAnsi="Times New Roman" w:cs="Times New Roman"/>
          <w:b/>
          <w:szCs w:val="20"/>
        </w:rPr>
        <w:t>NaBu</w:t>
      </w:r>
      <w:proofErr w:type="spellEnd"/>
      <w:r w:rsidRPr="00B47DAF">
        <w:rPr>
          <w:rFonts w:ascii="Times New Roman" w:hAnsi="Times New Roman" w:cs="Times New Roman"/>
          <w:b/>
          <w:szCs w:val="20"/>
        </w:rPr>
        <w:t xml:space="preserve"> treatment or TIA-1 knockdown </w:t>
      </w:r>
    </w:p>
    <w:p w14:paraId="0441DD71" w14:textId="77777777" w:rsidR="00024334" w:rsidRPr="00B47DAF" w:rsidRDefault="00024334" w:rsidP="00024334">
      <w:pPr>
        <w:spacing w:line="480" w:lineRule="auto"/>
        <w:rPr>
          <w:rFonts w:ascii="Times New Roman" w:hAnsi="Times New Roman" w:cs="Times New Roman"/>
          <w:szCs w:val="20"/>
        </w:rPr>
      </w:pPr>
      <w:r w:rsidRPr="00B47DAF">
        <w:rPr>
          <w:rFonts w:ascii="Times New Roman" w:hAnsi="Times New Roman" w:cs="Times New Roman" w:hint="eastAsia"/>
          <w:szCs w:val="20"/>
        </w:rPr>
        <w:t>(A</w:t>
      </w:r>
      <w:r w:rsidRPr="00B47DAF">
        <w:rPr>
          <w:rFonts w:ascii="Times New Roman" w:hAnsi="Times New Roman" w:cs="Times New Roman"/>
          <w:szCs w:val="20"/>
        </w:rPr>
        <w:t xml:space="preserve"> and B</w:t>
      </w:r>
      <w:r w:rsidRPr="00B47DAF">
        <w:rPr>
          <w:rFonts w:ascii="Times New Roman" w:hAnsi="Times New Roman" w:cs="Times New Roman" w:hint="eastAsia"/>
          <w:szCs w:val="20"/>
        </w:rPr>
        <w:t xml:space="preserve">) </w:t>
      </w:r>
      <w:proofErr w:type="spellStart"/>
      <w:r w:rsidRPr="00B47DAF">
        <w:rPr>
          <w:rFonts w:ascii="Times New Roman" w:hAnsi="Times New Roman" w:cs="Times New Roman" w:hint="eastAsia"/>
          <w:szCs w:val="20"/>
        </w:rPr>
        <w:t>HaCaT</w:t>
      </w:r>
      <w:proofErr w:type="spellEnd"/>
      <w:r w:rsidRPr="00B47DAF">
        <w:rPr>
          <w:rFonts w:ascii="Times New Roman" w:hAnsi="Times New Roman" w:cs="Times New Roman" w:hint="eastAsia"/>
          <w:szCs w:val="20"/>
        </w:rPr>
        <w:t xml:space="preserve"> cells </w:t>
      </w:r>
      <w:r w:rsidRPr="00B47DAF">
        <w:rPr>
          <w:rFonts w:ascii="Times New Roman" w:hAnsi="Times New Roman" w:cs="Times New Roman"/>
          <w:szCs w:val="20"/>
        </w:rPr>
        <w:t xml:space="preserve">were </w:t>
      </w:r>
      <w:r w:rsidRPr="00B47DAF">
        <w:rPr>
          <w:rFonts w:ascii="Times New Roman" w:hAnsi="Times New Roman" w:cs="Times New Roman" w:hint="eastAsia"/>
          <w:szCs w:val="20"/>
        </w:rPr>
        <w:t xml:space="preserve">incubated </w:t>
      </w:r>
      <w:r w:rsidRPr="00B47DAF">
        <w:rPr>
          <w:rFonts w:ascii="Times New Roman" w:hAnsi="Times New Roman" w:cs="Times New Roman"/>
          <w:szCs w:val="20"/>
        </w:rPr>
        <w:t>with</w:t>
      </w:r>
      <w:r w:rsidRPr="00B47DAF">
        <w:rPr>
          <w:rFonts w:ascii="Times New Roman" w:hAnsi="Times New Roman" w:cs="Times New Roman" w:hint="eastAsia"/>
          <w:szCs w:val="20"/>
        </w:rPr>
        <w:t xml:space="preserve"> the media containing</w:t>
      </w:r>
      <w:r w:rsidRPr="00B47DAF">
        <w:rPr>
          <w:rFonts w:ascii="Times New Roman" w:hAnsi="Times New Roman" w:cs="Times New Roman"/>
          <w:szCs w:val="20"/>
        </w:rPr>
        <w:t xml:space="preserve"> 1 mM sodium butyrate (</w:t>
      </w:r>
      <w:proofErr w:type="spellStart"/>
      <w:r w:rsidRPr="00B47DAF">
        <w:rPr>
          <w:rFonts w:ascii="Times New Roman" w:hAnsi="Times New Roman" w:cs="Times New Roman"/>
          <w:szCs w:val="20"/>
        </w:rPr>
        <w:t>NaBu</w:t>
      </w:r>
      <w:proofErr w:type="spellEnd"/>
      <w:r w:rsidRPr="00B47DAF">
        <w:rPr>
          <w:rFonts w:ascii="Times New Roman" w:hAnsi="Times New Roman" w:cs="Times New Roman" w:hint="eastAsia"/>
          <w:szCs w:val="20"/>
        </w:rPr>
        <w:t>)</w:t>
      </w:r>
      <w:r w:rsidRPr="00B47DAF">
        <w:rPr>
          <w:rFonts w:ascii="Times New Roman" w:hAnsi="Times New Roman" w:cs="Times New Roman"/>
          <w:szCs w:val="20"/>
        </w:rPr>
        <w:t xml:space="preserve"> for 72 hours (A) or transfected with siRNAs (</w:t>
      </w:r>
      <w:proofErr w:type="spellStart"/>
      <w:r w:rsidRPr="00B47DAF">
        <w:rPr>
          <w:rFonts w:ascii="Times New Roman" w:hAnsi="Times New Roman" w:cs="Times New Roman"/>
          <w:szCs w:val="20"/>
        </w:rPr>
        <w:t>siCtrl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or siTIA-1) for 48 hours (B). Fraction was confirmed by WB analysis. TOM40 and GAPDH served as markers for the mitochondrial and cytosolic f</w:t>
      </w:r>
      <w:r>
        <w:rPr>
          <w:rFonts w:ascii="Times New Roman" w:hAnsi="Times New Roman" w:cs="Times New Roman"/>
          <w:szCs w:val="20"/>
        </w:rPr>
        <w:t>r</w:t>
      </w:r>
      <w:r w:rsidRPr="00B47DAF">
        <w:rPr>
          <w:rFonts w:ascii="Times New Roman" w:hAnsi="Times New Roman" w:cs="Times New Roman"/>
          <w:szCs w:val="20"/>
        </w:rPr>
        <w:t>action, respectively, and β-actin was used as a loading control</w:t>
      </w:r>
      <w:r w:rsidRPr="00B47DAF">
        <w:rPr>
          <w:rFonts w:ascii="Times New Roman" w:hAnsi="Times New Roman" w:cs="Times New Roman" w:hint="eastAsia"/>
          <w:szCs w:val="20"/>
        </w:rPr>
        <w:t>.</w:t>
      </w:r>
      <w:r w:rsidRPr="00B47DAF">
        <w:rPr>
          <w:rFonts w:ascii="Times New Roman" w:hAnsi="Times New Roman" w:cs="Times New Roman"/>
          <w:szCs w:val="20"/>
        </w:rPr>
        <w:t xml:space="preserve"> Cytosolic release of mitochondrial DNA (</w:t>
      </w:r>
      <w:proofErr w:type="spellStart"/>
      <w:r w:rsidRPr="00B47DAF">
        <w:rPr>
          <w:rFonts w:ascii="Times New Roman" w:hAnsi="Times New Roman" w:cs="Times New Roman"/>
          <w:szCs w:val="20"/>
        </w:rPr>
        <w:t>mtDNA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) was analyzed by measuring the levels of </w:t>
      </w:r>
      <w:proofErr w:type="spellStart"/>
      <w:r w:rsidRPr="00B47DAF">
        <w:rPr>
          <w:rFonts w:ascii="Times New Roman" w:hAnsi="Times New Roman" w:cs="Times New Roman"/>
          <w:szCs w:val="20"/>
        </w:rPr>
        <w:t>mtDNA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(ND1 and D-loop) in the cytosolic fraction using qPCR following normalization to the total </w:t>
      </w:r>
      <w:proofErr w:type="spellStart"/>
      <w:r w:rsidRPr="00B47DAF">
        <w:rPr>
          <w:rFonts w:ascii="Times New Roman" w:hAnsi="Times New Roman" w:cs="Times New Roman"/>
          <w:szCs w:val="20"/>
        </w:rPr>
        <w:t>mtDNA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copy number in whole-cell lysate.</w:t>
      </w:r>
      <w:r w:rsidRPr="00B47DAF">
        <w:rPr>
          <w:rFonts w:ascii="Times New Roman" w:hAnsi="Times New Roman" w:cs="Times New Roman" w:hint="eastAsia"/>
          <w:szCs w:val="20"/>
        </w:rPr>
        <w:t xml:space="preserve"> </w:t>
      </w:r>
      <w:r w:rsidRPr="00B47DAF">
        <w:rPr>
          <w:rFonts w:ascii="Times New Roman" w:hAnsi="Times New Roman" w:cs="Times New Roman"/>
          <w:szCs w:val="20"/>
        </w:rPr>
        <w:t xml:space="preserve">Total </w:t>
      </w:r>
      <w:proofErr w:type="spellStart"/>
      <w:r w:rsidRPr="00B47DAF">
        <w:rPr>
          <w:rFonts w:ascii="Times New Roman" w:hAnsi="Times New Roman" w:cs="Times New Roman"/>
          <w:szCs w:val="20"/>
        </w:rPr>
        <w:t>mtDNA</w:t>
      </w:r>
      <w:proofErr w:type="spellEnd"/>
      <w:r w:rsidRPr="00B47DAF">
        <w:rPr>
          <w:rFonts w:ascii="Times New Roman" w:hAnsi="Times New Roman" w:cs="Times New Roman"/>
          <w:szCs w:val="20"/>
        </w:rPr>
        <w:t xml:space="preserve"> copy number was determined by qPCR using genomic DNA from whole-cell lysates, with normalization to KCNJ10 as the reference gene. Representative images are shown. Data are presented as mean ± SEM from three independent experiments. </w:t>
      </w:r>
      <w:proofErr w:type="spellStart"/>
      <w:r w:rsidRPr="00B47DAF">
        <w:rPr>
          <w:rFonts w:ascii="Times New Roman" w:hAnsi="Times New Roman" w:cs="Times New Roman"/>
          <w:szCs w:val="20"/>
        </w:rPr>
        <w:t>n.s</w:t>
      </w:r>
      <w:proofErr w:type="spellEnd"/>
      <w:r w:rsidRPr="00B47DAF">
        <w:rPr>
          <w:rFonts w:ascii="Times New Roman" w:hAnsi="Times New Roman" w:cs="Times New Roman"/>
          <w:szCs w:val="20"/>
        </w:rPr>
        <w:t>., not significant (p &gt; 0.05); *p &lt; 0.05; **p &lt; 0.01.</w:t>
      </w:r>
    </w:p>
    <w:p w14:paraId="6DD8E78E" w14:textId="77777777" w:rsidR="00024334" w:rsidRPr="00AF6D7B" w:rsidRDefault="00024334" w:rsidP="00024334">
      <w:pPr>
        <w:spacing w:line="480" w:lineRule="auto"/>
        <w:rPr>
          <w:rFonts w:ascii="Times New Roman" w:hAnsi="Times New Roman" w:cs="Times New Roman"/>
          <w:color w:val="EE0000"/>
        </w:rPr>
      </w:pPr>
    </w:p>
    <w:p w14:paraId="35381292" w14:textId="77777777" w:rsidR="00024334" w:rsidRDefault="00024334" w:rsidP="00024334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2D38BD" w14:textId="77777777" w:rsidR="00024334" w:rsidRPr="00C5359C" w:rsidRDefault="00024334" w:rsidP="00024334">
      <w:pPr>
        <w:widowControl/>
        <w:wordWrap/>
        <w:autoSpaceDE/>
        <w:autoSpaceDN/>
        <w:rPr>
          <w:rFonts w:ascii="Times New Roman" w:hAnsi="Times New Roman" w:cs="Times New Roman"/>
          <w:sz w:val="24"/>
        </w:rPr>
      </w:pPr>
      <w:r w:rsidRPr="00C5359C">
        <w:rPr>
          <w:rFonts w:ascii="Times New Roman" w:hAnsi="Times New Roman" w:cs="Times New Roman"/>
          <w:b/>
          <w:bCs/>
          <w:sz w:val="24"/>
        </w:rPr>
        <w:lastRenderedPageBreak/>
        <w:t xml:space="preserve">Supplementary Table S1. </w:t>
      </w:r>
      <w:r>
        <w:rPr>
          <w:rFonts w:ascii="Times New Roman" w:hAnsi="Times New Roman" w:cs="Times New Roman"/>
          <w:b/>
          <w:bCs/>
          <w:sz w:val="24"/>
        </w:rPr>
        <w:t>O</w:t>
      </w:r>
      <w:r w:rsidRPr="00C5359C">
        <w:rPr>
          <w:rFonts w:ascii="Times New Roman" w:hAnsi="Times New Roman" w:cs="Times New Roman"/>
          <w:b/>
          <w:bCs/>
          <w:sz w:val="24"/>
        </w:rPr>
        <w:t>ligonucleotide sequences used in this study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520"/>
        <w:gridCol w:w="3521"/>
      </w:tblGrid>
      <w:tr w:rsidR="00024334" w:rsidRPr="00C5359C" w14:paraId="21D7C79E" w14:textId="77777777" w:rsidTr="00BB73B2">
        <w:trPr>
          <w:trHeight w:val="454"/>
        </w:trPr>
        <w:tc>
          <w:tcPr>
            <w:tcW w:w="198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38E6925D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b/>
                <w:bCs/>
                <w:szCs w:val="20"/>
              </w:rPr>
              <w:t>For RT-qPCR</w:t>
            </w:r>
          </w:p>
        </w:tc>
        <w:tc>
          <w:tcPr>
            <w:tcW w:w="35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0089BC40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b/>
                <w:bCs/>
                <w:szCs w:val="20"/>
              </w:rPr>
              <w:t>Forward primers (5ʹ → 3ʹ)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shd w:val="clear" w:color="auto" w:fill="EAEDF1" w:themeFill="text2" w:themeFillTint="1A"/>
            <w:vAlign w:val="center"/>
          </w:tcPr>
          <w:p w14:paraId="3F079B26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b/>
                <w:bCs/>
                <w:szCs w:val="20"/>
              </w:rPr>
              <w:t>Reverse primers (5ʹ → 3ʹ)</w:t>
            </w:r>
          </w:p>
        </w:tc>
      </w:tr>
      <w:tr w:rsidR="00024334" w:rsidRPr="00C5359C" w14:paraId="1EAC71B5" w14:textId="77777777" w:rsidTr="00BB73B2">
        <w:trPr>
          <w:trHeight w:val="471"/>
        </w:trPr>
        <w:tc>
          <w:tcPr>
            <w:tcW w:w="1985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E11A9EC" w14:textId="77777777" w:rsidR="00024334" w:rsidRPr="00C5359C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TIA-1</w:t>
            </w:r>
          </w:p>
        </w:tc>
        <w:tc>
          <w:tcPr>
            <w:tcW w:w="352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B0C569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9A1">
              <w:rPr>
                <w:rFonts w:ascii="Times New Roman" w:hAnsi="Times New Roman" w:cs="Times New Roman"/>
                <w:sz w:val="18"/>
                <w:szCs w:val="18"/>
              </w:rPr>
              <w:t>CGAGATGCCCAAGACTCTATACG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6921E98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9A1">
              <w:rPr>
                <w:rFonts w:ascii="Times New Roman" w:hAnsi="Times New Roman" w:cs="Times New Roman"/>
                <w:sz w:val="18"/>
                <w:szCs w:val="18"/>
              </w:rPr>
              <w:t>CCTTACCCATTATCTTCCGTCCA</w:t>
            </w:r>
          </w:p>
        </w:tc>
      </w:tr>
      <w:tr w:rsidR="00024334" w:rsidRPr="00C5359C" w14:paraId="05D5D6C9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892E0FA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GAPDH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5CDC7D1" w14:textId="77777777" w:rsidR="00024334" w:rsidRPr="00FB19A1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AGGTCGGTGTGAACGGATTTG</w:t>
            </w: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2774D1C" w14:textId="77777777" w:rsidR="00024334" w:rsidRPr="00FB19A1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TGTAGACCATGTAGTTGAGGTCA</w:t>
            </w:r>
          </w:p>
        </w:tc>
      </w:tr>
      <w:tr w:rsidR="00024334" w:rsidRPr="00C5359C" w14:paraId="704B888D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79D858D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p62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71197CB0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/>
                <w:sz w:val="18"/>
                <w:szCs w:val="18"/>
              </w:rPr>
              <w:t>GACTACGACTTGTGTAGCGTC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D15F8C" w14:textId="77777777" w:rsidR="00024334" w:rsidRPr="00846193" w:rsidRDefault="00024334" w:rsidP="00BB73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/>
                <w:bCs/>
                <w:sz w:val="18"/>
                <w:szCs w:val="18"/>
              </w:rPr>
              <w:t>AGTGTCCGTGTTTCACCTTCC</w:t>
            </w:r>
          </w:p>
        </w:tc>
      </w:tr>
      <w:tr w:rsidR="00024334" w:rsidRPr="00C5359C" w14:paraId="09372B84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1CC26B75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OPTN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69A12013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/>
                <w:sz w:val="18"/>
                <w:szCs w:val="18"/>
              </w:rPr>
              <w:t>AAAGAGCGTCTAATGGCCTTG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8580F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/>
                <w:sz w:val="18"/>
                <w:szCs w:val="18"/>
              </w:rPr>
              <w:t>GTTCAGACACGATGCCCAACA</w:t>
            </w:r>
          </w:p>
        </w:tc>
      </w:tr>
      <w:tr w:rsidR="00024334" w:rsidRPr="00C5359C" w14:paraId="1C64A543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48D284B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NBR1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564F87B5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AGGAGCAAAACGACTAGCTGC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60904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TCTGGGGTCTTCATGTCTGAT</w:t>
            </w:r>
          </w:p>
        </w:tc>
      </w:tr>
      <w:tr w:rsidR="00024334" w:rsidRPr="00C5359C" w14:paraId="77FF4133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C24C7C4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CALCOCO2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0A108E89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ATTTCATCCCTCGTCGAAAGGA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8D990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TAGAGGTGTAATACTCACGGGTT</w:t>
            </w:r>
          </w:p>
        </w:tc>
      </w:tr>
      <w:tr w:rsidR="00024334" w:rsidRPr="00C5359C" w14:paraId="3FC8F2F2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754435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TAX1BP1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65057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GCAGACCTGCATACTGCAC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04DE16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GCCATCTGAAGACGGAGTTTC</w:t>
            </w:r>
          </w:p>
        </w:tc>
      </w:tr>
      <w:tr w:rsidR="00024334" w:rsidRPr="00C5359C" w14:paraId="61A8E169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1CF89F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NIX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AA2E9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TTGGATGCACAACATGAATCAGG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C8927F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TCTTCTGACTGAGAGCTATGGTC</w:t>
            </w:r>
          </w:p>
        </w:tc>
      </w:tr>
      <w:tr w:rsidR="00024334" w:rsidRPr="00C5359C" w14:paraId="17D7ECD9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C59BB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BNIP3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B1394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CAGGGCTCCTGGGTAGAACT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DAFAE5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CTACTCCGTCCAGACTCATGC</w:t>
            </w:r>
          </w:p>
        </w:tc>
      </w:tr>
      <w:tr w:rsidR="00024334" w:rsidRPr="00C5359C" w14:paraId="4BC26287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A60983" w14:textId="77777777" w:rsidR="00024334" w:rsidRPr="00FA36C0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A36C0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FUNDC1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7C7C5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CCTCCCCAAGACTATGAAAGTGA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47C0F6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AAACACTCGATTCCACCACTG</w:t>
            </w:r>
          </w:p>
        </w:tc>
      </w:tr>
      <w:tr w:rsidR="00024334" w:rsidRPr="00C5359C" w14:paraId="0BC8A213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4AA19E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BCL2L13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71CA9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TGGTTTTGCTACGACAAATGCT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837FBF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TGCCGAATAGTCCTCCAGGT</w:t>
            </w:r>
          </w:p>
        </w:tc>
      </w:tr>
      <w:tr w:rsidR="00024334" w:rsidRPr="00C5359C" w14:paraId="12851F1D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E64BB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PHB2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B2BC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GTGCGCGAATCTGTGTTCAC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A7271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GATAATGGGGTACTGGAACCAAG</w:t>
            </w:r>
          </w:p>
        </w:tc>
      </w:tr>
      <w:tr w:rsidR="00024334" w:rsidRPr="00C5359C" w14:paraId="2F2E7D6D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748A5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MT-ND1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AA2C1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GAACTAGTCTCAGGCTTCAACATCG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C2A485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CTAGGAAGATTGTAGTGGTGAGGGTG</w:t>
            </w:r>
          </w:p>
        </w:tc>
      </w:tr>
      <w:tr w:rsidR="00024334" w:rsidRPr="00C5359C" w14:paraId="27837B65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8E82DC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MT-D-loop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EF79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CATAAAGCCTAAATAGCCCACACG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ADCC4C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CCGTGAGTGGTTAATAGGGTGATA</w:t>
            </w:r>
          </w:p>
        </w:tc>
      </w:tr>
      <w:tr w:rsidR="00024334" w:rsidRPr="00C5359C" w14:paraId="2610748F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187DD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KCNJ10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60FA2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GCGCAAAAGCCTCCTCATT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72BED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CCTTCCTTGGTTTGGTGGG</w:t>
            </w:r>
          </w:p>
        </w:tc>
      </w:tr>
      <w:tr w:rsidR="00024334" w:rsidRPr="00C5359C" w14:paraId="54EA0D59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450BD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IL6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A44BE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CAGGAGCCCAGCTATGAACT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BFDF3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GAAGGCAGCAGGCAACAC</w:t>
            </w:r>
          </w:p>
        </w:tc>
      </w:tr>
      <w:tr w:rsidR="00024334" w:rsidRPr="00C5359C" w14:paraId="340581BD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EE068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IL8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3BDC9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GAGTGGACCACACTGCGCCA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54B737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TCCACAACCCTCTGCACCCAGT</w:t>
            </w:r>
          </w:p>
        </w:tc>
      </w:tr>
      <w:tr w:rsidR="00024334" w:rsidRPr="00C5359C" w14:paraId="62F3DA03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EF172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IL1</w:t>
            </w:r>
            <w:r w:rsidRPr="00A842BA">
              <w:rPr>
                <w:rFonts w:ascii="맑은 고딕" w:eastAsia="맑은 고딕" w:hAnsi="맑은 고딕" w:cs="Times New Roman" w:hint="eastAsia"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8EB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AGCTACGAATCTCCGACCAC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1BBB79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CGTTATCCCATGTGTCGAAGAA</w:t>
            </w:r>
          </w:p>
        </w:tc>
      </w:tr>
      <w:tr w:rsidR="00024334" w:rsidRPr="00C5359C" w14:paraId="1FB2A098" w14:textId="77777777" w:rsidTr="00BB73B2">
        <w:trPr>
          <w:trHeight w:val="471"/>
        </w:trPr>
        <w:tc>
          <w:tcPr>
            <w:tcW w:w="1985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FFF82C0" w14:textId="77777777" w:rsidR="00024334" w:rsidRPr="00A842BA" w:rsidRDefault="00024334" w:rsidP="00BB73B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IFN</w:t>
            </w:r>
            <w:r w:rsidRPr="00A842BA">
              <w:rPr>
                <w:rFonts w:ascii="맑은 고딕" w:eastAsia="맑은 고딕" w:hAnsi="맑은 고딕" w:cs="Times New Roman" w:hint="eastAsia"/>
                <w:i/>
                <w:iCs/>
                <w:sz w:val="18"/>
                <w:szCs w:val="18"/>
              </w:rPr>
              <w:t>γ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847DB89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TCGGTAACTGACTTGAATGTCCA</w:t>
            </w: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07BE042B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TCGCTTCCCTGTTTTAGCTGC</w:t>
            </w:r>
          </w:p>
        </w:tc>
      </w:tr>
      <w:tr w:rsidR="00024334" w:rsidRPr="00C5359C" w14:paraId="7B307C01" w14:textId="77777777" w:rsidTr="00BB73B2">
        <w:trPr>
          <w:trHeight w:val="454"/>
        </w:trPr>
        <w:tc>
          <w:tcPr>
            <w:tcW w:w="198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22C798D3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b/>
                <w:bCs/>
                <w:szCs w:val="20"/>
              </w:rPr>
              <w:t>For cloning</w:t>
            </w:r>
          </w:p>
        </w:tc>
        <w:tc>
          <w:tcPr>
            <w:tcW w:w="35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5E3E9391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b/>
                <w:bCs/>
                <w:szCs w:val="20"/>
              </w:rPr>
              <w:t>Forward primers (5ʹ → 3ʹ)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shd w:val="clear" w:color="auto" w:fill="EAEDF1" w:themeFill="text2" w:themeFillTint="1A"/>
            <w:vAlign w:val="center"/>
          </w:tcPr>
          <w:p w14:paraId="21B0155E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b/>
                <w:bCs/>
                <w:szCs w:val="20"/>
              </w:rPr>
              <w:t>Reverse primers (5ʹ → 3ʹ)</w:t>
            </w:r>
          </w:p>
        </w:tc>
      </w:tr>
      <w:tr w:rsidR="00024334" w:rsidRPr="00C5359C" w14:paraId="3011BCB6" w14:textId="77777777" w:rsidTr="00BB73B2">
        <w:trPr>
          <w:trHeight w:val="454"/>
        </w:trPr>
        <w:tc>
          <w:tcPr>
            <w:tcW w:w="1985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E122FCC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pEGFP-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FUNDC1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3U</w:t>
            </w:r>
          </w:p>
        </w:tc>
        <w:tc>
          <w:tcPr>
            <w:tcW w:w="352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C05B48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sz w:val="18"/>
                <w:szCs w:val="18"/>
              </w:rPr>
              <w:t>AAAAAGATCTTAAGGACATGAATATTCTCCCATA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07ABF81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sz w:val="18"/>
                <w:szCs w:val="18"/>
              </w:rPr>
              <w:t>AAAAGAATTCTCATATTACATCAGCAGAGTC</w:t>
            </w:r>
          </w:p>
        </w:tc>
      </w:tr>
      <w:tr w:rsidR="00024334" w:rsidRPr="00C5359C" w14:paraId="40BAE4A8" w14:textId="77777777" w:rsidTr="00BB73B2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3816DE8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pcDNA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-mt-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Keima</w:t>
            </w:r>
            <w:proofErr w:type="spellEnd"/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7622451" w14:textId="77777777" w:rsidR="00024334" w:rsidRPr="00D465E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AAAAGCTAGCATGTCCGTCCTGACGCCG</w:t>
            </w: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B17F265" w14:textId="77777777" w:rsidR="00024334" w:rsidRPr="009C3D98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65EA">
              <w:rPr>
                <w:rFonts w:ascii="Times New Roman" w:hAnsi="Times New Roman" w:cs="Times New Roman"/>
                <w:sz w:val="18"/>
                <w:szCs w:val="18"/>
              </w:rPr>
              <w:t>AAAACTCGAGTTAGCCCAGCAGGGAGTG</w:t>
            </w:r>
          </w:p>
        </w:tc>
      </w:tr>
      <w:tr w:rsidR="00024334" w:rsidRPr="00C5359C" w14:paraId="5AF63381" w14:textId="77777777" w:rsidTr="00BB73B2">
        <w:trPr>
          <w:trHeight w:val="454"/>
        </w:trPr>
        <w:tc>
          <w:tcPr>
            <w:tcW w:w="198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5CE2E44F" w14:textId="77777777" w:rsidR="00024334" w:rsidRPr="00DA64B3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0"/>
              </w:rPr>
              <w:t>For BPD</w:t>
            </w:r>
          </w:p>
        </w:tc>
        <w:tc>
          <w:tcPr>
            <w:tcW w:w="35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075D9E64" w14:textId="77777777" w:rsidR="00024334" w:rsidRPr="00DA64B3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A64B3">
              <w:rPr>
                <w:rFonts w:ascii="Times New Roman" w:hAnsi="Times New Roman" w:cs="Times New Roman"/>
                <w:b/>
                <w:bCs/>
                <w:szCs w:val="20"/>
              </w:rPr>
              <w:t>Sense sequences (5ʹ → 3ʹ)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shd w:val="clear" w:color="auto" w:fill="EAEDF1" w:themeFill="text2" w:themeFillTint="1A"/>
            <w:vAlign w:val="center"/>
          </w:tcPr>
          <w:p w14:paraId="2D922730" w14:textId="77777777" w:rsidR="00024334" w:rsidRPr="00DA64B3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A64B3">
              <w:rPr>
                <w:rFonts w:ascii="Times New Roman" w:hAnsi="Times New Roman" w:cs="Times New Roman"/>
                <w:b/>
                <w:bCs/>
                <w:szCs w:val="20"/>
              </w:rPr>
              <w:t>Antisense sequences (5ʹ → 3ʹ)</w:t>
            </w:r>
          </w:p>
        </w:tc>
      </w:tr>
      <w:tr w:rsidR="00024334" w:rsidRPr="00C5359C" w14:paraId="124E0F16" w14:textId="77777777" w:rsidTr="00BB73B2">
        <w:trPr>
          <w:trHeight w:val="454"/>
        </w:trPr>
        <w:tc>
          <w:tcPr>
            <w:tcW w:w="1985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222B840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FUNDC1 3U</w:t>
            </w:r>
          </w:p>
        </w:tc>
        <w:tc>
          <w:tcPr>
            <w:tcW w:w="352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0347AA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sz w:val="18"/>
                <w:szCs w:val="18"/>
              </w:rPr>
              <w:t>CCAAGCTTCTAATACGACTCACTATAGGGAGAGGACATGAATATTCTCCCATA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DE12B7D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7115">
              <w:rPr>
                <w:rFonts w:ascii="Times New Roman" w:hAnsi="Times New Roman" w:cs="Times New Roman"/>
                <w:sz w:val="18"/>
                <w:szCs w:val="18"/>
              </w:rPr>
              <w:t>TCATATTACATCAGCAGAGTC</w:t>
            </w:r>
          </w:p>
        </w:tc>
      </w:tr>
      <w:tr w:rsidR="00024334" w:rsidRPr="00C5359C" w14:paraId="59916FED" w14:textId="77777777" w:rsidTr="00BB73B2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57A58D11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4B3">
              <w:rPr>
                <w:rFonts w:ascii="Times New Roman" w:hAnsi="Times New Roman" w:cs="Times New Roman"/>
                <w:b/>
                <w:bCs/>
                <w:szCs w:val="20"/>
              </w:rPr>
              <w:t>siRNA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0521A95C" w14:textId="77777777" w:rsidR="00024334" w:rsidRPr="00D020BE" w:rsidRDefault="00024334" w:rsidP="00BB7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4B3">
              <w:rPr>
                <w:rFonts w:ascii="Times New Roman" w:hAnsi="Times New Roman" w:cs="Times New Roman"/>
                <w:b/>
                <w:bCs/>
                <w:szCs w:val="20"/>
              </w:rPr>
              <w:t>Sense sequences (5ʹ → 3ʹ)</w:t>
            </w:r>
          </w:p>
        </w:tc>
        <w:tc>
          <w:tcPr>
            <w:tcW w:w="352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nil"/>
            </w:tcBorders>
            <w:shd w:val="clear" w:color="auto" w:fill="EAEDF1" w:themeFill="text2" w:themeFillTint="1A"/>
            <w:vAlign w:val="center"/>
          </w:tcPr>
          <w:p w14:paraId="776ADC46" w14:textId="77777777" w:rsidR="00024334" w:rsidRDefault="00024334" w:rsidP="00BB73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4B3">
              <w:rPr>
                <w:rFonts w:ascii="Times New Roman" w:hAnsi="Times New Roman" w:cs="Times New Roman"/>
                <w:b/>
                <w:bCs/>
                <w:szCs w:val="20"/>
              </w:rPr>
              <w:t>Antisense sequences (5ʹ → 3ʹ)</w:t>
            </w:r>
          </w:p>
        </w:tc>
      </w:tr>
      <w:tr w:rsidR="00024334" w:rsidRPr="00C5359C" w14:paraId="26DEB528" w14:textId="77777777" w:rsidTr="00BB73B2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B7FB2BC" w14:textId="77777777" w:rsidR="00024334" w:rsidRPr="00DA64B3" w:rsidRDefault="00024334" w:rsidP="00BB73B2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Control siRNA (</w:t>
            </w:r>
            <w:proofErr w:type="spellStart"/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siCtrl</w:t>
            </w:r>
            <w:proofErr w:type="spellEnd"/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CF8B5C2" w14:textId="77777777" w:rsidR="00024334" w:rsidRPr="00DA64B3" w:rsidRDefault="00024334" w:rsidP="00BB73B2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AAUUCUCCGAACGUGUCACGUUU</w:t>
            </w: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C6196B0" w14:textId="77777777" w:rsidR="00024334" w:rsidRPr="00DA64B3" w:rsidRDefault="00024334" w:rsidP="00BB73B2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C5359C">
              <w:rPr>
                <w:rFonts w:ascii="Times New Roman" w:hAnsi="Times New Roman" w:cs="Times New Roman"/>
                <w:sz w:val="18"/>
                <w:szCs w:val="18"/>
              </w:rPr>
              <w:t>ACGUGACACGUUCGGAGAAUUU</w:t>
            </w:r>
          </w:p>
        </w:tc>
      </w:tr>
      <w:tr w:rsidR="00024334" w:rsidRPr="00C5359C" w14:paraId="147BF740" w14:textId="77777777" w:rsidTr="00BB73B2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8D8837E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35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TIA-1</w:t>
            </w:r>
          </w:p>
        </w:tc>
        <w:tc>
          <w:tcPr>
            <w:tcW w:w="3520" w:type="dxa"/>
            <w:tcBorders>
              <w:top w:val="nil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53948F3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AACACAACAAA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GGCCAG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UU</w:t>
            </w: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single" w:sz="12" w:space="0" w:color="auto"/>
              <w:right w:val="nil"/>
            </w:tcBorders>
            <w:vAlign w:val="center"/>
          </w:tcPr>
          <w:p w14:paraId="71B05363" w14:textId="77777777" w:rsidR="00024334" w:rsidRPr="00C5359C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GGCCAA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020BE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UU</w:t>
            </w:r>
          </w:p>
        </w:tc>
      </w:tr>
    </w:tbl>
    <w:p w14:paraId="72C91682" w14:textId="77777777" w:rsidR="00024334" w:rsidRDefault="00024334" w:rsidP="00024334">
      <w:pPr>
        <w:rPr>
          <w:b/>
          <w:bCs/>
        </w:rPr>
      </w:pPr>
    </w:p>
    <w:p w14:paraId="27716546" w14:textId="77777777" w:rsidR="00024334" w:rsidRDefault="00024334" w:rsidP="00024334">
      <w:pPr>
        <w:rPr>
          <w:b/>
          <w:bCs/>
        </w:rPr>
      </w:pPr>
    </w:p>
    <w:p w14:paraId="44470592" w14:textId="77777777" w:rsidR="00024334" w:rsidRDefault="00024334" w:rsidP="00024334">
      <w:pPr>
        <w:rPr>
          <w:rFonts w:ascii="Times New Roman" w:hAnsi="Times New Roman" w:cs="Times New Roman"/>
          <w:b/>
          <w:bCs/>
          <w:sz w:val="24"/>
        </w:rPr>
      </w:pPr>
      <w:r w:rsidRPr="00C5359C">
        <w:rPr>
          <w:rFonts w:ascii="Times New Roman" w:hAnsi="Times New Roman" w:cs="Times New Roman"/>
          <w:b/>
          <w:bCs/>
          <w:sz w:val="24"/>
        </w:rPr>
        <w:t>Supplementary Table S</w:t>
      </w:r>
      <w:r>
        <w:rPr>
          <w:rFonts w:ascii="Times New Roman" w:hAnsi="Times New Roman" w:cs="Times New Roman" w:hint="eastAsia"/>
          <w:b/>
          <w:bCs/>
          <w:sz w:val="24"/>
        </w:rPr>
        <w:t>2. Antibodies information used in this study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3095"/>
        <w:gridCol w:w="3521"/>
      </w:tblGrid>
      <w:tr w:rsidR="00024334" w:rsidRPr="00C5359C" w14:paraId="272A689E" w14:textId="77777777" w:rsidTr="00BB73B2">
        <w:trPr>
          <w:trHeight w:val="454"/>
        </w:trPr>
        <w:tc>
          <w:tcPr>
            <w:tcW w:w="24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73AD9564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0"/>
              </w:rPr>
              <w:t>Antibodies</w:t>
            </w:r>
          </w:p>
        </w:tc>
        <w:tc>
          <w:tcPr>
            <w:tcW w:w="30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AEDF1" w:themeFill="text2" w:themeFillTint="1A"/>
            <w:vAlign w:val="center"/>
          </w:tcPr>
          <w:p w14:paraId="654917FC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0"/>
              </w:rPr>
              <w:t>Company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shd w:val="clear" w:color="auto" w:fill="EAEDF1" w:themeFill="text2" w:themeFillTint="1A"/>
            <w:vAlign w:val="center"/>
          </w:tcPr>
          <w:p w14:paraId="402A05B9" w14:textId="77777777" w:rsidR="00024334" w:rsidRPr="00C5359C" w:rsidRDefault="00024334" w:rsidP="00BB73B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0"/>
              </w:rPr>
              <w:t xml:space="preserve">Catalog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number</w:t>
            </w:r>
          </w:p>
        </w:tc>
      </w:tr>
      <w:tr w:rsidR="00024334" w:rsidRPr="00C5359C" w14:paraId="0D995569" w14:textId="77777777" w:rsidTr="00BB73B2">
        <w:trPr>
          <w:trHeight w:val="447"/>
        </w:trPr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0FC4A25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TIA-1</w:t>
            </w:r>
          </w:p>
        </w:tc>
        <w:tc>
          <w:tcPr>
            <w:tcW w:w="3095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531A1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 xml:space="preserve">Cell Signaling Technology, Inc. </w:t>
            </w:r>
          </w:p>
          <w:p w14:paraId="073DAC35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(Danvers, MA, USA)</w:t>
            </w:r>
          </w:p>
        </w:tc>
        <w:tc>
          <w:tcPr>
            <w:tcW w:w="3521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404220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#86050</w:t>
            </w:r>
          </w:p>
        </w:tc>
      </w:tr>
      <w:tr w:rsidR="00024334" w:rsidRPr="00FB19A1" w14:paraId="061C078A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E6E56D7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p21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64AB2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E6C91A3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#2947</w:t>
            </w:r>
          </w:p>
        </w:tc>
      </w:tr>
      <w:tr w:rsidR="00024334" w:rsidRPr="00FB19A1" w14:paraId="7075CBEF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C59ED21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GAPDH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B0D71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46F64A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#2118</w:t>
            </w:r>
          </w:p>
        </w:tc>
      </w:tr>
      <w:tr w:rsidR="00024334" w:rsidRPr="00FB19A1" w14:paraId="5B720168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21D8B87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p-IRF3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EB60C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21ADBE1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#79945</w:t>
            </w:r>
          </w:p>
        </w:tc>
      </w:tr>
      <w:tr w:rsidR="00024334" w:rsidRPr="00FB19A1" w14:paraId="692F7675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right w:val="single" w:sz="4" w:space="0" w:color="000000" w:themeColor="text1"/>
            </w:tcBorders>
            <w:vAlign w:val="center"/>
          </w:tcPr>
          <w:p w14:paraId="3FACD53D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ISG</w:t>
            </w: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D699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000000" w:themeColor="text1"/>
              <w:right w:val="nil"/>
            </w:tcBorders>
            <w:vAlign w:val="center"/>
          </w:tcPr>
          <w:p w14:paraId="3A47A27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#2743</w:t>
            </w:r>
          </w:p>
        </w:tc>
      </w:tr>
      <w:tr w:rsidR="00024334" w:rsidRPr="00846193" w14:paraId="202C3691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CE0433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GFP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27E7CBA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Santa Cruz Biotechnology, Inc.</w:t>
            </w:r>
          </w:p>
          <w:p w14:paraId="6983C1D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(Dallas, TX, USA)</w:t>
            </w: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F2505" w14:textId="77777777" w:rsidR="00024334" w:rsidRPr="00A842BA" w:rsidRDefault="00024334" w:rsidP="00BB73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bCs/>
                <w:sz w:val="18"/>
                <w:szCs w:val="18"/>
              </w:rPr>
              <w:t>#</w:t>
            </w:r>
            <w:proofErr w:type="gramStart"/>
            <w:r w:rsidRPr="00A842BA">
              <w:rPr>
                <w:rFonts w:ascii="Times New Roman" w:hAnsi="Times New Roman" w:cs="Times New Roman"/>
                <w:bCs/>
                <w:sz w:val="18"/>
                <w:szCs w:val="18"/>
              </w:rPr>
              <w:t>sc</w:t>
            </w:r>
            <w:proofErr w:type="gramEnd"/>
            <w:r w:rsidRPr="00A842BA">
              <w:rPr>
                <w:rFonts w:ascii="Times New Roman" w:hAnsi="Times New Roman" w:cs="Times New Roman"/>
                <w:bCs/>
                <w:sz w:val="18"/>
                <w:szCs w:val="18"/>
              </w:rPr>
              <w:t>-9996</w:t>
            </w:r>
          </w:p>
        </w:tc>
      </w:tr>
      <w:tr w:rsidR="00024334" w:rsidRPr="00C5359C" w14:paraId="350BE84A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B3614FE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Lamin B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4D03694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AB199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proofErr w:type="gramStart"/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sc</w:t>
            </w:r>
            <w:proofErr w:type="gramEnd"/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-6216</w:t>
            </w:r>
          </w:p>
        </w:tc>
      </w:tr>
      <w:tr w:rsidR="00024334" w:rsidRPr="00C5359C" w14:paraId="2D49E6F7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4DB3115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TOM40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7F6C714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3FF294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proofErr w:type="gramStart"/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sc</w:t>
            </w:r>
            <w:proofErr w:type="gramEnd"/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-11414</w:t>
            </w:r>
          </w:p>
        </w:tc>
      </w:tr>
      <w:tr w:rsidR="00024334" w:rsidRPr="00C5359C" w14:paraId="359074D8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2E6B59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p16</w:t>
            </w:r>
          </w:p>
        </w:tc>
        <w:tc>
          <w:tcPr>
            <w:tcW w:w="309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D8F21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C8ED7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</w:t>
            </w:r>
            <w:proofErr w:type="gramStart"/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sc</w:t>
            </w:r>
            <w:proofErr w:type="gramEnd"/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-1661</w:t>
            </w:r>
          </w:p>
        </w:tc>
      </w:tr>
      <w:tr w:rsidR="00024334" w:rsidRPr="00C5359C" w14:paraId="6B204204" w14:textId="77777777" w:rsidTr="00BB73B2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DF58C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FUNDC1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05DFA72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 xml:space="preserve">Abcam </w:t>
            </w:r>
          </w:p>
          <w:p w14:paraId="605DE90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(Plc., Cambridge, UK)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C21EB2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#ab224722</w:t>
            </w:r>
          </w:p>
        </w:tc>
      </w:tr>
      <w:tr w:rsidR="00024334" w:rsidRPr="00C5359C" w14:paraId="038B44C3" w14:textId="77777777" w:rsidTr="00BB73B2">
        <w:trPr>
          <w:trHeight w:val="43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918BDD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NDUFV2</w:t>
            </w:r>
          </w:p>
        </w:tc>
        <w:tc>
          <w:tcPr>
            <w:tcW w:w="309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F733B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proofErr w:type="spellStart"/>
            <w:r w:rsidRPr="00A842BA">
              <w:rPr>
                <w:rFonts w:ascii="Times New Roman" w:eastAsia="바탕" w:hAnsi="Times New Roman" w:cs="Times New Roman" w:hint="eastAsia"/>
                <w:sz w:val="18"/>
                <w:szCs w:val="18"/>
              </w:rPr>
              <w:t>Proteintech</w:t>
            </w:r>
            <w:proofErr w:type="spellEnd"/>
            <w:r w:rsidRPr="00A842BA">
              <w:rPr>
                <w:rFonts w:ascii="Times New Roman" w:eastAsia="바탕" w:hAnsi="Times New Roman" w:cs="Times New Roman" w:hint="eastAsia"/>
                <w:sz w:val="18"/>
                <w:szCs w:val="18"/>
              </w:rPr>
              <w:t xml:space="preserve"> </w:t>
            </w:r>
          </w:p>
          <w:p w14:paraId="6EE45F05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 w:hint="eastAsia"/>
                <w:sz w:val="18"/>
                <w:szCs w:val="18"/>
              </w:rPr>
              <w:t>(</w:t>
            </w: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Rosemont, IL</w:t>
            </w:r>
            <w:r w:rsidRPr="00A842BA">
              <w:rPr>
                <w:rFonts w:ascii="Times New Roman" w:eastAsia="바탕" w:hAnsi="Times New Roman" w:cs="Times New Roman" w:hint="eastAsia"/>
                <w:sz w:val="18"/>
                <w:szCs w:val="18"/>
              </w:rPr>
              <w:t>, USA)</w:t>
            </w:r>
          </w:p>
        </w:tc>
        <w:tc>
          <w:tcPr>
            <w:tcW w:w="352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1E32AF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 w:hint="eastAsia"/>
                <w:sz w:val="18"/>
                <w:szCs w:val="18"/>
              </w:rPr>
              <w:t>#15301-1-AP</w:t>
            </w:r>
          </w:p>
        </w:tc>
      </w:tr>
      <w:tr w:rsidR="00024334" w:rsidRPr="00C5359C" w14:paraId="458F44F8" w14:textId="77777777" w:rsidTr="00BB73B2">
        <w:trPr>
          <w:trHeight w:val="447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99082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β-actin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9064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proofErr w:type="spellStart"/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Genetex</w:t>
            </w:r>
            <w:proofErr w:type="spellEnd"/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 xml:space="preserve">, Inc. </w:t>
            </w:r>
          </w:p>
          <w:p w14:paraId="0974F28C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(Irvine, CA, USA)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98A65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#GTX629630</w:t>
            </w:r>
          </w:p>
        </w:tc>
      </w:tr>
      <w:tr w:rsidR="00024334" w:rsidRPr="00C5359C" w14:paraId="3AA32BEA" w14:textId="77777777" w:rsidTr="00BB73B2">
        <w:trPr>
          <w:trHeight w:val="44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55B6BC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Anti-mouse HRP-conjugated secondary Ab</w:t>
            </w:r>
          </w:p>
        </w:tc>
        <w:tc>
          <w:tcPr>
            <w:tcW w:w="3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1F92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 xml:space="preserve">Sigma-Aldrich </w:t>
            </w:r>
          </w:p>
          <w:p w14:paraId="27D7CC47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(Burlington, MA, USA)</w:t>
            </w:r>
          </w:p>
        </w:tc>
        <w:tc>
          <w:tcPr>
            <w:tcW w:w="352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CC48807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#AP124P</w:t>
            </w:r>
          </w:p>
        </w:tc>
      </w:tr>
      <w:tr w:rsidR="00024334" w:rsidRPr="00C5359C" w14:paraId="786DBCF7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892C4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Anti-Rabbit HRP-conjugated secondary Ab</w:t>
            </w:r>
          </w:p>
        </w:tc>
        <w:tc>
          <w:tcPr>
            <w:tcW w:w="3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2C1E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0363E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#AP132P</w:t>
            </w:r>
          </w:p>
        </w:tc>
      </w:tr>
      <w:tr w:rsidR="00024334" w:rsidRPr="00C5359C" w14:paraId="4C93A8D6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744C5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Anti-Goat HRP-conjugated secondary Ab</w:t>
            </w:r>
          </w:p>
        </w:tc>
        <w:tc>
          <w:tcPr>
            <w:tcW w:w="3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608E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60E090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#AP186P</w:t>
            </w:r>
          </w:p>
        </w:tc>
      </w:tr>
      <w:tr w:rsidR="00024334" w:rsidRPr="00C5359C" w14:paraId="386E57C7" w14:textId="77777777" w:rsidTr="00BB73B2">
        <w:trPr>
          <w:trHeight w:val="447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003E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Normal Rabbit IgG</w:t>
            </w:r>
          </w:p>
        </w:tc>
        <w:tc>
          <w:tcPr>
            <w:tcW w:w="3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6F2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FB563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#12-370</w:t>
            </w:r>
          </w:p>
        </w:tc>
      </w:tr>
      <w:tr w:rsidR="00024334" w:rsidRPr="00C5359C" w14:paraId="2953AABA" w14:textId="77777777" w:rsidTr="00BB73B2">
        <w:trPr>
          <w:trHeight w:val="447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2A4BB3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Anti-Rabbit IgG H&amp;L (Alexa Fluor® 488)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70D22" w14:textId="77777777" w:rsidR="00024334" w:rsidRPr="00A842BA" w:rsidRDefault="00024334" w:rsidP="00BB73B2">
            <w:pPr>
              <w:rPr>
                <w:rFonts w:ascii="Times New Roman" w:eastAsia="바탕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 xml:space="preserve">Abcam </w:t>
            </w:r>
          </w:p>
          <w:p w14:paraId="0CAFBBFA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eastAsia="바탕" w:hAnsi="Times New Roman" w:cs="Times New Roman"/>
                <w:sz w:val="18"/>
                <w:szCs w:val="18"/>
              </w:rPr>
              <w:t>(Plc., Cambridge, UK)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CB2B94" w14:textId="77777777" w:rsidR="00024334" w:rsidRPr="00A842BA" w:rsidRDefault="00024334" w:rsidP="00BB73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42BA">
              <w:rPr>
                <w:rFonts w:ascii="Times New Roman" w:hAnsi="Times New Roman" w:cs="Times New Roman"/>
                <w:sz w:val="18"/>
                <w:szCs w:val="18"/>
              </w:rPr>
              <w:t>#ab150077</w:t>
            </w:r>
          </w:p>
        </w:tc>
      </w:tr>
    </w:tbl>
    <w:p w14:paraId="09C972DF" w14:textId="77777777" w:rsidR="00024334" w:rsidRPr="001061E9" w:rsidRDefault="00024334" w:rsidP="00024334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</w:rPr>
      </w:pPr>
    </w:p>
    <w:p w14:paraId="10488B90" w14:textId="77777777" w:rsidR="00024334" w:rsidRPr="001061E9" w:rsidRDefault="00024334" w:rsidP="00024334">
      <w:pPr>
        <w:rPr>
          <w:rFonts w:ascii="Times New Roman" w:hAnsi="Times New Roman" w:cs="Times New Roman"/>
          <w:b/>
          <w:bCs/>
          <w:sz w:val="24"/>
        </w:rPr>
      </w:pPr>
    </w:p>
    <w:p w14:paraId="4A1ECFC8" w14:textId="77777777" w:rsidR="00024334" w:rsidRPr="00F869EA" w:rsidRDefault="00024334" w:rsidP="00024334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A3F42F8" w14:textId="77777777" w:rsidR="00381348" w:rsidRDefault="00381348"/>
    <w:sectPr w:rsidR="00381348" w:rsidSect="0085774F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B4CB" w14:textId="77777777" w:rsidR="00F50FED" w:rsidRDefault="00F50FED">
      <w:pPr>
        <w:spacing w:after="0"/>
      </w:pPr>
      <w:r>
        <w:separator/>
      </w:r>
    </w:p>
  </w:endnote>
  <w:endnote w:type="continuationSeparator" w:id="0">
    <w:p w14:paraId="69266059" w14:textId="77777777" w:rsidR="00F50FED" w:rsidRDefault="00F50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AD0C" w14:textId="77777777" w:rsidR="00F50FED" w:rsidRDefault="00F50FED">
      <w:pPr>
        <w:spacing w:after="0"/>
      </w:pPr>
      <w:r>
        <w:separator/>
      </w:r>
    </w:p>
  </w:footnote>
  <w:footnote w:type="continuationSeparator" w:id="0">
    <w:p w14:paraId="42A3FEB4" w14:textId="77777777" w:rsidR="00F50FED" w:rsidRDefault="00F50F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34"/>
    <w:rsid w:val="00024334"/>
    <w:rsid w:val="00381348"/>
    <w:rsid w:val="00F50FED"/>
    <w:rsid w:val="00F9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3363"/>
  <w15:chartTrackingRefBased/>
  <w15:docId w15:val="{840AE333-9DD9-4AD8-82CD-07B9E0ED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334"/>
    <w:pPr>
      <w:widowControl w:val="0"/>
      <w:wordWrap w:val="0"/>
      <w:autoSpaceDE w:val="0"/>
      <w:autoSpaceDN w:val="0"/>
      <w:spacing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33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2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line number"/>
    <w:basedOn w:val="a0"/>
    <w:uiPriority w:val="99"/>
    <w:semiHidden/>
    <w:unhideWhenUsed/>
    <w:rsid w:val="00024334"/>
  </w:style>
  <w:style w:type="paragraph" w:styleId="a6">
    <w:name w:val="header"/>
    <w:basedOn w:val="a"/>
    <w:link w:val="Char"/>
    <w:uiPriority w:val="99"/>
    <w:unhideWhenUsed/>
    <w:rsid w:val="00F92B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92B1A"/>
    <w:rPr>
      <w:rFonts w:asciiTheme="minorEastAsia"/>
      <w:sz w:val="22"/>
      <w:szCs w:val="24"/>
      <w14:ligatures w14:val="standardContextual"/>
    </w:rPr>
  </w:style>
  <w:style w:type="paragraph" w:styleId="a7">
    <w:name w:val="footer"/>
    <w:basedOn w:val="a"/>
    <w:link w:val="Char0"/>
    <w:uiPriority w:val="99"/>
    <w:unhideWhenUsed/>
    <w:rsid w:val="00F92B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92B1A"/>
    <w:rPr>
      <w:rFonts w:asciiTheme="minorEastAsia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ek@catholic.ac.k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837</Words>
  <Characters>5026</Characters>
  <Application>Microsoft Office Word</Application>
  <DocSecurity>0</DocSecurity>
  <Lines>94</Lines>
  <Paragraphs>27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LeeEun Kyung</dc:creator>
  <cp:keywords/>
  <dc:description/>
  <cp:lastModifiedBy>LeeEun Kyung</cp:lastModifiedBy>
  <cp:revision>2</cp:revision>
  <dcterms:created xsi:type="dcterms:W3CDTF">2025-09-11T06:09:00Z</dcterms:created>
  <dcterms:modified xsi:type="dcterms:W3CDTF">2025-09-11T06:09:00Z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