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D914E" w14:textId="392BE482" w:rsidR="00663778" w:rsidRPr="00DB0A0F" w:rsidRDefault="00435355" w:rsidP="00435355">
      <w:pPr>
        <w:pStyle w:val="Heading1"/>
      </w:pPr>
      <w:r>
        <w:rPr>
          <w:lang w:val="en-AU"/>
        </w:rPr>
        <w:t xml:space="preserve">Supplementary Material for </w:t>
      </w:r>
      <w:r w:rsidRPr="00435355">
        <w:rPr>
          <w:lang w:val="en-AU"/>
        </w:rPr>
        <w:t>“</w:t>
      </w:r>
      <w:r w:rsidR="00DB0A0F" w:rsidRPr="00DB0A0F">
        <w:rPr>
          <w:lang w:val="en-AU"/>
        </w:rPr>
        <w:t>Investigating associations between diet and depression at the population level over time: results from the National Health and Nutrition Examination Survey.</w:t>
      </w:r>
      <w:r w:rsidRPr="00435355">
        <w:rPr>
          <w:lang w:val="en-AU"/>
        </w:rPr>
        <w:t>”</w:t>
      </w:r>
    </w:p>
    <w:p w14:paraId="5EE55538" w14:textId="77777777" w:rsidR="00435355" w:rsidRDefault="00435355" w:rsidP="00435355">
      <w:pPr>
        <w:rPr>
          <w:lang w:val="en-AU"/>
        </w:rPr>
      </w:pPr>
    </w:p>
    <w:p w14:paraId="295E5299" w14:textId="121B7577" w:rsidR="00435355" w:rsidRDefault="00435355" w:rsidP="00435355">
      <w:pPr>
        <w:pStyle w:val="Heading2"/>
        <w:rPr>
          <w:lang w:val="en-AU"/>
        </w:rPr>
      </w:pPr>
      <w:r>
        <w:rPr>
          <w:lang w:val="en-AU"/>
        </w:rPr>
        <w:t>Supplementary Figures</w:t>
      </w:r>
    </w:p>
    <w:p w14:paraId="46A407D0" w14:textId="77777777" w:rsidR="00435355" w:rsidRDefault="00435355" w:rsidP="00435355">
      <w:pPr>
        <w:rPr>
          <w:lang w:val="en-AU"/>
        </w:rPr>
      </w:pPr>
    </w:p>
    <w:p w14:paraId="1D16DDC3" w14:textId="1D93FFC6" w:rsidR="00435355" w:rsidRDefault="00435355" w:rsidP="00435355">
      <w:pPr>
        <w:rPr>
          <w:lang w:val="en-AU"/>
        </w:rPr>
      </w:pPr>
      <w:r>
        <w:rPr>
          <w:lang w:val="en-AU"/>
        </w:rPr>
        <w:t>The included supplementary figures are interactive html file versions of Figures 2, 3, and 4. These are described briefly below.</w:t>
      </w:r>
    </w:p>
    <w:p w14:paraId="01BD99B3" w14:textId="77777777" w:rsidR="00435355" w:rsidRDefault="00435355" w:rsidP="00435355">
      <w:pPr>
        <w:rPr>
          <w:lang w:val="en-AU"/>
        </w:rPr>
      </w:pPr>
    </w:p>
    <w:p w14:paraId="529153CD" w14:textId="721EFFC7" w:rsidR="00435355" w:rsidRDefault="00435355" w:rsidP="00435355">
      <w:pPr>
        <w:pStyle w:val="Heading3"/>
        <w:rPr>
          <w:lang w:val="en-AU"/>
        </w:rPr>
      </w:pPr>
      <w:r>
        <w:rPr>
          <w:lang w:val="en-AU"/>
        </w:rPr>
        <w:t>Supplementary Figure 1</w:t>
      </w:r>
    </w:p>
    <w:p w14:paraId="20607C8C" w14:textId="77777777" w:rsidR="00435355" w:rsidRDefault="00435355" w:rsidP="00435355">
      <w:pPr>
        <w:rPr>
          <w:lang w:val="en-AU"/>
        </w:rPr>
      </w:pPr>
    </w:p>
    <w:p w14:paraId="25CCD4FF" w14:textId="2C98E836" w:rsidR="00435355" w:rsidRDefault="00435355" w:rsidP="00435355">
      <w:pPr>
        <w:rPr>
          <w:lang w:val="en-AU"/>
        </w:rPr>
      </w:pPr>
      <w:r>
        <w:rPr>
          <w:lang w:val="en-AU"/>
        </w:rPr>
        <w:t>An interactive version of Figure 2, allowing readers to see the mean, standard deviation, median, and inter-quartile ranges of food intakes for the different dietary exposures in each wave of NHANES.</w:t>
      </w:r>
    </w:p>
    <w:p w14:paraId="094C97EB" w14:textId="77777777" w:rsidR="00435355" w:rsidRDefault="00435355" w:rsidP="00435355">
      <w:pPr>
        <w:rPr>
          <w:lang w:val="en-AU"/>
        </w:rPr>
      </w:pPr>
    </w:p>
    <w:p w14:paraId="18EF1E85" w14:textId="661D6961" w:rsidR="00435355" w:rsidRDefault="00435355" w:rsidP="00435355">
      <w:pPr>
        <w:pStyle w:val="Heading3"/>
        <w:rPr>
          <w:lang w:val="en-AU"/>
        </w:rPr>
      </w:pPr>
      <w:r>
        <w:rPr>
          <w:lang w:val="en-AU"/>
        </w:rPr>
        <w:t>Supplementary Figure 2</w:t>
      </w:r>
    </w:p>
    <w:p w14:paraId="4436808D" w14:textId="77777777" w:rsidR="00435355" w:rsidRDefault="00435355" w:rsidP="00435355">
      <w:pPr>
        <w:rPr>
          <w:lang w:val="en-AU"/>
        </w:rPr>
      </w:pPr>
    </w:p>
    <w:p w14:paraId="4DD41C65" w14:textId="356B5A06" w:rsidR="00435355" w:rsidRDefault="00435355" w:rsidP="00435355">
      <w:pPr>
        <w:rPr>
          <w:lang w:val="en-AU"/>
        </w:rPr>
      </w:pPr>
      <w:r>
        <w:rPr>
          <w:lang w:val="en-AU"/>
        </w:rPr>
        <w:t xml:space="preserve">An interactive version of Figure 3, allowing readers to see </w:t>
      </w:r>
      <w:r w:rsidRPr="00435355">
        <w:rPr>
          <w:lang w:val="en-AU"/>
        </w:rPr>
        <w:t>raw participant numbers</w:t>
      </w:r>
      <w:r>
        <w:rPr>
          <w:lang w:val="en-AU"/>
        </w:rPr>
        <w:t xml:space="preserve"> with and without depression,</w:t>
      </w:r>
      <w:r w:rsidRPr="00435355">
        <w:rPr>
          <w:lang w:val="en-AU"/>
        </w:rPr>
        <w:t xml:space="preserve"> </w:t>
      </w:r>
      <w:r>
        <w:rPr>
          <w:lang w:val="en-AU"/>
        </w:rPr>
        <w:t>exact</w:t>
      </w:r>
      <w:r w:rsidRPr="00435355">
        <w:rPr>
          <w:lang w:val="en-AU"/>
        </w:rPr>
        <w:t xml:space="preserve"> percentages, and individual difference testing between years</w:t>
      </w:r>
      <w:r>
        <w:rPr>
          <w:lang w:val="en-AU"/>
        </w:rPr>
        <w:t>.</w:t>
      </w:r>
    </w:p>
    <w:p w14:paraId="52C955AB" w14:textId="77777777" w:rsidR="00435355" w:rsidRDefault="00435355" w:rsidP="00435355">
      <w:pPr>
        <w:rPr>
          <w:lang w:val="en-AU"/>
        </w:rPr>
      </w:pPr>
    </w:p>
    <w:p w14:paraId="3DDC56B2" w14:textId="5A3D4B1F" w:rsidR="00435355" w:rsidRDefault="00435355" w:rsidP="00435355">
      <w:pPr>
        <w:pStyle w:val="Heading3"/>
        <w:rPr>
          <w:lang w:val="en-AU"/>
        </w:rPr>
      </w:pPr>
      <w:r>
        <w:rPr>
          <w:lang w:val="en-AU"/>
        </w:rPr>
        <w:t>Supplementary Figure 3</w:t>
      </w:r>
    </w:p>
    <w:p w14:paraId="1C203674" w14:textId="77777777" w:rsidR="00435355" w:rsidRDefault="00435355" w:rsidP="00435355">
      <w:pPr>
        <w:rPr>
          <w:lang w:val="en-AU"/>
        </w:rPr>
      </w:pPr>
    </w:p>
    <w:p w14:paraId="129ACE9C" w14:textId="7356C514" w:rsidR="00435355" w:rsidRDefault="00435355" w:rsidP="00435355">
      <w:pPr>
        <w:rPr>
          <w:lang w:val="en-AU"/>
        </w:rPr>
      </w:pPr>
      <w:r>
        <w:rPr>
          <w:lang w:val="en-AU"/>
        </w:rPr>
        <w:t xml:space="preserve">An interactive version of Figure 4, with the data from the different subgroups overlayed so the different sexes can be compared. Allows readers to also see the unadjusted p-values, the exact odds ratios with confidence individuals per year, and the exact overall odds ratios. </w:t>
      </w:r>
    </w:p>
    <w:p w14:paraId="651E6E2B" w14:textId="77777777" w:rsidR="00435355" w:rsidRDefault="00435355" w:rsidP="00435355">
      <w:pPr>
        <w:rPr>
          <w:lang w:val="en-AU"/>
        </w:rPr>
      </w:pPr>
    </w:p>
    <w:p w14:paraId="413F8548" w14:textId="3A1789E6" w:rsidR="00435355" w:rsidRDefault="00435355" w:rsidP="00435355">
      <w:pPr>
        <w:pStyle w:val="Heading2"/>
        <w:rPr>
          <w:lang w:val="en-AU"/>
        </w:rPr>
      </w:pPr>
      <w:r>
        <w:rPr>
          <w:lang w:val="en-AU"/>
        </w:rPr>
        <w:t>Supplementary Tables</w:t>
      </w:r>
    </w:p>
    <w:p w14:paraId="342E7B29" w14:textId="77777777" w:rsidR="00435355" w:rsidRDefault="00435355" w:rsidP="00435355">
      <w:pPr>
        <w:rPr>
          <w:lang w:val="en-AU"/>
        </w:rPr>
      </w:pPr>
    </w:p>
    <w:p w14:paraId="4D0045C9" w14:textId="4120BB53" w:rsidR="00435355" w:rsidRDefault="00435355" w:rsidP="00435355">
      <w:pPr>
        <w:rPr>
          <w:lang w:val="en-AU"/>
        </w:rPr>
      </w:pPr>
      <w:r>
        <w:rPr>
          <w:lang w:val="en-AU"/>
        </w:rPr>
        <w:t>The included supplementary tables comprise a description of how the serving size scaling was calculated, the per gram models for all foods, the results of the sensitivity analyses, and results adjusted for multiple testing.</w:t>
      </w:r>
      <w:r w:rsidR="00BE734E">
        <w:rPr>
          <w:lang w:val="en-AU"/>
        </w:rPr>
        <w:t xml:space="preserve"> They are described briefly below.</w:t>
      </w:r>
    </w:p>
    <w:p w14:paraId="38662161" w14:textId="77777777" w:rsidR="00435355" w:rsidRDefault="00435355" w:rsidP="00435355">
      <w:pPr>
        <w:rPr>
          <w:lang w:val="en-AU"/>
        </w:rPr>
      </w:pPr>
    </w:p>
    <w:p w14:paraId="51EE54B0" w14:textId="129C2D92" w:rsidR="00435355" w:rsidRDefault="00435355" w:rsidP="00435355">
      <w:pPr>
        <w:pStyle w:val="Heading3"/>
        <w:rPr>
          <w:lang w:val="en-AU"/>
        </w:rPr>
      </w:pPr>
      <w:r>
        <w:rPr>
          <w:lang w:val="en-AU"/>
        </w:rPr>
        <w:t>Supplementary Table 1</w:t>
      </w:r>
    </w:p>
    <w:p w14:paraId="18E1EBB3" w14:textId="77777777" w:rsidR="00435355" w:rsidRDefault="00435355" w:rsidP="00435355">
      <w:pPr>
        <w:rPr>
          <w:lang w:val="en-AU"/>
        </w:rPr>
      </w:pPr>
    </w:p>
    <w:p w14:paraId="09AC2F63" w14:textId="5594477A" w:rsidR="00435355" w:rsidRDefault="00435355" w:rsidP="00435355">
      <w:pPr>
        <w:rPr>
          <w:lang w:val="en-AU"/>
        </w:rPr>
      </w:pPr>
      <w:r w:rsidRPr="00435355">
        <w:rPr>
          <w:lang w:val="en-AU"/>
        </w:rPr>
        <w:lastRenderedPageBreak/>
        <w:t>Contains the calculated serving sizes and the associated references for each of the GBD foods, along with their US RDI (where applicable)</w:t>
      </w:r>
      <w:r>
        <w:rPr>
          <w:lang w:val="en-AU"/>
        </w:rPr>
        <w:t>.</w:t>
      </w:r>
    </w:p>
    <w:p w14:paraId="378FCC34" w14:textId="77777777" w:rsidR="00435355" w:rsidRDefault="00435355" w:rsidP="00435355">
      <w:pPr>
        <w:rPr>
          <w:lang w:val="en-AU"/>
        </w:rPr>
      </w:pPr>
    </w:p>
    <w:p w14:paraId="00A30AAD" w14:textId="78B02DDE" w:rsidR="00435355" w:rsidRDefault="00435355" w:rsidP="00435355">
      <w:pPr>
        <w:pStyle w:val="Heading3"/>
        <w:rPr>
          <w:lang w:val="en-AU"/>
        </w:rPr>
      </w:pPr>
      <w:r>
        <w:rPr>
          <w:lang w:val="en-AU"/>
        </w:rPr>
        <w:t>Supplementary Table 2</w:t>
      </w:r>
    </w:p>
    <w:p w14:paraId="3CE6054B" w14:textId="77777777" w:rsidR="00435355" w:rsidRDefault="00435355" w:rsidP="00435355">
      <w:pPr>
        <w:rPr>
          <w:lang w:val="en-AU"/>
        </w:rPr>
      </w:pPr>
    </w:p>
    <w:p w14:paraId="640C7F95" w14:textId="582F2D00" w:rsidR="00435355" w:rsidRDefault="00435355" w:rsidP="00435355">
      <w:pPr>
        <w:rPr>
          <w:lang w:val="en-AU"/>
        </w:rPr>
      </w:pPr>
      <w:r w:rsidRPr="00435355">
        <w:rPr>
          <w:lang w:val="en-AU"/>
        </w:rPr>
        <w:t>Contains the unadjusted and adjusted model results for all participants in individual waves of NHANES and using all years combined. The odds ratios presented are per gram for each food and nutrient.</w:t>
      </w:r>
    </w:p>
    <w:p w14:paraId="7D95D9A6" w14:textId="77777777" w:rsidR="00435355" w:rsidRDefault="00435355" w:rsidP="00435355">
      <w:pPr>
        <w:rPr>
          <w:lang w:val="en-AU"/>
        </w:rPr>
      </w:pPr>
    </w:p>
    <w:p w14:paraId="3BA87AD5" w14:textId="7A1E1883" w:rsidR="00435355" w:rsidRDefault="00435355" w:rsidP="00435355">
      <w:pPr>
        <w:pStyle w:val="Heading3"/>
        <w:rPr>
          <w:lang w:val="en-AU"/>
        </w:rPr>
      </w:pPr>
      <w:r>
        <w:rPr>
          <w:lang w:val="en-AU"/>
        </w:rPr>
        <w:t>Supplementary Table 3</w:t>
      </w:r>
    </w:p>
    <w:p w14:paraId="4CF74D14" w14:textId="77777777" w:rsidR="00435355" w:rsidRDefault="00435355" w:rsidP="00435355">
      <w:pPr>
        <w:rPr>
          <w:lang w:val="en-AU"/>
        </w:rPr>
      </w:pPr>
    </w:p>
    <w:p w14:paraId="41350EA6" w14:textId="7D9E3A96" w:rsidR="00435355" w:rsidRDefault="00435355" w:rsidP="00435355">
      <w:pPr>
        <w:rPr>
          <w:lang w:val="en-AU"/>
        </w:rPr>
      </w:pPr>
      <w:r w:rsidRPr="00435355">
        <w:rPr>
          <w:lang w:val="en-AU"/>
        </w:rPr>
        <w:t>Contains the adjusted model results for participants, separated by sex, in individual waves of NHANES and using all years combined. The odds ratios presented are per gram for each food and nutrient.</w:t>
      </w:r>
    </w:p>
    <w:p w14:paraId="70689AAF" w14:textId="77777777" w:rsidR="00435355" w:rsidRDefault="00435355" w:rsidP="00435355">
      <w:pPr>
        <w:rPr>
          <w:lang w:val="en-AU"/>
        </w:rPr>
      </w:pPr>
    </w:p>
    <w:p w14:paraId="2D45DC85" w14:textId="4FA7230B" w:rsidR="00435355" w:rsidRDefault="00435355" w:rsidP="00435355">
      <w:pPr>
        <w:pStyle w:val="Heading3"/>
        <w:rPr>
          <w:lang w:val="en-AU"/>
        </w:rPr>
      </w:pPr>
      <w:r>
        <w:rPr>
          <w:lang w:val="en-AU"/>
        </w:rPr>
        <w:t>Supplementary Table 4</w:t>
      </w:r>
    </w:p>
    <w:p w14:paraId="235F35C7" w14:textId="77777777" w:rsidR="00435355" w:rsidRDefault="00435355" w:rsidP="00435355">
      <w:pPr>
        <w:rPr>
          <w:lang w:val="en-AU"/>
        </w:rPr>
      </w:pPr>
    </w:p>
    <w:p w14:paraId="6613B007" w14:textId="6C17D10B" w:rsidR="00435355" w:rsidRDefault="00435355" w:rsidP="00435355">
      <w:pPr>
        <w:rPr>
          <w:lang w:val="en-AU"/>
        </w:rPr>
      </w:pPr>
      <w:r w:rsidRPr="00435355">
        <w:rPr>
          <w:lang w:val="en-AU"/>
        </w:rPr>
        <w:t>Contains the adjusted model results for participants, overall and separated by sex, in individual waves of NHANES. The odds ratios presented are converted to per serving using the presented value for each food.</w:t>
      </w:r>
    </w:p>
    <w:p w14:paraId="7C7B7AC2" w14:textId="77777777" w:rsidR="00435355" w:rsidRDefault="00435355" w:rsidP="00435355">
      <w:pPr>
        <w:rPr>
          <w:lang w:val="en-AU"/>
        </w:rPr>
      </w:pPr>
    </w:p>
    <w:p w14:paraId="222EEF68" w14:textId="0E87BCBB" w:rsidR="00435355" w:rsidRDefault="00435355" w:rsidP="00435355">
      <w:pPr>
        <w:pStyle w:val="Heading3"/>
        <w:rPr>
          <w:lang w:val="en-AU"/>
        </w:rPr>
      </w:pPr>
      <w:r>
        <w:rPr>
          <w:lang w:val="en-AU"/>
        </w:rPr>
        <w:t>Supplementary Table 5</w:t>
      </w:r>
    </w:p>
    <w:p w14:paraId="0A9C600A" w14:textId="77777777" w:rsidR="00435355" w:rsidRPr="00435355" w:rsidRDefault="00435355" w:rsidP="00435355">
      <w:pPr>
        <w:rPr>
          <w:lang w:val="en-AU"/>
        </w:rPr>
      </w:pPr>
    </w:p>
    <w:p w14:paraId="6EC12596" w14:textId="2E61CB49" w:rsidR="00435355" w:rsidRPr="00435355" w:rsidRDefault="00435355" w:rsidP="00435355">
      <w:pPr>
        <w:rPr>
          <w:lang w:val="en-AU"/>
        </w:rPr>
      </w:pPr>
      <w:r w:rsidRPr="00435355">
        <w:rPr>
          <w:lang w:val="en-AU"/>
        </w:rPr>
        <w:t>Contains the adjusted model results for participants, after excluding those with lower than 1st percentile or higher than 99th percentile energy intake values. The odds ratios are presented per gram for each food and nutrient.</w:t>
      </w:r>
    </w:p>
    <w:p w14:paraId="6902FBDD" w14:textId="77777777" w:rsidR="00435355" w:rsidRDefault="00435355" w:rsidP="00435355">
      <w:pPr>
        <w:rPr>
          <w:lang w:val="en-AU"/>
        </w:rPr>
      </w:pPr>
    </w:p>
    <w:p w14:paraId="3B5D06BB" w14:textId="7548169B" w:rsidR="00435355" w:rsidRDefault="00435355" w:rsidP="00435355">
      <w:pPr>
        <w:pStyle w:val="Heading3"/>
        <w:rPr>
          <w:lang w:val="en-AU"/>
        </w:rPr>
      </w:pPr>
      <w:r>
        <w:rPr>
          <w:lang w:val="en-AU"/>
        </w:rPr>
        <w:t>Supplementary Table 6</w:t>
      </w:r>
    </w:p>
    <w:p w14:paraId="6DA47190" w14:textId="77777777" w:rsidR="00435355" w:rsidRDefault="00435355" w:rsidP="00435355">
      <w:pPr>
        <w:rPr>
          <w:lang w:val="en-AU"/>
        </w:rPr>
      </w:pPr>
    </w:p>
    <w:p w14:paraId="58A58351" w14:textId="2961A736" w:rsidR="00435355" w:rsidRDefault="00435355" w:rsidP="00435355">
      <w:pPr>
        <w:rPr>
          <w:lang w:val="en-AU"/>
        </w:rPr>
      </w:pPr>
      <w:r w:rsidRPr="00435355">
        <w:rPr>
          <w:lang w:val="en-AU"/>
        </w:rPr>
        <w:t xml:space="preserve">Contains the adjusted model results for participants, separated by BMI </w:t>
      </w:r>
      <w:r w:rsidR="007834D1" w:rsidRPr="00435355">
        <w:rPr>
          <w:lang w:val="en-AU"/>
        </w:rPr>
        <w:t>subgroup, in</w:t>
      </w:r>
      <w:r w:rsidRPr="00435355">
        <w:rPr>
          <w:lang w:val="en-AU"/>
        </w:rPr>
        <w:t xml:space="preserve"> individual waves of NHANES and using all years combined. The odds ratios presented are per gram for each food and nutrient.</w:t>
      </w:r>
    </w:p>
    <w:p w14:paraId="11241B19" w14:textId="77777777" w:rsidR="00435355" w:rsidRDefault="00435355" w:rsidP="00435355">
      <w:pPr>
        <w:rPr>
          <w:lang w:val="en-AU"/>
        </w:rPr>
      </w:pPr>
    </w:p>
    <w:p w14:paraId="2688D782" w14:textId="42CD2273" w:rsidR="00435355" w:rsidRDefault="00435355" w:rsidP="00435355">
      <w:pPr>
        <w:pStyle w:val="Heading3"/>
        <w:rPr>
          <w:lang w:val="en-AU"/>
        </w:rPr>
      </w:pPr>
      <w:r>
        <w:rPr>
          <w:lang w:val="en-AU"/>
        </w:rPr>
        <w:t>Supplementary Table 7</w:t>
      </w:r>
    </w:p>
    <w:p w14:paraId="2FFACAD4" w14:textId="77777777" w:rsidR="00435355" w:rsidRDefault="00435355" w:rsidP="00435355">
      <w:pPr>
        <w:rPr>
          <w:lang w:val="en-AU"/>
        </w:rPr>
      </w:pPr>
    </w:p>
    <w:p w14:paraId="22B9650B" w14:textId="1B455754" w:rsidR="00435355" w:rsidRPr="00435355" w:rsidRDefault="00435355" w:rsidP="00435355">
      <w:pPr>
        <w:rPr>
          <w:lang w:val="en-AU"/>
        </w:rPr>
      </w:pPr>
      <w:r w:rsidRPr="00435355">
        <w:rPr>
          <w:lang w:val="en-AU"/>
        </w:rPr>
        <w:t>Contains all per-gram results for both adjusted and unadjusted models across all tested subgroups, with their q-values after adjusting for multiple testing using the Simes method</w:t>
      </w:r>
      <w:r>
        <w:rPr>
          <w:lang w:val="en-AU"/>
        </w:rPr>
        <w:t>.</w:t>
      </w:r>
    </w:p>
    <w:sectPr w:rsidR="00435355" w:rsidRPr="00435355" w:rsidSect="001000A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355"/>
    <w:rsid w:val="00000F16"/>
    <w:rsid w:val="00010825"/>
    <w:rsid w:val="00021C85"/>
    <w:rsid w:val="00040AEB"/>
    <w:rsid w:val="00044B95"/>
    <w:rsid w:val="00050C13"/>
    <w:rsid w:val="00056EFB"/>
    <w:rsid w:val="00072B1A"/>
    <w:rsid w:val="00096AFE"/>
    <w:rsid w:val="000B622A"/>
    <w:rsid w:val="000C26A4"/>
    <w:rsid w:val="000C7EE3"/>
    <w:rsid w:val="000D070B"/>
    <w:rsid w:val="000D5553"/>
    <w:rsid w:val="000E0EA3"/>
    <w:rsid w:val="000E1F39"/>
    <w:rsid w:val="000E4DA7"/>
    <w:rsid w:val="001000A9"/>
    <w:rsid w:val="0010011D"/>
    <w:rsid w:val="00105B14"/>
    <w:rsid w:val="00127EFB"/>
    <w:rsid w:val="00132EF3"/>
    <w:rsid w:val="00133923"/>
    <w:rsid w:val="00140E14"/>
    <w:rsid w:val="0015722F"/>
    <w:rsid w:val="00181ACD"/>
    <w:rsid w:val="001A34B6"/>
    <w:rsid w:val="001B0F2F"/>
    <w:rsid w:val="001B216B"/>
    <w:rsid w:val="001B2E57"/>
    <w:rsid w:val="001B48A0"/>
    <w:rsid w:val="001C1F93"/>
    <w:rsid w:val="001D1242"/>
    <w:rsid w:val="001E2BA5"/>
    <w:rsid w:val="001F5563"/>
    <w:rsid w:val="00214014"/>
    <w:rsid w:val="00226881"/>
    <w:rsid w:val="0023181C"/>
    <w:rsid w:val="00252C08"/>
    <w:rsid w:val="00256A78"/>
    <w:rsid w:val="00294F02"/>
    <w:rsid w:val="00295C07"/>
    <w:rsid w:val="002A2218"/>
    <w:rsid w:val="002C1E3B"/>
    <w:rsid w:val="002C5921"/>
    <w:rsid w:val="002D17F4"/>
    <w:rsid w:val="002E0B2F"/>
    <w:rsid w:val="002E6522"/>
    <w:rsid w:val="002E7B31"/>
    <w:rsid w:val="002F1A35"/>
    <w:rsid w:val="00300325"/>
    <w:rsid w:val="003057AF"/>
    <w:rsid w:val="003060CF"/>
    <w:rsid w:val="003101CF"/>
    <w:rsid w:val="00324528"/>
    <w:rsid w:val="00346FC5"/>
    <w:rsid w:val="00356ED6"/>
    <w:rsid w:val="00372C98"/>
    <w:rsid w:val="003C0A42"/>
    <w:rsid w:val="003C50D4"/>
    <w:rsid w:val="003D785A"/>
    <w:rsid w:val="003E2746"/>
    <w:rsid w:val="003F744F"/>
    <w:rsid w:val="0040087F"/>
    <w:rsid w:val="004047C8"/>
    <w:rsid w:val="00415523"/>
    <w:rsid w:val="0042079F"/>
    <w:rsid w:val="00433475"/>
    <w:rsid w:val="00435355"/>
    <w:rsid w:val="004401E5"/>
    <w:rsid w:val="0046471F"/>
    <w:rsid w:val="004810F8"/>
    <w:rsid w:val="00496ABF"/>
    <w:rsid w:val="004A3D34"/>
    <w:rsid w:val="004A5B03"/>
    <w:rsid w:val="004B321D"/>
    <w:rsid w:val="004B447B"/>
    <w:rsid w:val="004C3C48"/>
    <w:rsid w:val="004C6C65"/>
    <w:rsid w:val="004E04F9"/>
    <w:rsid w:val="004E7E63"/>
    <w:rsid w:val="004F6ED5"/>
    <w:rsid w:val="00531DF3"/>
    <w:rsid w:val="00550B12"/>
    <w:rsid w:val="0055484C"/>
    <w:rsid w:val="0057051E"/>
    <w:rsid w:val="0057154B"/>
    <w:rsid w:val="00574976"/>
    <w:rsid w:val="0057538A"/>
    <w:rsid w:val="00575BBA"/>
    <w:rsid w:val="005A30D0"/>
    <w:rsid w:val="005B16B2"/>
    <w:rsid w:val="005B5712"/>
    <w:rsid w:val="005D5FE6"/>
    <w:rsid w:val="005E2D4B"/>
    <w:rsid w:val="005F522C"/>
    <w:rsid w:val="00603501"/>
    <w:rsid w:val="006117CF"/>
    <w:rsid w:val="00613D89"/>
    <w:rsid w:val="0063262E"/>
    <w:rsid w:val="00643024"/>
    <w:rsid w:val="00650A1F"/>
    <w:rsid w:val="00651B1C"/>
    <w:rsid w:val="0065263D"/>
    <w:rsid w:val="00653FD9"/>
    <w:rsid w:val="006540CA"/>
    <w:rsid w:val="00663778"/>
    <w:rsid w:val="0067747B"/>
    <w:rsid w:val="006917AD"/>
    <w:rsid w:val="006A6FD1"/>
    <w:rsid w:val="006A790D"/>
    <w:rsid w:val="006B0484"/>
    <w:rsid w:val="006D048B"/>
    <w:rsid w:val="006D7D78"/>
    <w:rsid w:val="007035C6"/>
    <w:rsid w:val="00707DC5"/>
    <w:rsid w:val="007163FA"/>
    <w:rsid w:val="00730CEF"/>
    <w:rsid w:val="00730EAA"/>
    <w:rsid w:val="007353C2"/>
    <w:rsid w:val="007366EA"/>
    <w:rsid w:val="007412F3"/>
    <w:rsid w:val="00742717"/>
    <w:rsid w:val="0077647D"/>
    <w:rsid w:val="007834D1"/>
    <w:rsid w:val="007C2B94"/>
    <w:rsid w:val="007D2F1C"/>
    <w:rsid w:val="007E06CA"/>
    <w:rsid w:val="007E1060"/>
    <w:rsid w:val="007F3B56"/>
    <w:rsid w:val="007F6350"/>
    <w:rsid w:val="008305D8"/>
    <w:rsid w:val="00854162"/>
    <w:rsid w:val="008870E7"/>
    <w:rsid w:val="00893078"/>
    <w:rsid w:val="0090134A"/>
    <w:rsid w:val="0093229F"/>
    <w:rsid w:val="009325B8"/>
    <w:rsid w:val="00932B34"/>
    <w:rsid w:val="009354C1"/>
    <w:rsid w:val="009525E0"/>
    <w:rsid w:val="00956A0F"/>
    <w:rsid w:val="009756EC"/>
    <w:rsid w:val="009C1AA4"/>
    <w:rsid w:val="009C2BAB"/>
    <w:rsid w:val="009E2480"/>
    <w:rsid w:val="00A12B2F"/>
    <w:rsid w:val="00A170EB"/>
    <w:rsid w:val="00A25DB2"/>
    <w:rsid w:val="00A26DB9"/>
    <w:rsid w:val="00A41B96"/>
    <w:rsid w:val="00A45247"/>
    <w:rsid w:val="00A62DDD"/>
    <w:rsid w:val="00A62DE3"/>
    <w:rsid w:val="00A65A5B"/>
    <w:rsid w:val="00A70C73"/>
    <w:rsid w:val="00A74D8E"/>
    <w:rsid w:val="00A87AED"/>
    <w:rsid w:val="00A93515"/>
    <w:rsid w:val="00AA4744"/>
    <w:rsid w:val="00AB2CB6"/>
    <w:rsid w:val="00AD4458"/>
    <w:rsid w:val="00B01C3B"/>
    <w:rsid w:val="00B11463"/>
    <w:rsid w:val="00B21C2A"/>
    <w:rsid w:val="00B22DCB"/>
    <w:rsid w:val="00B24AD2"/>
    <w:rsid w:val="00B35C46"/>
    <w:rsid w:val="00B37521"/>
    <w:rsid w:val="00B42C0C"/>
    <w:rsid w:val="00B52718"/>
    <w:rsid w:val="00B8633D"/>
    <w:rsid w:val="00B865B3"/>
    <w:rsid w:val="00B878C8"/>
    <w:rsid w:val="00B93F5A"/>
    <w:rsid w:val="00BA25C5"/>
    <w:rsid w:val="00BB0537"/>
    <w:rsid w:val="00BB167B"/>
    <w:rsid w:val="00BD2023"/>
    <w:rsid w:val="00BE734E"/>
    <w:rsid w:val="00BF29A8"/>
    <w:rsid w:val="00C23300"/>
    <w:rsid w:val="00C24C26"/>
    <w:rsid w:val="00C26944"/>
    <w:rsid w:val="00C30AD4"/>
    <w:rsid w:val="00C3636A"/>
    <w:rsid w:val="00C370AD"/>
    <w:rsid w:val="00C54BFF"/>
    <w:rsid w:val="00C64781"/>
    <w:rsid w:val="00C74B43"/>
    <w:rsid w:val="00CE672B"/>
    <w:rsid w:val="00CF2D6D"/>
    <w:rsid w:val="00D00A67"/>
    <w:rsid w:val="00D11087"/>
    <w:rsid w:val="00D268FA"/>
    <w:rsid w:val="00D278CC"/>
    <w:rsid w:val="00D35526"/>
    <w:rsid w:val="00D422A8"/>
    <w:rsid w:val="00D45C27"/>
    <w:rsid w:val="00D52561"/>
    <w:rsid w:val="00D5579A"/>
    <w:rsid w:val="00D56EF2"/>
    <w:rsid w:val="00D7095A"/>
    <w:rsid w:val="00D9719D"/>
    <w:rsid w:val="00DA3828"/>
    <w:rsid w:val="00DA44FA"/>
    <w:rsid w:val="00DB0A0F"/>
    <w:rsid w:val="00DB7194"/>
    <w:rsid w:val="00DD6413"/>
    <w:rsid w:val="00DE49CF"/>
    <w:rsid w:val="00DE6386"/>
    <w:rsid w:val="00E17F22"/>
    <w:rsid w:val="00E23624"/>
    <w:rsid w:val="00E330D6"/>
    <w:rsid w:val="00E3432D"/>
    <w:rsid w:val="00E55BAC"/>
    <w:rsid w:val="00E8407E"/>
    <w:rsid w:val="00EA279D"/>
    <w:rsid w:val="00EB16A6"/>
    <w:rsid w:val="00EC5859"/>
    <w:rsid w:val="00EC7D84"/>
    <w:rsid w:val="00ED28E2"/>
    <w:rsid w:val="00ED7ABE"/>
    <w:rsid w:val="00F02874"/>
    <w:rsid w:val="00F361CA"/>
    <w:rsid w:val="00F54C2F"/>
    <w:rsid w:val="00F55D23"/>
    <w:rsid w:val="00F70024"/>
    <w:rsid w:val="00F71BFA"/>
    <w:rsid w:val="00F73C36"/>
    <w:rsid w:val="00F87BEE"/>
    <w:rsid w:val="00F921B1"/>
    <w:rsid w:val="00F92F45"/>
    <w:rsid w:val="00F93550"/>
    <w:rsid w:val="00FA4681"/>
    <w:rsid w:val="00FB1B6B"/>
    <w:rsid w:val="00FC6CD8"/>
    <w:rsid w:val="00FD009A"/>
    <w:rsid w:val="00FE6F5C"/>
    <w:rsid w:val="00FF14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D0EFA2B"/>
  <w14:defaultImageDpi w14:val="32767"/>
  <w15:chartTrackingRefBased/>
  <w15:docId w15:val="{BCC4C7F4-1880-304C-92C7-B58B3A5DC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53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353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353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53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53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535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535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535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535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53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353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353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53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53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53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53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53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5355"/>
    <w:rPr>
      <w:rFonts w:eastAsiaTheme="majorEastAsia" w:cstheme="majorBidi"/>
      <w:color w:val="272727" w:themeColor="text1" w:themeTint="D8"/>
    </w:rPr>
  </w:style>
  <w:style w:type="paragraph" w:styleId="Title">
    <w:name w:val="Title"/>
    <w:basedOn w:val="Normal"/>
    <w:next w:val="Normal"/>
    <w:link w:val="TitleChar"/>
    <w:uiPriority w:val="10"/>
    <w:qFormat/>
    <w:rsid w:val="0043535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53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535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53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535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35355"/>
    <w:rPr>
      <w:i/>
      <w:iCs/>
      <w:color w:val="404040" w:themeColor="text1" w:themeTint="BF"/>
    </w:rPr>
  </w:style>
  <w:style w:type="paragraph" w:styleId="ListParagraph">
    <w:name w:val="List Paragraph"/>
    <w:basedOn w:val="Normal"/>
    <w:uiPriority w:val="34"/>
    <w:qFormat/>
    <w:rsid w:val="00435355"/>
    <w:pPr>
      <w:ind w:left="720"/>
      <w:contextualSpacing/>
    </w:pPr>
  </w:style>
  <w:style w:type="character" w:styleId="IntenseEmphasis">
    <w:name w:val="Intense Emphasis"/>
    <w:basedOn w:val="DefaultParagraphFont"/>
    <w:uiPriority w:val="21"/>
    <w:qFormat/>
    <w:rsid w:val="00435355"/>
    <w:rPr>
      <w:i/>
      <w:iCs/>
      <w:color w:val="0F4761" w:themeColor="accent1" w:themeShade="BF"/>
    </w:rPr>
  </w:style>
  <w:style w:type="paragraph" w:styleId="IntenseQuote">
    <w:name w:val="Intense Quote"/>
    <w:basedOn w:val="Normal"/>
    <w:next w:val="Normal"/>
    <w:link w:val="IntenseQuoteChar"/>
    <w:uiPriority w:val="30"/>
    <w:qFormat/>
    <w:rsid w:val="004353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5355"/>
    <w:rPr>
      <w:i/>
      <w:iCs/>
      <w:color w:val="0F4761" w:themeColor="accent1" w:themeShade="BF"/>
    </w:rPr>
  </w:style>
  <w:style w:type="character" w:styleId="IntenseReference">
    <w:name w:val="Intense Reference"/>
    <w:basedOn w:val="DefaultParagraphFont"/>
    <w:uiPriority w:val="32"/>
    <w:qFormat/>
    <w:rsid w:val="0043535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430</Words>
  <Characters>2454</Characters>
  <Application>Microsoft Office Word</Application>
  <DocSecurity>0</DocSecurity>
  <Lines>20</Lines>
  <Paragraphs>5</Paragraphs>
  <ScaleCrop>false</ScaleCrop>
  <Company/>
  <LinksUpToDate>false</LinksUpToDate>
  <CharactersWithSpaces>2879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Todd</dc:creator>
  <cp:keywords/>
  <dc:description/>
  <cp:lastModifiedBy>Emma Todd</cp:lastModifiedBy>
  <cp:revision>5</cp:revision>
  <dcterms:created xsi:type="dcterms:W3CDTF">2025-06-27T04:04:00Z</dcterms:created>
  <dcterms:modified xsi:type="dcterms:W3CDTF">2025-08-01T06:01:00Z</dcterms:modified>
</cp:coreProperties>
</file>