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3D09" w14:textId="49B1BF3D" w:rsidR="00682ADB" w:rsidRDefault="00682ADB" w:rsidP="007741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J</w:t>
      </w:r>
      <w:r w:rsidRPr="00682ADB">
        <w:rPr>
          <w:rFonts w:ascii="Times New Roman" w:hAnsi="Times New Roman" w:cs="Times New Roman"/>
          <w:sz w:val="20"/>
          <w:szCs w:val="20"/>
          <w:lang w:val="en-US"/>
        </w:rPr>
        <w:t>ournal name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7741F3" w:rsidRPr="007741F3">
        <w:rPr>
          <w:rFonts w:ascii="Times New Roman" w:hAnsi="Times New Roman" w:cs="Times New Roman"/>
          <w:sz w:val="20"/>
          <w:szCs w:val="20"/>
          <w:lang w:val="en-US"/>
        </w:rPr>
        <w:t>Archives of Gynecology and Obstetrics</w:t>
      </w:r>
    </w:p>
    <w:p w14:paraId="5AD95609" w14:textId="77777777" w:rsidR="00682ADB" w:rsidRDefault="00682ADB" w:rsidP="00682A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D4C2482" w14:textId="5EC66FFC" w:rsidR="00682ADB" w:rsidRPr="00554F78" w:rsidRDefault="00682ADB" w:rsidP="00682AD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54F78">
        <w:rPr>
          <w:rFonts w:ascii="Times New Roman" w:hAnsi="Times New Roman" w:cs="Times New Roman"/>
          <w:b/>
          <w:bCs/>
          <w:sz w:val="20"/>
          <w:szCs w:val="20"/>
          <w:lang w:val="en-US"/>
        </w:rPr>
        <w:t>Efficacy of Autologous Platelet-Rich Plasma in Ovarian Stimulation and In Vitro Fertilization: Impact of Obesity on Reproductive Outcomes</w:t>
      </w:r>
    </w:p>
    <w:p w14:paraId="3AE8D380" w14:textId="77777777" w:rsidR="00682ADB" w:rsidRDefault="00682ADB" w:rsidP="00682A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F255C0" w14:textId="049D9396" w:rsidR="00682ADB" w:rsidRPr="007D252A" w:rsidRDefault="00682ADB" w:rsidP="00682A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52A">
        <w:rPr>
          <w:rFonts w:ascii="Times New Roman" w:hAnsi="Times New Roman" w:cs="Times New Roman"/>
          <w:sz w:val="20"/>
          <w:szCs w:val="20"/>
        </w:rPr>
        <w:t>Dinorah Hernández-Melchor</w:t>
      </w: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7D252A">
        <w:rPr>
          <w:rFonts w:ascii="Times New Roman" w:hAnsi="Times New Roman" w:cs="Times New Roman"/>
          <w:sz w:val="20"/>
          <w:szCs w:val="20"/>
        </w:rPr>
        <w:t>, Juan José Suárez</w:t>
      </w: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252A">
        <w:rPr>
          <w:rFonts w:ascii="Times New Roman" w:hAnsi="Times New Roman" w:cs="Times New Roman"/>
          <w:sz w:val="20"/>
          <w:szCs w:val="20"/>
        </w:rPr>
        <w:t>, Leonardo M. Porchia</w:t>
      </w: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252A">
        <w:rPr>
          <w:rFonts w:ascii="Times New Roman" w:hAnsi="Times New Roman" w:cs="Times New Roman"/>
          <w:sz w:val="20"/>
          <w:szCs w:val="20"/>
        </w:rPr>
        <w:t>, Abril Romero-Jarillo</w:t>
      </w: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D252A">
        <w:rPr>
          <w:rFonts w:ascii="Times New Roman" w:hAnsi="Times New Roman" w:cs="Times New Roman"/>
          <w:sz w:val="20"/>
          <w:szCs w:val="20"/>
        </w:rPr>
        <w:t>, Ginna Ortiz</w:t>
      </w: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252A">
        <w:rPr>
          <w:rFonts w:ascii="Times New Roman" w:hAnsi="Times New Roman" w:cs="Times New Roman"/>
          <w:sz w:val="20"/>
          <w:szCs w:val="20"/>
        </w:rPr>
        <w:t>, Iván Madrazo</w:t>
      </w: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252A">
        <w:rPr>
          <w:rFonts w:ascii="Times New Roman" w:hAnsi="Times New Roman" w:cs="Times New Roman"/>
          <w:sz w:val="20"/>
          <w:szCs w:val="20"/>
        </w:rPr>
        <w:t>, Felipe Camargo</w:t>
      </w: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252A">
        <w:rPr>
          <w:rFonts w:ascii="Times New Roman" w:hAnsi="Times New Roman" w:cs="Times New Roman"/>
          <w:sz w:val="20"/>
          <w:szCs w:val="20"/>
        </w:rPr>
        <w:t>, and Esther López-Bayghen</w:t>
      </w: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54F78"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554F78" w:rsidRPr="007D252A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7D252A">
        <w:rPr>
          <w:rFonts w:ascii="Times New Roman" w:hAnsi="Times New Roman" w:cs="Times New Roman"/>
          <w:sz w:val="20"/>
          <w:szCs w:val="20"/>
        </w:rPr>
        <w:t>.</w:t>
      </w:r>
    </w:p>
    <w:p w14:paraId="1A267F83" w14:textId="77777777" w:rsidR="00682ADB" w:rsidRPr="007D252A" w:rsidRDefault="00682ADB" w:rsidP="00682A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252A">
        <w:rPr>
          <w:rFonts w:ascii="Times New Roman" w:hAnsi="Times New Roman" w:cs="Times New Roman"/>
          <w:sz w:val="20"/>
          <w:szCs w:val="20"/>
        </w:rPr>
        <w:t xml:space="preserve"> Investigación Clínica, Instituto de Infertilidad y Genética México SC, I</w:t>
      </w:r>
      <w:r>
        <w:rPr>
          <w:rFonts w:ascii="Times New Roman" w:hAnsi="Times New Roman" w:cs="Times New Roman"/>
          <w:sz w:val="20"/>
          <w:szCs w:val="20"/>
        </w:rPr>
        <w:t>ngenes</w:t>
      </w:r>
      <w:r w:rsidRPr="007D252A">
        <w:rPr>
          <w:rFonts w:ascii="Times New Roman" w:hAnsi="Times New Roman" w:cs="Times New Roman"/>
          <w:sz w:val="20"/>
          <w:szCs w:val="20"/>
        </w:rPr>
        <w:t>, México City, México.</w:t>
      </w:r>
    </w:p>
    <w:p w14:paraId="51F672AC" w14:textId="77777777" w:rsidR="00682ADB" w:rsidRPr="007D252A" w:rsidRDefault="00682ADB" w:rsidP="00682A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D252A">
        <w:rPr>
          <w:rFonts w:ascii="Times New Roman" w:hAnsi="Times New Roman" w:cs="Times New Roman"/>
          <w:sz w:val="20"/>
          <w:szCs w:val="20"/>
        </w:rPr>
        <w:t xml:space="preserve"> Instituto Regenera SC, México City, México</w:t>
      </w:r>
    </w:p>
    <w:p w14:paraId="7699FF28" w14:textId="77777777" w:rsidR="00682ADB" w:rsidRPr="007D252A" w:rsidRDefault="00682ADB" w:rsidP="00682A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52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D252A">
        <w:rPr>
          <w:rFonts w:ascii="Times New Roman" w:hAnsi="Times New Roman" w:cs="Times New Roman"/>
          <w:sz w:val="20"/>
          <w:szCs w:val="20"/>
        </w:rPr>
        <w:t>Departamento de Toxicología, Centro de Investigación y de Estudios Avanzados del Instituto Politécnico Nacional (Cinvestav-IPN), México City, México.</w:t>
      </w:r>
    </w:p>
    <w:p w14:paraId="18D3120B" w14:textId="77777777" w:rsidR="00682ADB" w:rsidRDefault="00682ADB" w:rsidP="00682A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8CFAA79" w14:textId="63C610AB" w:rsidR="00682ADB" w:rsidRPr="00554F78" w:rsidRDefault="00682ADB" w:rsidP="00682A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52A">
        <w:rPr>
          <w:rFonts w:ascii="Times New Roman" w:hAnsi="Times New Roman" w:cs="Times New Roman"/>
          <w:i/>
          <w:iCs/>
          <w:sz w:val="20"/>
          <w:szCs w:val="20"/>
        </w:rPr>
        <w:t>* Corresponding author:</w:t>
      </w:r>
      <w:r w:rsidRPr="007D25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52A">
        <w:rPr>
          <w:rFonts w:ascii="Times New Roman" w:hAnsi="Times New Roman" w:cs="Times New Roman"/>
          <w:sz w:val="20"/>
          <w:szCs w:val="20"/>
          <w:lang w:val="de-DE"/>
        </w:rPr>
        <w:t>E-mail</w:t>
      </w:r>
      <w:proofErr w:type="spellEnd"/>
      <w:r w:rsidRPr="007D252A"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hyperlink r:id="rId4" w:history="1">
        <w:r w:rsidR="00776A18" w:rsidRPr="00BA1E86">
          <w:rPr>
            <w:rStyle w:val="Hyperlink"/>
            <w:rFonts w:ascii="Times New Roman" w:hAnsi="Times New Roman" w:cs="Times New Roman"/>
            <w:sz w:val="20"/>
            <w:szCs w:val="20"/>
            <w:lang w:val="de-DE"/>
          </w:rPr>
          <w:t>ebayghen@cinvestav.mx</w:t>
        </w:r>
      </w:hyperlink>
      <w:r w:rsidR="00776A18">
        <w:rPr>
          <w:rFonts w:ascii="Times New Roman" w:hAnsi="Times New Roman" w:cs="Times New Roman"/>
          <w:sz w:val="20"/>
          <w:szCs w:val="20"/>
          <w:lang w:val="de-DE"/>
        </w:rPr>
        <w:t xml:space="preserve"> (ELB)</w:t>
      </w:r>
    </w:p>
    <w:p w14:paraId="20ED25BB" w14:textId="40BDD710" w:rsidR="00682ADB" w:rsidRPr="00682ADB" w:rsidRDefault="00682ADB" w:rsidP="00682A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FACBB21" w14:textId="77777777" w:rsidR="00682ADB" w:rsidRPr="00682ADB" w:rsidRDefault="00682ADB" w:rsidP="00682A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D10E59D" w14:textId="07885DFF" w:rsidR="00682ADB" w:rsidRPr="00554F78" w:rsidRDefault="00682ADB" w:rsidP="00682AD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554F7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Supplement Table 1. Criteria for complication </w:t>
      </w:r>
      <w:r w:rsidR="00554F78" w:rsidRPr="00554F78">
        <w:rPr>
          <w:rFonts w:ascii="Times New Roman" w:hAnsi="Times New Roman" w:cs="Times New Roman"/>
          <w:b/>
          <w:bCs/>
          <w:sz w:val="20"/>
          <w:szCs w:val="20"/>
          <w:lang w:val="en-US"/>
        </w:rPr>
        <w:t>severity</w:t>
      </w:r>
      <w:r w:rsidRPr="00554F78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</w:p>
    <w:tbl>
      <w:tblPr>
        <w:tblStyle w:val="TableGridLight"/>
        <w:tblW w:w="10483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160"/>
        <w:gridCol w:w="2541"/>
        <w:gridCol w:w="2692"/>
        <w:gridCol w:w="3090"/>
      </w:tblGrid>
      <w:tr w:rsidR="00C271CD" w:rsidRPr="00682ADB" w14:paraId="2E7CB155" w14:textId="77777777" w:rsidTr="00682ADB">
        <w:trPr>
          <w:trHeight w:val="371"/>
        </w:trPr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14:paraId="4594E2B5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14:paraId="7BCA20DA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Mild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14:paraId="145B4901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3090" w:type="dxa"/>
            <w:tcBorders>
              <w:top w:val="single" w:sz="18" w:space="0" w:color="auto"/>
              <w:bottom w:val="single" w:sz="12" w:space="0" w:color="auto"/>
            </w:tcBorders>
            <w:hideMark/>
          </w:tcPr>
          <w:p w14:paraId="0D0C5DF1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Severe</w:t>
            </w:r>
          </w:p>
        </w:tc>
      </w:tr>
      <w:tr w:rsidR="00C271CD" w:rsidRPr="00682ADB" w14:paraId="75EAA381" w14:textId="77777777" w:rsidTr="00682ADB">
        <w:trPr>
          <w:trHeight w:val="645"/>
        </w:trPr>
        <w:tc>
          <w:tcPr>
            <w:tcW w:w="2160" w:type="dxa"/>
            <w:hideMark/>
          </w:tcPr>
          <w:p w14:paraId="7B117C3C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Bleeding volume after ovarian application</w:t>
            </w:r>
          </w:p>
        </w:tc>
        <w:tc>
          <w:tcPr>
            <w:tcW w:w="2541" w:type="dxa"/>
            <w:hideMark/>
          </w:tcPr>
          <w:p w14:paraId="68D7FB16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Minimal</w:t>
            </w:r>
          </w:p>
          <w:p w14:paraId="40C86D68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5-15 ml</w:t>
            </w:r>
          </w:p>
        </w:tc>
        <w:tc>
          <w:tcPr>
            <w:tcW w:w="2692" w:type="dxa"/>
            <w:hideMark/>
          </w:tcPr>
          <w:p w14:paraId="641A16A1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Moderate</w:t>
            </w:r>
          </w:p>
          <w:p w14:paraId="57E31540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50-100 ml</w:t>
            </w:r>
          </w:p>
        </w:tc>
        <w:tc>
          <w:tcPr>
            <w:tcW w:w="3090" w:type="dxa"/>
            <w:hideMark/>
          </w:tcPr>
          <w:p w14:paraId="3DB30E45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Abundant</w:t>
            </w:r>
          </w:p>
          <w:p w14:paraId="193734A0" w14:textId="158AB5AA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&lt;500 ml</w:t>
            </w:r>
          </w:p>
        </w:tc>
      </w:tr>
      <w:tr w:rsidR="00C271CD" w:rsidRPr="00682ADB" w14:paraId="7FC66FFA" w14:textId="77777777" w:rsidTr="00682ADB">
        <w:trPr>
          <w:trHeight w:val="630"/>
        </w:trPr>
        <w:tc>
          <w:tcPr>
            <w:tcW w:w="2160" w:type="dxa"/>
            <w:hideMark/>
          </w:tcPr>
          <w:p w14:paraId="458F93B5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Handling</w:t>
            </w:r>
          </w:p>
        </w:tc>
        <w:tc>
          <w:tcPr>
            <w:tcW w:w="2541" w:type="dxa"/>
            <w:hideMark/>
          </w:tcPr>
          <w:p w14:paraId="30226CBC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Drawn in the OR before moving to the recovery room</w:t>
            </w:r>
          </w:p>
        </w:tc>
        <w:tc>
          <w:tcPr>
            <w:tcW w:w="2692" w:type="dxa"/>
            <w:hideMark/>
          </w:tcPr>
          <w:p w14:paraId="33B223F1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Drawn in the OR before moving to the recovery room. </w:t>
            </w:r>
          </w:p>
          <w:p w14:paraId="54199E81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 in observation 2 hours before discharge</w:t>
            </w:r>
          </w:p>
        </w:tc>
        <w:tc>
          <w:tcPr>
            <w:tcW w:w="3090" w:type="dxa"/>
            <w:hideMark/>
          </w:tcPr>
          <w:p w14:paraId="75E29F6A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Drawn in the OR before moving to the recovery room.</w:t>
            </w:r>
          </w:p>
          <w:p w14:paraId="120A9C92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Hemoperitoneum requiring culdocentesis </w:t>
            </w:r>
          </w:p>
          <w:p w14:paraId="18A3EDE7" w14:textId="77777777" w:rsidR="00C271CD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60-90 min after PPR injection</w:t>
            </w:r>
          </w:p>
          <w:p w14:paraId="3C2558A4" w14:textId="77777777" w:rsidR="00682ADB" w:rsidRPr="00682ADB" w:rsidRDefault="00682ADB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71CD" w:rsidRPr="00682ADB" w14:paraId="462200F7" w14:textId="77777777" w:rsidTr="00682ADB">
        <w:trPr>
          <w:trHeight w:val="522"/>
        </w:trPr>
        <w:tc>
          <w:tcPr>
            <w:tcW w:w="2160" w:type="dxa"/>
            <w:hideMark/>
          </w:tcPr>
          <w:p w14:paraId="7AC2D94E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Symptoms </w:t>
            </w:r>
          </w:p>
        </w:tc>
        <w:tc>
          <w:tcPr>
            <w:tcW w:w="2541" w:type="dxa"/>
            <w:hideMark/>
          </w:tcPr>
          <w:p w14:paraId="20177F8C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pain after PRP application</w:t>
            </w:r>
          </w:p>
        </w:tc>
        <w:tc>
          <w:tcPr>
            <w:tcW w:w="2692" w:type="dxa"/>
            <w:hideMark/>
          </w:tcPr>
          <w:p w14:paraId="4084DB3A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pain after PRP application.  </w:t>
            </w:r>
          </w:p>
        </w:tc>
        <w:tc>
          <w:tcPr>
            <w:tcW w:w="3090" w:type="dxa"/>
            <w:hideMark/>
          </w:tcPr>
          <w:p w14:paraId="365ECF91" w14:textId="77777777" w:rsidR="00C271CD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Abdominal pain and pain radiating to the shoulder &gt;5/10 on the VAS scale in the recovery room</w:t>
            </w:r>
          </w:p>
          <w:p w14:paraId="43DB10D8" w14:textId="77777777" w:rsidR="00682ADB" w:rsidRPr="00682ADB" w:rsidRDefault="00682ADB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71CD" w:rsidRPr="00682ADB" w14:paraId="52FF78D3" w14:textId="77777777" w:rsidTr="00682ADB">
        <w:trPr>
          <w:trHeight w:val="549"/>
        </w:trPr>
        <w:tc>
          <w:tcPr>
            <w:tcW w:w="2160" w:type="dxa"/>
            <w:hideMark/>
          </w:tcPr>
          <w:p w14:paraId="218BDD0C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Follow up</w:t>
            </w:r>
          </w:p>
        </w:tc>
        <w:tc>
          <w:tcPr>
            <w:tcW w:w="2541" w:type="dxa"/>
            <w:hideMark/>
          </w:tcPr>
          <w:p w14:paraId="0DABDC9F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further complications</w:t>
            </w:r>
          </w:p>
        </w:tc>
        <w:tc>
          <w:tcPr>
            <w:tcW w:w="2692" w:type="dxa"/>
            <w:hideMark/>
          </w:tcPr>
          <w:p w14:paraId="153B6946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further complications</w:t>
            </w:r>
          </w:p>
        </w:tc>
        <w:tc>
          <w:tcPr>
            <w:tcW w:w="3090" w:type="dxa"/>
            <w:hideMark/>
          </w:tcPr>
          <w:p w14:paraId="23426E09" w14:textId="77777777" w:rsidR="00C271CD" w:rsidRPr="00682ADB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Conservative management, self-limiting bleeding, </w:t>
            </w:r>
          </w:p>
          <w:p w14:paraId="378D3467" w14:textId="77777777" w:rsidR="00C271CD" w:rsidRDefault="00C271CD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further complications</w:t>
            </w:r>
          </w:p>
          <w:p w14:paraId="46840D4F" w14:textId="77777777" w:rsidR="00682ADB" w:rsidRPr="00682ADB" w:rsidRDefault="00682ADB" w:rsidP="00682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ADB" w:rsidRPr="00682ADB" w14:paraId="50306FCA" w14:textId="77777777" w:rsidTr="00682ADB">
        <w:trPr>
          <w:trHeight w:val="279"/>
        </w:trPr>
        <w:tc>
          <w:tcPr>
            <w:tcW w:w="2160" w:type="dxa"/>
          </w:tcPr>
          <w:p w14:paraId="185F3E5E" w14:textId="150737E5" w:rsidR="00682ADB" w:rsidRPr="00682ADB" w:rsidRDefault="00682ADB" w:rsidP="00682A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Incidence </w:t>
            </w:r>
          </w:p>
        </w:tc>
        <w:tc>
          <w:tcPr>
            <w:tcW w:w="2541" w:type="dxa"/>
          </w:tcPr>
          <w:p w14:paraId="18E84BF5" w14:textId="58AB402B" w:rsidR="00682ADB" w:rsidRPr="00682ADB" w:rsidRDefault="00682ADB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58.02% (159/274)</w:t>
            </w:r>
          </w:p>
        </w:tc>
        <w:tc>
          <w:tcPr>
            <w:tcW w:w="2692" w:type="dxa"/>
          </w:tcPr>
          <w:p w14:paraId="22B6A523" w14:textId="3CC9A66F" w:rsidR="00682ADB" w:rsidRPr="00682ADB" w:rsidRDefault="00682ADB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15.6% (43/274)</w:t>
            </w:r>
          </w:p>
        </w:tc>
        <w:tc>
          <w:tcPr>
            <w:tcW w:w="3090" w:type="dxa"/>
          </w:tcPr>
          <w:p w14:paraId="53E9ECDB" w14:textId="1F02D0FC" w:rsidR="00682ADB" w:rsidRPr="00682ADB" w:rsidRDefault="00682ADB" w:rsidP="00682A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2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4.63% (12/274)</w:t>
            </w:r>
          </w:p>
        </w:tc>
      </w:tr>
    </w:tbl>
    <w:p w14:paraId="6E648A98" w14:textId="1C7A3514" w:rsidR="00682ADB" w:rsidRPr="00682ADB" w:rsidRDefault="00682ADB" w:rsidP="00682A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Abbreviations: </w:t>
      </w:r>
      <w:r w:rsidRPr="00682ADB">
        <w:rPr>
          <w:rFonts w:ascii="Times New Roman" w:hAnsi="Times New Roman" w:cs="Times New Roman"/>
          <w:sz w:val="20"/>
          <w:szCs w:val="20"/>
          <w:lang w:val="en-US"/>
        </w:rPr>
        <w:t>OR, Operating room; PRP, Platelet-rich plasma; VAS, visual analog scale.</w:t>
      </w:r>
    </w:p>
    <w:sectPr w:rsidR="00682ADB" w:rsidRPr="00682ADB" w:rsidSect="00682A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CD"/>
    <w:rsid w:val="00020493"/>
    <w:rsid w:val="0003765D"/>
    <w:rsid w:val="001606B7"/>
    <w:rsid w:val="00293DFD"/>
    <w:rsid w:val="00294515"/>
    <w:rsid w:val="002E3352"/>
    <w:rsid w:val="004557D9"/>
    <w:rsid w:val="00554F78"/>
    <w:rsid w:val="00682ADB"/>
    <w:rsid w:val="007741F3"/>
    <w:rsid w:val="00776A18"/>
    <w:rsid w:val="007F32C8"/>
    <w:rsid w:val="00844CFC"/>
    <w:rsid w:val="00953CDF"/>
    <w:rsid w:val="009A174C"/>
    <w:rsid w:val="00A12926"/>
    <w:rsid w:val="00AD7D46"/>
    <w:rsid w:val="00B26109"/>
    <w:rsid w:val="00C271CD"/>
    <w:rsid w:val="00E0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2DAFC"/>
  <w15:chartTrackingRefBased/>
  <w15:docId w15:val="{B30BF12E-079E-4327-8074-860BF975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06B7"/>
    <w:pPr>
      <w:keepNext/>
      <w:keepLines/>
      <w:spacing w:before="1800" w:after="152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7D46"/>
    <w:pPr>
      <w:keepNext/>
      <w:keepLines/>
      <w:spacing w:before="280" w:after="20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B7"/>
    <w:rPr>
      <w:rFonts w:asciiTheme="majorHAnsi" w:eastAsiaTheme="majorEastAsia" w:hAnsiTheme="majorHAnsi" w:cstheme="majorBidi"/>
      <w:color w:val="0F4761" w:themeColor="accent1" w:themeShade="BF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7D46"/>
    <w:rPr>
      <w:rFonts w:asciiTheme="majorHAnsi" w:eastAsiaTheme="majorEastAsia" w:hAnsiTheme="majorHAnsi" w:cstheme="majorBidi"/>
      <w:color w:val="0F4761" w:themeColor="accent1" w:themeShade="BF"/>
      <w:sz w:val="24"/>
      <w:szCs w:val="32"/>
    </w:rPr>
  </w:style>
  <w:style w:type="paragraph" w:styleId="NoSpacing">
    <w:name w:val="No Spacing"/>
    <w:autoRedefine/>
    <w:uiPriority w:val="1"/>
    <w:qFormat/>
    <w:rsid w:val="00020493"/>
    <w:pPr>
      <w:spacing w:after="0" w:line="240" w:lineRule="auto"/>
      <w:ind w:firstLine="397"/>
      <w:jc w:val="both"/>
    </w:pPr>
    <w:rPr>
      <w:rFonts w:asciiTheme="majorHAnsi" w:hAnsiTheme="majorHAnsi"/>
      <w:color w:val="000000" w:themeColor="text1"/>
      <w:kern w:val="0"/>
      <w:lang w:val="es-ES_tradnl"/>
    </w:rPr>
  </w:style>
  <w:style w:type="character" w:styleId="Emphasis">
    <w:name w:val="Emphasis"/>
    <w:basedOn w:val="DefaultParagraphFont"/>
    <w:uiPriority w:val="20"/>
    <w:qFormat/>
    <w:rsid w:val="00294515"/>
    <w:rPr>
      <w:rFonts w:ascii="Arial" w:hAnsi="Arial"/>
      <w:i/>
      <w:i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1CD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C271C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271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776A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ayghen@cinvestav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Esther Lopez-Bayghen Patino</dc:creator>
  <cp:keywords/>
  <dc:description/>
  <cp:lastModifiedBy>LMP</cp:lastModifiedBy>
  <cp:revision>4</cp:revision>
  <dcterms:created xsi:type="dcterms:W3CDTF">2025-08-14T22:57:00Z</dcterms:created>
  <dcterms:modified xsi:type="dcterms:W3CDTF">2025-09-10T04:36:00Z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e28b3dc1-0fdc-479f-aa0d-07e73e2647a1</vt:lpwstr>
  </property>
</Properties>
</file>