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AC253" w14:textId="77777777" w:rsidR="00E80E4F" w:rsidRDefault="00E80E4F" w:rsidP="00E80E4F">
      <w:pPr>
        <w:rPr>
          <w:b/>
          <w:bCs/>
        </w:rPr>
      </w:pPr>
      <w:r w:rsidRPr="004F36AB">
        <w:rPr>
          <w:b/>
          <w:bCs/>
        </w:rPr>
        <w:t>Temperature and Emergency Department Visits: Present-Day Associations and Future Projections</w:t>
      </w:r>
    </w:p>
    <w:p w14:paraId="6DCDA5B8" w14:textId="77777777" w:rsidR="00E80E4F" w:rsidRPr="00EA2673" w:rsidRDefault="00E80E4F" w:rsidP="00E80E4F">
      <w:r w:rsidRPr="00EA2673">
        <w:rPr>
          <w:b/>
          <w:bCs/>
        </w:rPr>
        <w:t>Authors</w:t>
      </w:r>
      <w:r w:rsidRPr="00EA2673">
        <w:t xml:space="preserve">: </w:t>
      </w:r>
    </w:p>
    <w:p w14:paraId="055B6D32" w14:textId="1E51601A" w:rsidR="00E80E4F" w:rsidRDefault="00E80E4F" w:rsidP="00E80E4F">
      <w:r w:rsidRPr="00EA2673">
        <w:t>Chad Milando,</w:t>
      </w:r>
      <w:r w:rsidRPr="00117756">
        <w:rPr>
          <w:vertAlign w:val="superscript"/>
        </w:rPr>
        <w:t>1,2</w:t>
      </w:r>
      <w:r w:rsidR="00B910A8">
        <w:rPr>
          <w:vertAlign w:val="superscript"/>
        </w:rPr>
        <w:t>*</w:t>
      </w:r>
      <w:r w:rsidRPr="00EA2673">
        <w:t xml:space="preserve"> Ian Sue Wing,</w:t>
      </w:r>
      <w:r w:rsidRPr="00117756">
        <w:rPr>
          <w:vertAlign w:val="superscript"/>
        </w:rPr>
        <w:t>2,3</w:t>
      </w:r>
      <w:r w:rsidRPr="00EA2673">
        <w:t xml:space="preserve"> Gregory A. Wellenius</w:t>
      </w:r>
      <w:r w:rsidRPr="00117756">
        <w:rPr>
          <w:vertAlign w:val="superscript"/>
        </w:rPr>
        <w:t>1,2</w:t>
      </w:r>
    </w:p>
    <w:p w14:paraId="1F78D97A" w14:textId="77777777" w:rsidR="00E80E4F" w:rsidRPr="004F36AB" w:rsidRDefault="00E80E4F" w:rsidP="00E80E4F">
      <w:pPr>
        <w:pStyle w:val="paragraph"/>
        <w:spacing w:before="0" w:beforeAutospacing="0" w:after="0" w:afterAutospacing="0"/>
        <w:textAlignment w:val="baseline"/>
        <w:rPr>
          <w:rFonts w:ascii="Calibri" w:hAnsi="Calibri" w:cs="Calibri"/>
          <w:sz w:val="22"/>
          <w:szCs w:val="22"/>
        </w:rPr>
      </w:pPr>
      <w:r w:rsidRPr="004F36AB">
        <w:rPr>
          <w:rStyle w:val="normaltextrun"/>
          <w:rFonts w:ascii="Calibri" w:eastAsiaTheme="majorEastAsia" w:hAnsi="Calibri" w:cs="Calibri"/>
          <w:sz w:val="22"/>
          <w:szCs w:val="22"/>
          <w:vertAlign w:val="superscript"/>
        </w:rPr>
        <w:t xml:space="preserve">1 </w:t>
      </w:r>
      <w:r w:rsidRPr="004F36AB">
        <w:rPr>
          <w:rStyle w:val="normaltextrun"/>
          <w:rFonts w:ascii="Calibri" w:eastAsiaTheme="majorEastAsia" w:hAnsi="Calibri" w:cs="Calibri"/>
          <w:sz w:val="22"/>
          <w:szCs w:val="22"/>
        </w:rPr>
        <w:t>Department of Environmental Health, Boston University School of Public Health, Boston, MA, USA </w:t>
      </w:r>
      <w:r w:rsidRPr="004F36AB">
        <w:rPr>
          <w:rStyle w:val="eop"/>
          <w:rFonts w:ascii="Calibri" w:eastAsiaTheme="majorEastAsia" w:hAnsi="Calibri" w:cs="Calibri"/>
          <w:sz w:val="22"/>
          <w:szCs w:val="22"/>
        </w:rPr>
        <w:t> </w:t>
      </w:r>
    </w:p>
    <w:p w14:paraId="7A3BEDA4" w14:textId="77777777" w:rsidR="00E80E4F" w:rsidRPr="004F36AB" w:rsidRDefault="00E80E4F" w:rsidP="00E80E4F">
      <w:pPr>
        <w:pStyle w:val="paragraph"/>
        <w:spacing w:before="0" w:beforeAutospacing="0" w:after="0" w:afterAutospacing="0"/>
        <w:textAlignment w:val="baseline"/>
        <w:rPr>
          <w:rFonts w:ascii="Calibri" w:hAnsi="Calibri" w:cs="Calibri"/>
          <w:sz w:val="22"/>
          <w:szCs w:val="22"/>
        </w:rPr>
      </w:pPr>
      <w:r w:rsidRPr="004F36AB">
        <w:rPr>
          <w:rStyle w:val="normaltextrun"/>
          <w:rFonts w:ascii="Calibri" w:eastAsiaTheme="majorEastAsia" w:hAnsi="Calibri" w:cs="Calibri"/>
          <w:sz w:val="22"/>
          <w:szCs w:val="22"/>
          <w:vertAlign w:val="superscript"/>
        </w:rPr>
        <w:t>2</w:t>
      </w:r>
      <w:r w:rsidRPr="004F36AB">
        <w:rPr>
          <w:rStyle w:val="normaltextrun"/>
          <w:rFonts w:ascii="Calibri" w:eastAsiaTheme="majorEastAsia" w:hAnsi="Calibri" w:cs="Calibri"/>
          <w:sz w:val="22"/>
          <w:szCs w:val="22"/>
        </w:rPr>
        <w:t xml:space="preserve"> Center for Climate and Health, Boston University, Boston, MA, USA</w:t>
      </w:r>
      <w:r w:rsidRPr="004F36AB">
        <w:rPr>
          <w:rStyle w:val="eop"/>
          <w:rFonts w:ascii="Calibri" w:eastAsiaTheme="majorEastAsia" w:hAnsi="Calibri" w:cs="Calibri"/>
          <w:sz w:val="22"/>
          <w:szCs w:val="22"/>
        </w:rPr>
        <w:t> </w:t>
      </w:r>
    </w:p>
    <w:p w14:paraId="6818A1FD" w14:textId="77777777" w:rsidR="00E80E4F" w:rsidRPr="004F36AB" w:rsidRDefault="00E80E4F" w:rsidP="00E80E4F">
      <w:pPr>
        <w:pStyle w:val="paragraph"/>
        <w:spacing w:before="0" w:beforeAutospacing="0" w:after="0" w:afterAutospacing="0"/>
        <w:textAlignment w:val="baseline"/>
        <w:rPr>
          <w:rFonts w:ascii="Calibri" w:hAnsi="Calibri" w:cs="Calibri"/>
          <w:sz w:val="22"/>
          <w:szCs w:val="22"/>
        </w:rPr>
      </w:pPr>
      <w:r w:rsidRPr="004F36AB">
        <w:rPr>
          <w:rStyle w:val="normaltextrun"/>
          <w:rFonts w:ascii="Calibri" w:eastAsiaTheme="majorEastAsia" w:hAnsi="Calibri" w:cs="Calibri"/>
          <w:sz w:val="22"/>
          <w:szCs w:val="22"/>
          <w:vertAlign w:val="superscript"/>
        </w:rPr>
        <w:t>3</w:t>
      </w:r>
      <w:r w:rsidRPr="004F36AB">
        <w:rPr>
          <w:rStyle w:val="normaltextrun"/>
          <w:rFonts w:ascii="Calibri" w:eastAsiaTheme="majorEastAsia" w:hAnsi="Calibri" w:cs="Calibri"/>
          <w:sz w:val="22"/>
          <w:szCs w:val="22"/>
        </w:rPr>
        <w:t xml:space="preserve"> Department of Earth &amp; Environment, Boston University, Boston, MA, USA</w:t>
      </w:r>
      <w:r w:rsidRPr="004F36AB">
        <w:rPr>
          <w:rStyle w:val="eop"/>
          <w:rFonts w:ascii="Calibri" w:eastAsiaTheme="majorEastAsia" w:hAnsi="Calibri" w:cs="Calibri"/>
          <w:sz w:val="22"/>
          <w:szCs w:val="22"/>
        </w:rPr>
        <w:t> </w:t>
      </w:r>
    </w:p>
    <w:p w14:paraId="140B5907" w14:textId="1043D0C1" w:rsidR="00E80E4F" w:rsidRDefault="00B910A8" w:rsidP="00E80E4F">
      <w:r>
        <w:t>*</w:t>
      </w:r>
      <w:proofErr w:type="gramStart"/>
      <w:r>
        <w:t>corresponding</w:t>
      </w:r>
      <w:proofErr w:type="gramEnd"/>
      <w:r>
        <w:t xml:space="preserve"> author: </w:t>
      </w:r>
      <w:hyperlink r:id="rId8" w:history="1">
        <w:r w:rsidRPr="009A3CEC">
          <w:rPr>
            <w:rStyle w:val="Hyperlink"/>
          </w:rPr>
          <w:t>cmilando@bu.edu</w:t>
        </w:r>
      </w:hyperlink>
      <w:r>
        <w:t xml:space="preserve"> </w:t>
      </w:r>
    </w:p>
    <w:p w14:paraId="7C0F1938" w14:textId="37BCFB4B" w:rsidR="002747DC" w:rsidRPr="00894D7A" w:rsidRDefault="002747DC" w:rsidP="00894D7A">
      <w:r>
        <w:br w:type="page"/>
      </w:r>
    </w:p>
    <w:p w14:paraId="0F56EA37" w14:textId="162A9E7F" w:rsidR="00E80E4F" w:rsidRPr="00EA2673" w:rsidRDefault="00CE4478" w:rsidP="009E283D">
      <w:pPr>
        <w:pStyle w:val="Heading1"/>
        <w:numPr>
          <w:ilvl w:val="0"/>
          <w:numId w:val="0"/>
        </w:numPr>
      </w:pPr>
      <w:r>
        <w:lastRenderedPageBreak/>
        <w:t>ABSTRACT</w:t>
      </w:r>
    </w:p>
    <w:p w14:paraId="75552C64" w14:textId="3B9E35AA" w:rsidR="00EF21DA" w:rsidRPr="00442260" w:rsidRDefault="00835D98" w:rsidP="00CE1EE5">
      <w:pPr>
        <w:rPr>
          <w:b/>
          <w:bCs/>
        </w:rPr>
      </w:pPr>
      <w:r>
        <w:t>H</w:t>
      </w:r>
      <w:r w:rsidR="00D71447">
        <w:t xml:space="preserve">igh ambient temperature (i.e., “heat”) </w:t>
      </w:r>
      <w:r w:rsidR="006A4E95">
        <w:t>is</w:t>
      </w:r>
      <w:r w:rsidR="00E865FE">
        <w:t xml:space="preserve"> associated with</w:t>
      </w:r>
      <w:r w:rsidR="00D71447">
        <w:t xml:space="preserve"> </w:t>
      </w:r>
      <w:r w:rsidR="006A4E95">
        <w:t>increased</w:t>
      </w:r>
      <w:r w:rsidR="00D71447">
        <w:t xml:space="preserve"> </w:t>
      </w:r>
      <w:r w:rsidR="00D71447" w:rsidRPr="00EF176E">
        <w:t xml:space="preserve">rates </w:t>
      </w:r>
      <w:r w:rsidR="00D71447">
        <w:t xml:space="preserve">of death. </w:t>
      </w:r>
      <w:r w:rsidR="00ED3D8B">
        <w:rPr>
          <w:color w:val="000000" w:themeColor="text1"/>
        </w:rPr>
        <w:t>T</w:t>
      </w:r>
      <w:r w:rsidR="00D71447" w:rsidRPr="004A3E65">
        <w:rPr>
          <w:color w:val="000000" w:themeColor="text1"/>
        </w:rPr>
        <w:t xml:space="preserve">he association between </w:t>
      </w:r>
      <w:r w:rsidR="00ED3D8B">
        <w:rPr>
          <w:color w:val="000000" w:themeColor="text1"/>
        </w:rPr>
        <w:t>heat</w:t>
      </w:r>
      <w:r w:rsidR="00D71447" w:rsidRPr="004A3E65">
        <w:rPr>
          <w:color w:val="000000" w:themeColor="text1"/>
        </w:rPr>
        <w:t xml:space="preserve"> and</w:t>
      </w:r>
      <w:r w:rsidR="00ED3D8B">
        <w:rPr>
          <w:color w:val="000000" w:themeColor="text1"/>
        </w:rPr>
        <w:t xml:space="preserve"> </w:t>
      </w:r>
      <w:r w:rsidR="00D71447" w:rsidRPr="004A3E65">
        <w:rPr>
          <w:color w:val="000000" w:themeColor="text1"/>
        </w:rPr>
        <w:t xml:space="preserve">illnesses that </w:t>
      </w:r>
      <w:r w:rsidR="00ED3D8B">
        <w:rPr>
          <w:color w:val="000000" w:themeColor="text1"/>
        </w:rPr>
        <w:t>result in</w:t>
      </w:r>
      <w:r w:rsidR="00D71447" w:rsidRPr="004A3E65">
        <w:rPr>
          <w:color w:val="000000" w:themeColor="text1"/>
        </w:rPr>
        <w:t xml:space="preserve"> emergency department (ED) visits is less well characterized</w:t>
      </w:r>
      <w:r w:rsidR="00582E33">
        <w:rPr>
          <w:color w:val="000000" w:themeColor="text1"/>
        </w:rPr>
        <w:t xml:space="preserve">: most studies have examined </w:t>
      </w:r>
      <w:r w:rsidR="00E162F3">
        <w:rPr>
          <w:color w:val="000000" w:themeColor="text1"/>
        </w:rPr>
        <w:t>heat impacts in the summer months</w:t>
      </w:r>
      <w:r w:rsidR="006A4E95">
        <w:rPr>
          <w:color w:val="000000" w:themeColor="text1"/>
        </w:rPr>
        <w:t>, for a subset of health outcomes,</w:t>
      </w:r>
      <w:r w:rsidR="00E162F3">
        <w:rPr>
          <w:color w:val="000000" w:themeColor="text1"/>
        </w:rPr>
        <w:t xml:space="preserve"> or at limited spatial scales. </w:t>
      </w:r>
      <w:r w:rsidR="00D71447" w:rsidRPr="00EA2673">
        <w:t xml:space="preserve">This </w:t>
      </w:r>
      <w:r w:rsidR="00ED3D8B">
        <w:t>work characterizes</w:t>
      </w:r>
      <w:r w:rsidR="00D71447" w:rsidRPr="00EA2673">
        <w:t xml:space="preserve"> the relationship between temperature and</w:t>
      </w:r>
      <w:r w:rsidR="00D71447">
        <w:t xml:space="preserve"> all-cause</w:t>
      </w:r>
      <w:r w:rsidR="00D71447" w:rsidRPr="00EA2673">
        <w:t xml:space="preserve"> ED visits across the entire year and at large spatial scale, and </w:t>
      </w:r>
      <w:r w:rsidR="00D71447">
        <w:t>project</w:t>
      </w:r>
      <w:r w:rsidR="00ED3D8B">
        <w:t>s</w:t>
      </w:r>
      <w:r w:rsidR="00D71447">
        <w:t xml:space="preserve"> ED visits</w:t>
      </w:r>
      <w:r w:rsidR="00D71447" w:rsidRPr="00EA2673">
        <w:t xml:space="preserve"> </w:t>
      </w:r>
      <w:r w:rsidR="003D3AAB">
        <w:t>associated with</w:t>
      </w:r>
      <w:r w:rsidR="00D71447" w:rsidRPr="00EA2673">
        <w:t xml:space="preserve"> future </w:t>
      </w:r>
      <w:r w:rsidR="003D3AAB">
        <w:t>temperature change</w:t>
      </w:r>
      <w:r w:rsidR="00D71447">
        <w:t>.</w:t>
      </w:r>
      <w:r w:rsidR="00E03F07">
        <w:rPr>
          <w:b/>
          <w:bCs/>
        </w:rPr>
        <w:t xml:space="preserve"> </w:t>
      </w:r>
      <w:r w:rsidR="00E03F07">
        <w:t>We</w:t>
      </w:r>
      <w:r w:rsidR="00EA520F">
        <w:t xml:space="preserve"> analyzed </w:t>
      </w:r>
      <w:r w:rsidR="005B7368">
        <w:t xml:space="preserve">health </w:t>
      </w:r>
      <w:r w:rsidR="00EC1515">
        <w:t xml:space="preserve">data from </w:t>
      </w:r>
      <w:r w:rsidR="00EC1515" w:rsidRPr="00B14DAD">
        <w:t xml:space="preserve">21,090,141 </w:t>
      </w:r>
      <w:r w:rsidR="003D3AAB">
        <w:t xml:space="preserve">commercially insured individuals </w:t>
      </w:r>
      <w:r w:rsidR="005B7368">
        <w:t>across 2,161 counties in the</w:t>
      </w:r>
      <w:r w:rsidR="00EC1515" w:rsidRPr="00B14DAD">
        <w:t xml:space="preserve"> contiguou</w:t>
      </w:r>
      <w:r w:rsidR="00EC1515" w:rsidRPr="00EA2673">
        <w:t>s US from 2010 to 2021.</w:t>
      </w:r>
      <w:r w:rsidR="005A0765">
        <w:t xml:space="preserve"> </w:t>
      </w:r>
      <w:r w:rsidR="006A4E95">
        <w:t xml:space="preserve"> </w:t>
      </w:r>
      <w:r w:rsidR="00CC454B">
        <w:t>W</w:t>
      </w:r>
      <w:r w:rsidR="000A34B2" w:rsidRPr="00EA2673">
        <w:t xml:space="preserve">e used distributed lag non-linear models (DLNM) to </w:t>
      </w:r>
      <w:r w:rsidR="00905A8D">
        <w:t>fit the exposure-response relationship</w:t>
      </w:r>
      <w:r w:rsidR="00791D20">
        <w:t xml:space="preserve"> in the historical period</w:t>
      </w:r>
      <w:r w:rsidR="006A4E95">
        <w:t xml:space="preserve"> (2010-2021)</w:t>
      </w:r>
      <w:r w:rsidR="001D4D86">
        <w:t xml:space="preserve">, </w:t>
      </w:r>
      <w:r w:rsidR="000A34B2" w:rsidRPr="00EA2673">
        <w:t xml:space="preserve">then used projected mid-century </w:t>
      </w:r>
      <w:r w:rsidR="006A4E95" w:rsidRPr="00EA2673">
        <w:t>(2040-2050</w:t>
      </w:r>
      <w:r w:rsidR="006A4E95">
        <w:t xml:space="preserve">) </w:t>
      </w:r>
      <w:r w:rsidR="000A34B2" w:rsidRPr="00EA2673">
        <w:t>temperatures</w:t>
      </w:r>
      <w:r w:rsidR="006A4E95">
        <w:t xml:space="preserve"> from </w:t>
      </w:r>
      <w:r w:rsidR="006A4E95" w:rsidRPr="00EA2673">
        <w:t xml:space="preserve">global climate models across </w:t>
      </w:r>
      <w:r w:rsidR="00845E62">
        <w:t>three</w:t>
      </w:r>
      <w:r w:rsidR="006A4E95" w:rsidRPr="00EA2673">
        <w:t xml:space="preserve"> Shared Socio-Economic Pathways </w:t>
      </w:r>
      <w:r w:rsidR="006A4E95">
        <w:t xml:space="preserve">to </w:t>
      </w:r>
      <w:r w:rsidR="000A34B2" w:rsidRPr="00EA2673">
        <w:t xml:space="preserve">project future </w:t>
      </w:r>
      <w:r w:rsidR="000A34B2">
        <w:t>all-cause</w:t>
      </w:r>
      <w:r w:rsidR="000A34B2" w:rsidRPr="00EA2673">
        <w:t xml:space="preserve"> </w:t>
      </w:r>
      <w:r w:rsidR="000A34B2">
        <w:t>ED visits</w:t>
      </w:r>
      <w:r w:rsidR="000A34B2" w:rsidRPr="00EA2673">
        <w:t>.</w:t>
      </w:r>
      <w:r w:rsidR="00442260">
        <w:rPr>
          <w:b/>
          <w:bCs/>
        </w:rPr>
        <w:t xml:space="preserve"> </w:t>
      </w:r>
      <w:r w:rsidR="00905A8D">
        <w:t>Increasing d</w:t>
      </w:r>
      <w:r w:rsidR="000A34B2">
        <w:t xml:space="preserve">aily maximum </w:t>
      </w:r>
      <w:r w:rsidR="000A34B2" w:rsidRPr="00EA2673">
        <w:t xml:space="preserve">temperature </w:t>
      </w:r>
      <w:r w:rsidR="00905A8D">
        <w:t>were associated with increased</w:t>
      </w:r>
      <w:r w:rsidR="000A34B2" w:rsidRPr="00EA2673">
        <w:t xml:space="preserve"> ED visits</w:t>
      </w:r>
      <w:r w:rsidR="00905A8D">
        <w:t xml:space="preserve"> throughout the year</w:t>
      </w:r>
      <w:r w:rsidR="00362C59">
        <w:t xml:space="preserve"> and across the US</w:t>
      </w:r>
      <w:r w:rsidR="000A34B2" w:rsidRPr="00EA2673">
        <w:t>. ED visits</w:t>
      </w:r>
      <w:r w:rsidR="000334F8">
        <w:t xml:space="preserve"> increased 1.3% per year </w:t>
      </w:r>
      <w:r w:rsidR="000A34B2">
        <w:t>under the highest emission scenario</w:t>
      </w:r>
      <w:r w:rsidR="00742F9F">
        <w:t xml:space="preserve"> and m</w:t>
      </w:r>
      <w:r w:rsidR="000A34B2">
        <w:t>ore than half of the counties in the study experienced 27 or more days per year of high healthcare utilization under future climate scenarios, an increase of 50% over present day conditions</w:t>
      </w:r>
      <w:r w:rsidR="000A34B2" w:rsidRPr="002E32CD">
        <w:t>.</w:t>
      </w:r>
      <w:r w:rsidR="00442260">
        <w:rPr>
          <w:b/>
          <w:bCs/>
        </w:rPr>
        <w:t xml:space="preserve"> </w:t>
      </w:r>
      <w:r w:rsidR="00E80E4F" w:rsidRPr="00EA2673">
        <w:t>These findings clarify the exposure</w:t>
      </w:r>
      <w:r w:rsidR="73DE2CAF" w:rsidRPr="00EA2673">
        <w:t>-</w:t>
      </w:r>
      <w:r w:rsidR="00E80E4F" w:rsidRPr="00EA2673">
        <w:t xml:space="preserve">response relationship between </w:t>
      </w:r>
      <w:r w:rsidR="00362C59">
        <w:t>daily maximum</w:t>
      </w:r>
      <w:r w:rsidR="00E80E4F" w:rsidRPr="00EA2673">
        <w:t xml:space="preserve"> temperature and ED visits </w:t>
      </w:r>
      <w:r w:rsidR="00425BD2">
        <w:t xml:space="preserve">as distinct from </w:t>
      </w:r>
      <w:r w:rsidR="00617FD9">
        <w:t>the relationship between temperature and mortality. They also emphasize that f</w:t>
      </w:r>
      <w:r w:rsidR="00E80E4F">
        <w:t xml:space="preserve">uture healthcare systems will need to accommodate more baseline ED visits </w:t>
      </w:r>
      <w:r w:rsidR="00617FD9">
        <w:t xml:space="preserve">throughout the year </w:t>
      </w:r>
      <w:r w:rsidR="00E80E4F">
        <w:t xml:space="preserve">and a higher frequency of days with extremely high ED visit </w:t>
      </w:r>
      <w:r w:rsidR="00424C6A" w:rsidRPr="0026023D">
        <w:t>rates</w:t>
      </w:r>
      <w:r w:rsidR="00E80E4F">
        <w:t xml:space="preserve">. </w:t>
      </w:r>
      <w:r w:rsidR="00E80E4F" w:rsidRPr="00A0364F">
        <w:t xml:space="preserve"> </w:t>
      </w:r>
    </w:p>
    <w:p w14:paraId="3BCE430A" w14:textId="77777777" w:rsidR="00FB05B4" w:rsidRDefault="00FB05B4">
      <w:pPr>
        <w:tabs>
          <w:tab w:val="clear" w:pos="260"/>
        </w:tabs>
        <w:spacing w:after="160" w:line="259" w:lineRule="auto"/>
        <w:jc w:val="left"/>
        <w:rPr>
          <w:b/>
          <w:bCs/>
        </w:rPr>
      </w:pPr>
    </w:p>
    <w:p w14:paraId="46D8A774" w14:textId="77777777" w:rsidR="00FB05B4" w:rsidRDefault="00FB05B4">
      <w:pPr>
        <w:tabs>
          <w:tab w:val="clear" w:pos="260"/>
        </w:tabs>
        <w:spacing w:after="160" w:line="259" w:lineRule="auto"/>
        <w:jc w:val="left"/>
        <w:rPr>
          <w:b/>
          <w:bCs/>
        </w:rPr>
      </w:pPr>
    </w:p>
    <w:p w14:paraId="1CE04DAC" w14:textId="77777777" w:rsidR="00FB05B4" w:rsidRDefault="00FB05B4">
      <w:pPr>
        <w:tabs>
          <w:tab w:val="clear" w:pos="260"/>
        </w:tabs>
        <w:spacing w:after="160" w:line="259" w:lineRule="auto"/>
        <w:jc w:val="left"/>
        <w:rPr>
          <w:b/>
          <w:bCs/>
        </w:rPr>
      </w:pPr>
    </w:p>
    <w:p w14:paraId="64107129" w14:textId="77777777" w:rsidR="00FB05B4" w:rsidRPr="00EA2673" w:rsidRDefault="00FB05B4" w:rsidP="00FB05B4">
      <w:pPr>
        <w:pStyle w:val="Heading1"/>
        <w:numPr>
          <w:ilvl w:val="0"/>
          <w:numId w:val="0"/>
        </w:numPr>
        <w:ind w:left="432" w:hanging="432"/>
      </w:pPr>
      <w:r>
        <w:t>KEYWORDS</w:t>
      </w:r>
    </w:p>
    <w:p w14:paraId="7C9118FD" w14:textId="5D72071E" w:rsidR="00E80E4F" w:rsidRPr="00DD2D2F" w:rsidRDefault="00FB05B4" w:rsidP="00DD2D2F">
      <w:pPr>
        <w:tabs>
          <w:tab w:val="clear" w:pos="260"/>
        </w:tabs>
        <w:spacing w:after="160" w:line="259" w:lineRule="auto"/>
        <w:jc w:val="left"/>
        <w:rPr>
          <w:b/>
          <w:bCs/>
        </w:rPr>
      </w:pPr>
      <w:r>
        <w:t>Temperature, Emergency Department Visits, Projected Future Impacts, Distributed Lag Non-linear Models, Case-crossover</w:t>
      </w:r>
      <w:r>
        <w:rPr>
          <w:b/>
          <w:bCs/>
        </w:rPr>
        <w:t xml:space="preserve"> </w:t>
      </w:r>
      <w:r>
        <w:rPr>
          <w:b/>
          <w:bCs/>
        </w:rPr>
        <w:br w:type="page"/>
      </w:r>
    </w:p>
    <w:p w14:paraId="65788F4E" w14:textId="71607D52" w:rsidR="00E80E4F" w:rsidRPr="00EA2673" w:rsidRDefault="00210E75" w:rsidP="00DD2D2F">
      <w:pPr>
        <w:pStyle w:val="Heading1"/>
        <w:numPr>
          <w:ilvl w:val="0"/>
          <w:numId w:val="0"/>
        </w:numPr>
      </w:pPr>
      <w:r>
        <w:lastRenderedPageBreak/>
        <w:t>INTRODUCTION</w:t>
      </w:r>
    </w:p>
    <w:p w14:paraId="7B68BB00" w14:textId="50CBA248" w:rsidR="000B1680" w:rsidRDefault="0033731B" w:rsidP="00DC0427">
      <w:r>
        <w:tab/>
      </w:r>
      <w:r>
        <w:tab/>
      </w:r>
      <w:r w:rsidR="00C61C57">
        <w:t>H</w:t>
      </w:r>
      <w:r w:rsidR="058B5F7D">
        <w:t>igh</w:t>
      </w:r>
      <w:r w:rsidR="00BF011D">
        <w:t xml:space="preserve"> </w:t>
      </w:r>
      <w:r w:rsidR="058B5F7D">
        <w:t xml:space="preserve">ambient temperature (i.e., “heat”) </w:t>
      </w:r>
      <w:r w:rsidR="00BF011D">
        <w:t>is</w:t>
      </w:r>
      <w:r w:rsidR="00C61C57">
        <w:t xml:space="preserve"> associated with</w:t>
      </w:r>
      <w:r w:rsidR="058B5F7D">
        <w:t xml:space="preserve"> </w:t>
      </w:r>
      <w:r w:rsidR="00BF011D">
        <w:t>excess</w:t>
      </w:r>
      <w:r w:rsidR="058B5F7D">
        <w:t xml:space="preserve"> death</w:t>
      </w:r>
      <w:r w:rsidR="6A21471A">
        <w:t>.</w:t>
      </w:r>
      <w:r w:rsidR="00CD4AE9">
        <w:fldChar w:fldCharType="begin"/>
      </w:r>
      <w:r w:rsidR="00006D12">
        <w:instrText xml:space="preserve"> ADDIN ZOTERO_ITEM CSL_CITATION {"citationID":"XdxbZBKh","properties":{"formattedCitation":"\\super 1\\uc0\\u8211{}7\\nosupersub{}","plainCitation":"1–7","noteIndex":0},"citationItems":[{"id":1156,"uris":["http://zotero.org/users/9240079/items/4C2XS39Q"],"itemData":{"id":1156,"type":"article-journal","container-title":"American Journal of Epidemiology","DOI":"10.1093/aje/155.1.80","ISSN":"00029262","issue":"1","language":"en","page":"80-87","source":"DOI.org (Crossref)","title":"Temperature and Mortality in 11 Cities of the Eastern United States","volume":"155","author":[{"family":"Curriero","given":"F. C."},{"family":"Heiner","given":"K. S."},{"family":"Samet","given":"J. M."},{"family":"Zeger","given":"Scott L."},{"family":"Strug","given":"Lisa"},{"family":"Patz","given":"Jonathan A."}],"issued":{"date-parts":[["2002",1,1]]}}},{"id":2023,"uris":["http://zotero.org/users/9240079/items/9AWW42AU"],"itemData":{"id":2023,"type":"article-journal","container-title":"The Lancet","DOI":"10.1016/S0140-6736(14)62114-0","ISSN":"0140-6736, 1474-547X","issue":"9991","journalAbbreviation":"The Lancet","language":"English","note":"publisher: Elsevier\nPMID: 26003380","page":"369-375","source":"www.thelancet.com","title":"Mortality risk attributable to high and low ambient temperature: a multicountry observational study","title-short":"Mortality risk attributable to high and low ambient temperature","volume":"386","author":[{"family":"Gasparrini","given":"Antonio"},{"family":"Guo","given":"Yuming"},{"family":"Hashizume","given":"Masahiro"},{"family":"Lavigne","given":"Eric"},{"family":"Zanobetti","given":"Antonella"},{"family":"Schwartz","given":"Joel"},{"family":"Tobias","given":"Aurelio"},{"family":"Tong","given":"Shilu"},{"family":"Rocklöv","given":"Joacim"},{"family":"Forsberg","given":"Bertil"},{"family":"Leone","given":"Michela"},{"family":"Sario","given":"Manuela De"},{"family":"Bell","given":"Michelle L."},{"family":"Guo","given":"Yue-Liang Leon"},{"family":"Wu","given":"Chang-fu"},{"family":"Kan","given":"Haidong"},{"family":"Yi","given":"Seung-Muk"},{"family":"Coelho","given":"Micheline de Sousa Zanotti Stagliorio"},{"family":"Saldiva","given":"Paulo Hilario Nascimento"},{"family":"Honda","given":"Yasushi"},{"family":"Kim","given":"Ho"},{"family":"Armstrong","given":"Ben"}],"issued":{"date-parts":[["2015",7,25]]}}},{"id":2031,"uris":["http://zotero.org/users/9240079/items/4MUJL2AV"],"itemData":{"id":2031,"type":"article-journal","abstract":"Background\nPrevious studies examining temperature–mortality associations in China focused on a single city or a small number of cities. A multi-city study covering different climatic zones is necessary to better understand regional differences in temperature risk on mortality in China.\nMethods\nSixty-six communities from 7 regions across China were included in this study. We first used a Distributed Lag Non-linear Model (DLNM) to estimate community-specific effects of temperature on non-accidental mortality during 2006–2011. A multivariate meta-analysis was then applied to pool the estimates of community-specific effects.\nResults\nA U-shaped curve was observed between temperature and mortality at the national level in China, indicating both low and high temperatures were associated with increased mortality risk. The overall threshold was at about the 75th percentile of the pooled temperature distribution. The relative risk was 1.61 (95% CI: 1.48–1.74) for extremely cold temperature (1st percentile of temperature), and 1.21 (95% CI: 1.10–1.34) for extreme hot temperature (99th percentile of temperature) at lag0–21 days. The temperature–mortality relationship is different for different regions. Compared with north China, south China had a higher minimum mortality temperature (MMT), and there was a larger cold effect in the more southern parts of China and a more pronounced hot effect in more northern parts.\nConclusions\nBoth cold and hot temperatures increase mortality risk in China, and the relationship varies geographically. Our findings suggest that public health policies for climate change adaptation should be tailored to the local climate conditions.","container-title":"Environmental Research","DOI":"10.1016/j.envres.2014.11.016","ISSN":"0013-9351","journalAbbreviation":"Environmental Research","page":"72-77","source":"ScienceDirect","title":"The temperature–mortality relationship in China: An analysis from 66 Chinese communities","title-short":"The temperature–mortality relationship in China","volume":"137","author":[{"family":"Ma","given":"Wenjun"},{"family":"Wang","given":"Lijun"},{"family":"Lin","given":"Hualiang"},{"family":"Liu","given":"Tao"},{"family":"Zhang","given":"Yonghui"},{"family":"Rutherford","given":"Shannon"},{"family":"Luo","given":"Yuan"},{"family":"Zeng","given":"Weilin"},{"family":"Zhang","given":"Yewu"},{"family":"Wang","given":"Xiaofeng"},{"family":"Gu","given":"Xin"},{"family":"Chu","given":"Cordia"},{"family":"Xiao","given":"Jianpeng"},{"family":"Zhou","given":"Maigeng"}],"issued":{"date-parts":[["2015",2,1]]}}},{"id":2033,"uris":["http://zotero.org/users/9240079/items/DM5RET8H"],"itemData":{"id":2033,"type":"article-journal","abstract":"Background: \n          Elevated temperature has been associated with increased mortality. Few epidemiologic studies, however, have considered air pollutants as potential confounders or effect modifiers. None has focused on California, where the climate is generally mild and pollution levels tend to be high—an ideal setting to examine the independent effect of temperature from air pollution.\n          Methods: \n          We examined the association between mean daily apparent temperature and nonaccidental mortality in 9 counties throughout California from May to September 1999–2003. Data were obtained from the National Climatic Data Center (temperature and relative humidity), the California Department of Health Services (mortality), and the California Air Resources Board (particulate matter, ozone, carbon monoxide, and nitrogen dioxide). We conducted a time-stratified case-crossover study, with a time-series analysis as a sensitivity analysis, adjusting for day of the week using both methods and adjusting for time trend in the time-series analysis. We first obtained county-specific estimates and then combined them using meta-analytic methods.\n          Results: \n          A total of 248,019 deaths were included. Each 10° (Fahrenheit) increase in same-day mean apparent temperature corresponded to a 2.3% increase in mortality (95% confidence interval = 1.0%–3.6%) in the case-crossover analysis for all 9 counties combined, with nearly identical results produced from the time-series analysis. No air pollutant examined was found to be a significant confounder or effect modifier.\n          Conclusions: \n          Even without extremes in apparent temperature, we observed an association between temperature and mortality in California that was independent of air pollution.","container-title":"Epidemiology","DOI":"10.1097/EDE.0b013e31815c1da7","ISSN":"1044-3983","issue":"1","language":"en-US","page":"138","source":"journals.lww.com","title":"Characterizing Temperature and Mortality in Nine California Counties","volume":"19","author":[{"family":"Basu","given":"Rupa"},{"family":"Feng","given":"Wen-Ying"},{"family":"Ostro","given":"Bart D."}],"issued":{"date-parts":[["2008",1]]}}},{"id":2035,"uris":["http://zotero.org/users/9240079/items/IYIR86AU"],"itemData":{"id":2035,"type":"article-journal","abstract":"Objectives\nEvidence is limited on the relative contribution of different temperature exposures (i.e., heat, cold and significant temperature variability) to mortality. This study aims to examine mortality risk and associated mortality burden from heat, cold, and temperature variability in Australia.\nMethods\nWe collected daily time-series data on all-cause deaths and weather variables for the five most populous Australian cities (Sydney, Melbourne, Brisbane, Adelaide, and Perth), from 2000 to 2009. Temperature variability was calculated from the standard deviation of hourly temperatures between two adjacent days. Three-stage analysis was used. We firstly used quasi-Poisson regression models to model the associations of mortality with heat (mean temperature) during the warm season, with cold (mean temperature) during the cold season, and with temperature variability all year round, while controlling for long-term trend and seasonality, day of week, and population change over time. We then estimated the effects of different non-optimum temperatures using the simplified log-linear regression model. Finally, we computed and compared the fraction (%) of deaths attributable to different non-optimum temperatures.\nResults\nThe greatest percentage increase in mortality was for cold (2.0%, 95% confidence interval (CI): 1.4%, 2.6%), followed by heat (1.2%, 95% CI: 0.7%, 1.7%), and temperature variability (0.5%, 95% CI: 0.3%, 0.7%). There was no clear temporal pattern in mortality risk associated with any temperature exposure in Australia. Heat, cold and temperature variability together resulted in 42,414 deaths during the study period, accounting for about 6.0% of all deaths. Most of attributable deaths were due to cold (61.4%), and noticeably, contribution from temperature variability (28.0%) was greater than that from heat (10.6%).\nConclusions\nExposure to either cold or heat or a large variation in temperature was associated with increased mortality risk in Australia, but population adaptation appeared to have not occurred in most cities studied. Most of the temperature-induced deaths were attributable to cold, and contributions from temperature variability were greater than that from heat. Our findings highlight that, in addition to heat and cold, temperature variability needs to be considered in assessing and projecting the health impacts of climate change.","container-title":"Science of The Total Environment","DOI":"10.1016/j.scitotenv.2018.10.186","ISSN":"0048-9697","journalAbbreviation":"Science of The Total Environment","page":"2558-2565","source":"ScienceDirect","title":"Impacts of heat, cold, and temperature variability on mortality in Australia, 2000–2009","volume":"651","author":[{"family":"Cheng","given":"Jian"},{"family":"Xu","given":"Zhiwei"},{"family":"Bambrick","given":"Hilary"},{"family":"Su","given":"Hong"},{"family":"Tong","given":"Shilu"},{"family":"Hu","given":"Wenbiao"}],"issued":{"date-parts":[["2019",2,15]]}}},{"id":1783,"uris":["http://zotero.org/users/9240079/items/CKRQ6KCX"],"itemData":{"id":1783,"type":"article-journal","abstract":"We conducted the study described in this paper to investigate the impact of ambient temperature on mortality in the Netherlands during 1979-1997, the impact of heat waves and cold spells on mortality in particular, and the possibility of any heat wave- or cold spell-induced forward displacement of mortality. We found a V-like relationship between mortality and temperature, with an optimum temperature value (e.g., average temperature with lowest mortality rate) of 16.5 degrees C for total mortality, cardiovascular mortality, respiratory mortality, and mortality among those [Greater and equal to] 65 year of age. For mortality due to malignant neoplasms and mortality in the youngest age group, the optimum temperatures were 15.5 degrees C and 14.5 degrees C, respectively. For temperatures above the optimum, mortality increased by 0.47, 1.86, 12.82, and 2.72% for malignant neoplasms, cardiovascular disease, respiratory diseases, and total mortality, respectively, for each degree Celsius increase above the optimum in the preceding month. For temperatures below the optimum, mortality increased 0.22, 1.69, 5.15, and 1.37%, respectively, for each degree Celsius decrease below the optimum in the preceding month. Mortality increased significantly during all of the heat waves studied, and the elderly were most effected by extreme heat. The heat waves led to increases in mortality due to all of the selected causes, especially respiratory mortality. Average total excess mortality during the heat waves studied was 12.1%, or 39.8 deaths/day. The average excess mortality during the cold spells was 12.8% or 46.6 deaths/day, which was mostly attributable to the increase in cardiovascular mortality and mortality among the elderly. The results concerning the forward displacement of deaths due to heat waves were not conclusive. We found no cold-induced forward displacement of deaths.","container-title":"Environmental Health Perspectives","ISSN":"0091-6765","issue":"5","journalAbbreviation":"Environ Health Perspect","note":"PMID: 11401757\nPMCID: PMC1240305","page":"463-470","source":"PubMed Central","title":"The impact of heat waves and cold spells on mortality rates in the Dutch population.","volume":"109","author":[{"family":"Huynen","given":"M M"},{"family":"Martens","given":"P"},{"family":"Schram","given":"D"},{"family":"Weijenberg","given":"M P"},{"family":"Kunst","given":"A E"}],"issued":{"date-parts":[["2001",5]]}}},{"id":2041,"uris":["http://zotero.org/users/9240079/items/UFLJKCMD"],"itemData":{"id":2041,"type":"article-journal","abstract":"Background: \n          Studies have examined the effects of temperature on mortality in a single city, country, or region. However, less evidence is available on the variation in the associations between temperature and mortality in multiple countries, analyzed simultaneously.\n          Methods: \n          We obtained daily data on temperature and mortality in 306 communities from 12 countries/regions (Australia, Brazil, Thailand, China, Taiwan, Korea, Japan, Italy, Spain, United Kingdom, United States, and Canada). Two-stage analyses were used to assess the nonlinear and delayed relation between temperature and mortality. In the first stage, a Poisson regression allowing overdispersion with distributed lag nonlinear model was used to estimate the community-specific temperature-mortality relation. In the second stage, a multivariate meta-analysis was used to pool the nonlinear and delayed effects of ambient temperature at the national level, in each country.\n          Results: \n          The temperatures associated with the lowest mortality were around the 75th percentile of temperature in all the countries/regions, ranging from 66th (Taiwan) to 80th (UK) percentiles. The estimated effects of cold and hot temperatures on mortality varied by community and country. Meta-analysis results show that both cold and hot temperatures increased the risk of mortality in all the countries/regions. Cold effects were delayed and lasted for many days, whereas heat effects appeared quickly and did not last long.\n          Conclusions: \n          People have some ability to adapt to their local climate type, but both cold and hot temperatures are still associated with increased risk of mortality. Public health strategies to alleviate the impact of ambient temperatures are important, in particular in the context of climate change.","container-title":"Epidemiology","DOI":"10.1097/EDE.0000000000000165","ISSN":"1044-3983","issue":"6","language":"en-US","page":"781","source":"journals.lww.com","title":"Global Variation in the Effects of Ambient Temperature on Mortality: A Systematic Evaluation","title-short":"Global Variation in the Effects of Ambient Temperature on Mortality","volume":"25","author":[{"family":"Guo","given":"Yuming"},{"family":"Gasparrini","given":"Antonio"},{"family":"Armstrong","given":"Ben"},{"family":"Li","given":"Shanshan"},{"family":"Tawatsupa","given":"Benjawan"},{"family":"Tobias","given":"Aurelio"},{"family":"Lavigne","given":"Eric"},{"family":"Sousa Zanotti Stagliorio Coelho","given":"Micheline","non-dropping-particle":"de"},{"family":"Leone","given":"Michela"},{"family":"Pan","given":"Xiaochuan"},{"family":"Tong","given":"Shilu"},{"family":"Tian","given":"Linwei"},{"family":"Kim","given":"Ho"},{"family":"Hashizume","given":"Masahiro"},{"family":"Honda","given":"Yasushi"},{"family":"Guo","given":"Yue-Liang Leon"},{"family":"Wu","given":"Chang-Fu"},{"family":"Punnasiri","given":"Kornwipa"},{"family":"Yi","given":"Seung-Muk"},{"family":"Michelozzi","given":"Paola"},{"family":"Saldiva","given":"Paulo Hilario Nascimento"},{"family":"Williams","given":"Gail"}],"issued":{"date-parts":[["2014",11]]}}}],"schema":"https://github.com/citation-style-language/schema/raw/master/csl-citation.json"} </w:instrText>
      </w:r>
      <w:r w:rsidR="00CD4AE9">
        <w:fldChar w:fldCharType="separate"/>
      </w:r>
      <w:r w:rsidR="1C8D973B" w:rsidRPr="000356ED">
        <w:rPr>
          <w:vertAlign w:val="superscript"/>
        </w:rPr>
        <w:t>1–7</w:t>
      </w:r>
      <w:r w:rsidR="00CD4AE9">
        <w:fldChar w:fldCharType="end"/>
      </w:r>
      <w:r w:rsidR="6A21471A">
        <w:t xml:space="preserve"> </w:t>
      </w:r>
      <w:r w:rsidR="1B11CE18">
        <w:t>In the United States</w:t>
      </w:r>
      <w:r w:rsidR="2F7B81FB">
        <w:t xml:space="preserve"> (US)</w:t>
      </w:r>
      <w:r w:rsidR="00875F5C">
        <w:t xml:space="preserve"> from 1997 to 2006</w:t>
      </w:r>
      <w:r w:rsidR="1B11CE18">
        <w:t xml:space="preserve">, </w:t>
      </w:r>
      <w:r w:rsidR="66989628">
        <w:t xml:space="preserve">extreme heat </w:t>
      </w:r>
      <w:r w:rsidR="003B0133">
        <w:t>was</w:t>
      </w:r>
      <w:r w:rsidR="66989628">
        <w:t xml:space="preserve"> associated with </w:t>
      </w:r>
      <w:r w:rsidR="6C7020E2">
        <w:t>approximately</w:t>
      </w:r>
      <w:r w:rsidR="140CED4D">
        <w:t xml:space="preserve"> 10,000 deaths </w:t>
      </w:r>
      <w:r w:rsidR="00875F5C">
        <w:t>annually</w:t>
      </w:r>
      <w:r w:rsidR="6A21471A">
        <w:t>.</w:t>
      </w:r>
      <w:r w:rsidR="00175216">
        <w:fldChar w:fldCharType="begin"/>
      </w:r>
      <w:r w:rsidR="00C937BD">
        <w:instrText xml:space="preserve"> ADDIN ZOTERO_ITEM CSL_CITATION {"citationID":"4bMo7wdD","properties":{"formattedCitation":"\\super 8\\nosupersub{}","plainCitation":"8","noteIndex":0},"citationItems":[{"id":1258,"uris":["http://zotero.org/users/9240079/items/T3342IQ8"],"itemData":{"id":1258,"type":"article-journal","abstract":"Background: \n          There is a well-established relationship between high ambient temperature and risk of death. However, the number of deaths attributable to heat each year in the United States remains incompletely quantified.\n          Methods: \n          We replicated the approach from a large, international study to estimate temperature-mortality associations in 297 United States counties and additionally calculated the number of deaths attributable to heat, a quantity of likely interest to policymakers and the public.\n          Results: \n          Across 297 counties representing 61.9% of the United States population in 2000, we estimate that an average of 5,608 (95% empirical confidence interval = 4,748, 6,291) deaths were attributable to heat annually, 1997–2006.\n          Conclusions: \n          Our results suggest that the number of deaths related to heat in the United States is substantially larger than previously reported.","container-title":"Environmental Epidemiology","DOI":"10.1097/EE9.0000000000000096","issue":"3","language":"en-US","page":"e096","source":"journals.lww.com","title":"Estimating the number of excess deaths attributable to heat in 297 United States counties","volume":"4","author":[{"family":"Weinberger","given":"Kate R."},{"family":"Harris","given":"Daniel"},{"family":"Spangler","given":"Keith R."},{"family":"Zanobetti","given":"Antonella"},{"family":"Wellenius","given":"Gregory A."}],"issued":{"date-parts":[["2020",6]]}}}],"schema":"https://github.com/citation-style-language/schema/raw/master/csl-citation.json"} </w:instrText>
      </w:r>
      <w:r w:rsidR="00175216">
        <w:fldChar w:fldCharType="separate"/>
      </w:r>
      <w:r w:rsidR="1C8D973B" w:rsidRPr="000356ED">
        <w:rPr>
          <w:vertAlign w:val="superscript"/>
        </w:rPr>
        <w:t>8</w:t>
      </w:r>
      <w:r w:rsidR="00175216">
        <w:fldChar w:fldCharType="end"/>
      </w:r>
      <w:r w:rsidR="003B0133">
        <w:t xml:space="preserve"> The</w:t>
      </w:r>
      <w:r w:rsidR="006537EA">
        <w:t xml:space="preserve"> 2022</w:t>
      </w:r>
      <w:r w:rsidR="003B0133">
        <w:t xml:space="preserve"> </w:t>
      </w:r>
      <w:r w:rsidR="00AA20F6">
        <w:t xml:space="preserve">European heatwave </w:t>
      </w:r>
      <w:r w:rsidR="00E2631C">
        <w:t>was</w:t>
      </w:r>
      <w:r w:rsidR="66989628">
        <w:t xml:space="preserve"> associated with </w:t>
      </w:r>
      <w:r w:rsidR="28BC68A1">
        <w:t>approximately 61,000 excess deaths</w:t>
      </w:r>
      <w:r w:rsidR="6A21471A">
        <w:t>.</w:t>
      </w:r>
      <w:r w:rsidR="00E47D27">
        <w:fldChar w:fldCharType="begin"/>
      </w:r>
      <w:r w:rsidR="00C937BD">
        <w:instrText xml:space="preserve"> ADDIN ZOTERO_ITEM CSL_CITATION {"citationID":"PEn0c5D1","properties":{"formattedCitation":"\\super 9\\nosupersub{}","plainCitation":"9","noteIndex":0},"citationItems":[{"id":1291,"uris":["http://zotero.org/users/9240079/items/FLL8NGC5"],"itemData":{"id":1291,"type":"article-journal","abstract":"Over 70,000 excess deaths occurred in Europe during the summer of 2003. The resulting societal awareness led to the design and implementation of adaptation strategies to protect at-risk populations. We aimed to quantify heat-related mortality burden during the summer of 2022, the hottest season on record in Europe. We analyzed the Eurostat mortality database, which includes 45,184,044 counts of death from 823 contiguous regions in 35 European countries, representing the whole population of over 543 million people. We estimated 61,672 (95% confidence interval (CI) = 37,643–86,807) heat-related deaths in Europe between 30 May and 4 September 2022. Italy (18,010 deaths; 95% CI = 13,793–22,225), Spain (11,324; 95% CI = 7,908–14,880) and Germany (8,173; 95% CI = 5,374–11,018) had the highest summer heat-related mortality numbers, while Italy (295 deaths per million, 95% CI = 226–364), Greece (280, 95% CI = 201–355), Spain (237, 95% CI = 166–312) and Portugal (211, 95% CI = 162–255) had the highest heat-related mortality rates. Relative to population, we estimated 56% more heat-related deaths in women than men, with higher rates in men aged 0–64 (+41%) and 65–79 (+14%) years, and in women aged 80+ years (+27%). Our results call for a reevaluation and strengthening of existing heat surveillance platforms, prevention plans and long-term adaptation strategies.","container-title":"Nature Medicine","DOI":"10.1038/s41591-023-02419-z","ISSN":"1546-170X","issue":"7","journalAbbreviation":"Nat Med","language":"en","license":"2023 The Author(s)","note":"number: 7\npublisher: Nature Publishing Group","page":"1857-1866","source":"www.nature.com","title":"Heat-related mortality in Europe during the summer of 2022","volume":"29","author":[{"family":"Ballester","given":"Joan"},{"family":"Quijal-Zamorano","given":"Marcos"},{"family":"Méndez Turrubiates","given":"Raúl Fernando"},{"family":"Pegenaute","given":"Ferran"},{"family":"Herrmann","given":"François R."},{"family":"Robine","given":"Jean Marie"},{"family":"Basagaña","given":"Xavier"},{"family":"Tonne","given":"Cathryn"},{"family":"Antó","given":"Josep M."},{"family":"Achebak","given":"Hicham"}],"issued":{"date-parts":[["2023",7]]}}}],"schema":"https://github.com/citation-style-language/schema/raw/master/csl-citation.json"} </w:instrText>
      </w:r>
      <w:r w:rsidR="00E47D27">
        <w:fldChar w:fldCharType="separate"/>
      </w:r>
      <w:r w:rsidR="1C8D973B" w:rsidRPr="000356ED">
        <w:rPr>
          <w:vertAlign w:val="superscript"/>
        </w:rPr>
        <w:t>9</w:t>
      </w:r>
      <w:r w:rsidR="00E47D27">
        <w:fldChar w:fldCharType="end"/>
      </w:r>
      <w:r w:rsidR="5EAFC933">
        <w:t xml:space="preserve"> </w:t>
      </w:r>
      <w:r w:rsidR="00697632">
        <w:t>T</w:t>
      </w:r>
      <w:r w:rsidR="00AA0E1F">
        <w:t xml:space="preserve">he association between heat and </w:t>
      </w:r>
      <w:r w:rsidR="00FA62B7">
        <w:t>illness that result</w:t>
      </w:r>
      <w:r w:rsidR="00875F5C">
        <w:t>s</w:t>
      </w:r>
      <w:r w:rsidR="00FA62B7">
        <w:t xml:space="preserve"> in </w:t>
      </w:r>
      <w:r w:rsidR="00AA0E1F">
        <w:t xml:space="preserve">emergency department (ED) visits </w:t>
      </w:r>
      <w:r w:rsidR="00BF6E25">
        <w:t>or</w:t>
      </w:r>
      <w:r w:rsidR="00AA0E1F">
        <w:t xml:space="preserve"> hospitalization</w:t>
      </w:r>
      <w:r w:rsidR="00136248">
        <w:t>s</w:t>
      </w:r>
      <w:r w:rsidR="00697632">
        <w:t xml:space="preserve"> is less well-know</w:t>
      </w:r>
      <w:r w:rsidR="00303E47">
        <w:t>n,</w:t>
      </w:r>
      <w:r w:rsidR="005F3104">
        <w:t xml:space="preserve"> but no less important; </w:t>
      </w:r>
      <w:r w:rsidR="005F3104">
        <w:rPr>
          <w:color w:val="000000" w:themeColor="text1"/>
        </w:rPr>
        <w:t>s</w:t>
      </w:r>
      <w:r w:rsidR="004C0DEC">
        <w:rPr>
          <w:color w:val="000000" w:themeColor="text1"/>
        </w:rPr>
        <w:t xml:space="preserve">uch events </w:t>
      </w:r>
      <w:r w:rsidR="005F3104">
        <w:rPr>
          <w:color w:val="000000" w:themeColor="text1"/>
        </w:rPr>
        <w:t xml:space="preserve">represent major life disruptions and </w:t>
      </w:r>
      <w:r w:rsidR="004C0DEC">
        <w:rPr>
          <w:color w:val="000000" w:themeColor="text1"/>
        </w:rPr>
        <w:t xml:space="preserve">utilize </w:t>
      </w:r>
      <w:r w:rsidR="004C0DEC" w:rsidRPr="004A3E65">
        <w:rPr>
          <w:color w:val="000000" w:themeColor="text1"/>
        </w:rPr>
        <w:t>substantial health</w:t>
      </w:r>
      <w:r w:rsidR="00EB76C9">
        <w:rPr>
          <w:color w:val="000000" w:themeColor="text1"/>
        </w:rPr>
        <w:t xml:space="preserve">care </w:t>
      </w:r>
      <w:r w:rsidR="004C0DEC" w:rsidRPr="004A3E65">
        <w:rPr>
          <w:color w:val="000000" w:themeColor="text1"/>
        </w:rPr>
        <w:t>resources</w:t>
      </w:r>
      <w:r w:rsidR="005F3104">
        <w:rPr>
          <w:color w:val="000000" w:themeColor="text1"/>
        </w:rPr>
        <w:t>.</w:t>
      </w:r>
      <w:r w:rsidR="004C0DEC" w:rsidRPr="004A3E65">
        <w:rPr>
          <w:color w:val="000000" w:themeColor="text1"/>
        </w:rPr>
        <w:fldChar w:fldCharType="begin"/>
      </w:r>
      <w:r w:rsidR="004C0DEC">
        <w:rPr>
          <w:color w:val="000000" w:themeColor="text1"/>
        </w:rPr>
        <w:instrText xml:space="preserve"> ADDIN ZOTERO_ITEM CSL_CITATION {"citationID":"rn76K3F0","properties":{"formattedCitation":"\\super 10\\nosupersub{}","plainCitation":"10","noteIndex":0},"citationItems":[{"id":2118,"uris":["http://zotero.org/users/9240079/items/7PNTV6EN"],"itemData":{"id":2118,"type":"article-journal","abstract":"IntroductionMean daily temperatures in Canada rose 1.7°C between 1948 and 2016, and the frequency, severity, and duration of extreme heat events has increased. These events can exacerbate underlying health conditions, bringing patients to emergency departments (EDs). This retrospective analysis assessed the impact of temperature and humidex on ED volume and length of stay (LOS).MethodsLOS is an indicator of ED overcrowding and system performance. Using daily maximum temperatures and humidex values, this study investigated the impact of mean 3-d temperatures and humidex preceding ED presentation on the median and maximum ED LOS and patient volume in 2 community hospitals in Montreal, Quebec, during the summer months of 2016 to 2018. Data were analyzed with 1-way analysis of variance with post hoc Fisher least significant difference tests and Spearman correlation tests.ResultsThe mean maximum temperature and humidex were 26.1°C and 30.4°C, respectively (n=276 d). Mean 3-d temperatures ≥30°C were associated with higher daily ED volumes in both hospitals (138 vs 121, P=0.002 and 132 vs 125, P=0.03) and with increased median LOS at 1 hospital (8.9 vs 7.6 h, P=0.03). Mean 3-d humidex ≥35 was associated with higher daily ED volumes at both hospitals as well (136 vs 123, P=0.01 and 133 vs 125, P=0.009) with an increased median LOS at 1 hospital (8.6 vs 6.9 h, P=0.0001) with humidex values of 25 to 29.9°C.ConclusionsHeat events were associated with increased ED presentations and LOS. This study suggests that a warming climate can impede emergency service provision by increasing the demand for and delaying timely care.","container-title":"Wilderness &amp; Environmental Medicine","DOI":"10.1016/j.wem.2021.05.004","ISSN":"1080-6032","issue":"4","language":"en","note":"publisher: SAGE Publications","page":"433-440","source":"SAGE Journals","title":"The Impact of Extreme Heat Events on Emergency Departments in Canadian Hospitals","volume":"32","author":[{"family":"Kegel","given":"Fraser"},{"family":"Luo","given":"Owen D."},{"family":"Richer","given":"Signe"}],"issued":{"date-parts":[["2021",12,1]]}}}],"schema":"https://github.com/citation-style-language/schema/raw/master/csl-citation.json"} </w:instrText>
      </w:r>
      <w:r w:rsidR="004C0DEC" w:rsidRPr="004A3E65">
        <w:rPr>
          <w:color w:val="000000" w:themeColor="text1"/>
        </w:rPr>
        <w:fldChar w:fldCharType="separate"/>
      </w:r>
      <w:r w:rsidR="004C0DEC" w:rsidRPr="000356ED">
        <w:rPr>
          <w:color w:val="000000"/>
          <w:vertAlign w:val="superscript"/>
        </w:rPr>
        <w:t>10</w:t>
      </w:r>
      <w:r w:rsidR="004C0DEC" w:rsidRPr="004A3E65">
        <w:rPr>
          <w:color w:val="000000" w:themeColor="text1"/>
        </w:rPr>
        <w:fldChar w:fldCharType="end"/>
      </w:r>
      <w:r w:rsidR="004C0DEC">
        <w:rPr>
          <w:color w:val="000000" w:themeColor="text1"/>
        </w:rPr>
        <w:t xml:space="preserve"> </w:t>
      </w:r>
      <w:r w:rsidR="005F3104">
        <w:rPr>
          <w:color w:val="000000" w:themeColor="text1"/>
        </w:rPr>
        <w:t xml:space="preserve">In </w:t>
      </w:r>
      <w:r w:rsidR="005F3104">
        <w:t>s</w:t>
      </w:r>
      <w:r w:rsidR="009B277E">
        <w:t>tudies</w:t>
      </w:r>
      <w:r w:rsidR="005F3104">
        <w:t xml:space="preserve"> of heat and illness</w:t>
      </w:r>
      <w:r w:rsidR="00831167">
        <w:t xml:space="preserve"> limited to specific populations</w:t>
      </w:r>
      <w:r w:rsidR="00B17F50">
        <w:t xml:space="preserve"> in</w:t>
      </w:r>
      <w:r w:rsidR="001B6BB1">
        <w:t xml:space="preserve"> </w:t>
      </w:r>
      <w:r w:rsidR="00B17F50">
        <w:t>summer-time</w:t>
      </w:r>
      <w:r w:rsidR="00831167">
        <w:t xml:space="preserve"> and</w:t>
      </w:r>
      <w:r w:rsidR="001B6BB1">
        <w:t xml:space="preserve"> at the regional or sub-regional </w:t>
      </w:r>
      <w:r w:rsidR="00263FF9">
        <w:t>scale</w:t>
      </w:r>
      <w:r w:rsidR="00EB76C9">
        <w:t>, heat</w:t>
      </w:r>
      <w:r w:rsidR="00220BA8">
        <w:t xml:space="preserve"> </w:t>
      </w:r>
      <w:r w:rsidR="00320A99">
        <w:t>ha</w:t>
      </w:r>
      <w:r w:rsidR="00EB76C9">
        <w:t>s</w:t>
      </w:r>
      <w:r w:rsidR="00320A99">
        <w:t xml:space="preserve"> been</w:t>
      </w:r>
      <w:r w:rsidR="00220BA8">
        <w:t xml:space="preserve"> associated with increased </w:t>
      </w:r>
      <w:r w:rsidR="00B0582B">
        <w:t>ED and hospitalization rates</w:t>
      </w:r>
      <w:r w:rsidR="00320A99">
        <w:t>.</w:t>
      </w:r>
      <w:r w:rsidR="00D82779">
        <w:fldChar w:fldCharType="begin"/>
      </w:r>
      <w:r w:rsidR="00D82779">
        <w:instrText xml:space="preserve"> ADDIN ZOTERO_ITEM CSL_CITATION {"citationID":"yHmeN9Sk","properties":{"formattedCitation":"\\super 11\\uc0\\u8211{}16\\nosupersub{}","plainCitation":"11–16","noteIndex":0},"citationItems":[{"id":1442,"uris":["http://zotero.org/users/9240079/items/LJCIXXDM"],"itemData":{"id":1442,"type":"article-journal","abstract":"Heat exposure is known to have a complex set of physiological effects on multiple organ systems, but current understanding of the health effects is mostly based on studies investigating a small number of prespecified health outcomes such as cardiovascular and respiratory diseases.To identify possible causes of hospital admissions during extreme heat events and to estimate their risks using historical data.Matched analysis of time series data describing daily hospital admissions of Medicare enrollees (23.7 million fee-for-service beneficiaries [aged ≥65 years] per year; 85% of all Medicare enrollees) for the period 1999 to 2010 in 1943 counties in the United States with at least 5 summers of near-complete (&amp;gt;95%) daily temperature data.Heat wave periods, defined as 2 or more consecutive days with temperatures exceeding the 99th percentile of county-specific daily temperatures, matched to non–heat wave periods by county and week.Daily cause-specific hospitalization rates by principal discharge diagnosis codes, grouped into 283 disease categories using a validated approach.Risks of hospitalization for fluid and electrolyte disorders, renal failure, urinary tract infection, septicemia, and heat stroke were statistically significantly higher on heat wave days relative to matched non–heat wave days, but risk of hospitalization for congestive heart failure was lower (P &amp;lt; .05). Relative risks for these disease groups were 1.18 (95% CI, 1.12-1.25) for fluid and electrolyte disorders, 1.14 (95% CI, 1.06-1.23) for renal failure, 1.10 (95% CI, 1.04-1.16) for urinary tract infections, 1.06 (95% CI, 1.00-1.11) for septicemia, and 2.54 (95% CI, 2.14-3.01) for heat stroke. Absolute risk differences were 0.34 (95% CI, 0.22-0.46) excess admissions per 100 000 individuals at risk for fluid and electrolyte disorders, 0.25 (95% CI, 0.12-0.39) for renal failure, 0.24 (95% CI, 0.09-0.39) for urinary tract infections, 0.21 (95% CI, 0.01-0.41) for septicemia, and 0.16 (95% CI, 0.10-0.22) for heat stroke. For fluid and electrolyte disorders and heat stroke, the risk of hospitalization increased during more intense and longer-lasting heat wave periods (P &amp;lt; .05). Risks were generally highest on the heat wave day but remained elevated for up to 5 subsequent days.Among older adults, periods of extreme heat were associated with increased risk of hospitalization for fluid and electrolyte disorders, renal failure, urinary tract infection, septicemia, and heat stroke. However, the absolute risk increase was small and of uncertain clinical importance.","container-title":"JAMA","DOI":"10.1001/jama.2014.15715","ISSN":"0098-7484","issue":"24","journalAbbreviation":"JAMA","page":"2659-2667","source":"Silverchair","title":"Cause-Specific Risk of Hospital Admission Related to Extreme Heat in Older Adults","volume":"312","author":[{"family":"Bobb","given":"Jennifer F."},{"family":"Obermeyer","given":"Ziad"},{"family":"Wang","given":"Yun"},{"family":"Dominici","given":"Francesca"}],"issued":{"date-parts":[["2014",12,24]]}}},{"id":1552,"uris":["http://zotero.org/users/9240079/items/SDWLF9DI"],"itemData":{"id":1552,"type":"article-journal","abstract":"Rationale: The heat-related risk of hospitalization for respiratory diseases among the elderly has not been quantified in the United States on a national scale. With climate change predictions of more frequent and more intense heat waves, it is of paramount importance to quantify the health risks related to heat, especially for the most vulnerable.\n\nObjectives: To estimate the risk of hospitalization for respiratory diseases associated with outdoor heat in the U.S. elderly.\n\nMethods: An observational study of approximately 12.5 million Medicare beneficiaries in 213 United States counties, January 1, 1999 to December 31, 2008. We estimate a national average relative risk of hospitalization for each 10°F (5.6°C) increase in daily outdoor temperature using Bayesian hierarchical models.\n\nMeasurements and Main Results: We obtained daily county-level rates of Medicare emergency respiratory hospitalizations (International Classification of Diseases, Ninth Revision, 464–466, 480–487, 490–492) in 213 U.S. counties from 1999 through 2008. Overall, each 10°F increase in daily temperature was associated with a 4.3% increase in same-day emergency hospitalizations for respiratory diseases (95% posterior interval, 3.8, 4.8%). Counties’ relative risks were significantly higher in counties with cooler average summer temperatures.\n\nConclusions: We found strong evidence of an association between outdoor heat and respiratory hospitalizations in the largest population of elderly studied to date. Given projections of increasing temperatures from climate change and the increasing global prevalence of chronic pulmonary disease, the relationship between heat and respiratory morbidity is a growing concern.","container-title":"American Journal of Respiratory and Critical Care Medicine","DOI":"10.1164/rccm.201211-1969OC","ISSN":"1073-449X","issue":"10","journalAbbreviation":"Am J Respir Crit Care Med","note":"publisher: American Thoracic Society - AJRCCM","page":"1098-1103","source":"atsjournals.org (Atypon)","title":"Heat-related Emergency Hospitalizations for Respiratory Diseases in the Medicare Population","volume":"187","author":[{"family":"Anderson","given":"G. Brooke"},{"family":"Dominici","given":"Francesca"},{"family":"Wang","given":"Yun"},{"family":"McCormack","given":"Meredith C."},{"family":"Bell","given":"Michelle L."},{"family":"Peng","given":"Roger D."}],"issued":{"date-parts":[["2013",5,15]]}}},{"id":1748,"uris":["http://zotero.org/users/9240079/items/TVLNB8RM"],"itemData":{"id":1748,"type":"article-journal","abstract":"Background:\n\nExtreme heat exposures are increasing with climate change. Health effects are well documented in adults, but the risks to children are not well characterized.\n\nObjectives:\n\nWe estimated the association between warm season (May to September) temperatures and cause-specific emergency department (ED) visits among U.S. children and adolescents.\n\nMethods:\n\nThis multicenter time-series study leveraged administrative data on \n3.8 million\n3.8 million\n3.8\n million\n ED visits by children and adolescents \nless than or equal to 18 years\n≤18 years\n≤\n18\n years\n of age to the EDs of 47 U.S. children’s hospitals from May to September from 2016 to 2018. Daily maximum ambient temperature was estimated in the county of the hospital using a spatiotemporal model. We used distributed-lag nonlinear models with a quasi-Poisson distribution to estimate the association between daily maximum temperature and the relative risk (RR) of ED visits, adjusting for temporal trends. We then used a random-effects meta-analytic model to estimate the overall cumulative association.\n\nResults:\n\nExtreme heat was associated with an RR of all-cause ED visits of 1.17 (95% CI: 1.12, 1.21) relative to hospital-specific minimum morbidity temperature. Associations were more pronounced for ED visits due to heat-related illness including dehydration and electrolyte disorders (\nrelative risk equals\nRR=\nRR\n=\n 1.83; 95% CI: 1.31, 2.57), bacterial enteritis (1.35; 95% CI: 1.02, 1.79), and otitis media and externa (1.30; 95% CI: 1.11, 1.52). Taken together, temperatures above the minimum morbidity temperature accounted for an estimated 11.8% [95% empirical 95% confidence interval (eCI): 9.9%, 13.3%] of warm season ED visits for any cause and 31.0% (95% eCI: 17.9%, 36.5%) of ED visits for heat-related illnesses.\n\nConclusion:\n\nDuring the warm season, days with higher temperatures were associated with higher rates of visits to children’s hospital EDs. Higher ambient temperatures may contribute to a significant proportion of ED visits among U.S. children and adolescents. https://doi.org/10.1289/EHP8083","container-title":"Environmental Health Perspectives","DOI":"10.1289/EHP8083","issue":"1","note":"publisher: Environmental Health Perspectives","page":"017001","source":"ehp.niehs.nih.gov (Atypon)","title":"Warm Season and Emergency Department Visits to U.S. Children’s Hospitals","volume":"130","author":[{"family":"Bernstein","given":"Aaron S."},{"family":"Sun","given":"Shengzhi"},{"family":"Weinberger","given":"Kate R."},{"family":"Spangler","given":"Keith R."},{"family":"Sheffield","given":"Perry E."},{"family":"Wellenius","given":"Gregory A."}],"issued":{"date-parts":[["2022"]]}}},{"id":1161,"uris":["http://zotero.org/users/9240079/items/TTDZ9U96","http://zotero.org/users/9240079/items/DZSUZ4B2"],"itemData":{"id":1161,"type":"article-journal","container-title":"International Journal of Public Health","DOI":"10.1007/s00038-009-0076-0","ISSN":"1661-8556, 1420-911X","issue":"2","language":"en","page":"113-121","source":"DOI.org (Crossref)","title":"The effect of temperature on hospital admissions in nine California counties","volume":"55","author":[{"family":"Green","given":"Rochelle S."},{"family":"Basu","given":"Rupa"},{"family":"Malig","given":"Brian"},{"family":"Broadwin","given":"Rachel"},{"family":"Kim","given":"Janice J."},{"family":"Ostro","given":"Bart"}],"issued":{"date-parts":[["2010",4]]}}},{"id":1403,"uris":["http://zotero.org/users/9240079/items/VJKCYZFG"],"itemData":{"id":1403,"type":"article-journal","abstract":"Objective To quantify the association between ambient heat and visits to the emergency department (ED) for any cause and for cause specific conditions in the conterminous United States among adults with health insurance.\nDesign Time stratified case crossover analyses with distributed lag non-linear models.\nSetting US nationwide administrative healthcare claims database.\nParticipants All commercial and Medicare Advantage beneficiaries (74.2 million) aged 18 years and older between May and September 2010 to 2019.\nMain outcome measures Daily rates of ED visits for any cause, heat related illness, renal disease, cardiovascular disease, respiratory disease, and mental disorders based on discharge diagnosis codes.\nResults 21 996 670 ED visits were recorded among adults with health insurance living in 2939 US counties. Days of extreme heat—defined as the 95th centile of the local warm season (May through September) temperature distribution (at 34.4°C v 14.9°C national average level)—were associated with a 7.8% (95% confidence interval 7.3% to 8.2%) excess relative risk of ED visits for any cause, 66.3% (60.2% to 72.7%) for heat related illness, 30.4% (23.4% to 37.8%) for renal disease, and 7.9% (5.2% to 10.7%) for mental disorders. Days of extreme heat were associated with an excess absolute risk of ED visits for heat related illness of 24.3 (95% confidence interval 22.9 to 25.7) per 100 000 people at risk per day. Heat was not associated with a higher risk of ED visits for cardiovascular or respiratory diseases. Associations were more pronounced among men and in counties in the north east of the US or with a continental climate.\nConclusions Among both younger and older adults, days of extreme heat are associated with a higher risk of ED visits for any cause, heat related illness, renal disease, and mental disorders. These results suggest that the adverse health effects of extreme heat are not limited to older adults and carry important implications for the health of adults across the age spectrum.","container-title":"BMJ","DOI":"10.1136/bmj-2021-065653","ISSN":"1756-1833","journalAbbreviation":"BMJ","language":"en","license":"© Author(s) (or their employer(s)) 2019. Re-use permitted under CC BY. No commercial re-use. See rights and permissions. Published by BMJ.. http://creativecommons.org/licenses/by/4.0/This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Research\nPMID: 34819309","page":"e065653","source":"www.bmj.com","title":"Ambient heat and risks of emergency department visits among adults in the United States: time stratified case crossover study","title-short":"Ambient heat and risks of emergency department visits among adults in the United States","volume":"375","author":[{"family":"Sun","given":"Shengzhi"},{"family":"Weinberger","given":"Kate R."},{"family":"Nori-Sarma","given":"Amruta"},{"family":"Spangler","given":"Keith R."},{"family":"Sun","given":"Yuantong"},{"family":"Dominici","given":"Francesca"},{"family":"Wellenius","given":"Gregory A."}],"issued":{"date-parts":[["2021",11,25]]}}},{"id":1253,"uris":["http://zotero.org/users/9240079/items/2MSX79GC"],"itemData":{"id":1253,"type":"article-journal","abstract":"Background: \n          Outdoor air temperature is associated with increased morbidity and mortality. Other thermal indices theoretically confer greater physiological relevance by incorporating additional meteorological variables. However, the optimal metric for predicting excess deaths or hospitalizations owing to extreme heat among US Medicare beneficiaries remains unknown.\n          Methods: \n          We calculated daily maximum, minimum, and mean outdoor air temperature (T), heat index (HI), wet-bulb globe temperature (WBGT), and Universal Thermal Climate Index (UTCI) for populous US counties and linked estimates with daily all-cause mortality and heat-related hospitalizations among Medicare beneficiaries (2006–2016). We fit distributed-lag nonlinear models for each metric and compared relative risks (RRs) at the 99th percentile.\n          Results: \n          Across all heat metrics, extreme heat was statistically significantly associated with elevated risks of morbidity and mortality. Associations were more pronounced for maximum daily values versus the corresponding minimum for the same metric. The starkest example was between HImax (RR = 1.14; 95% confidence interval [CI] = 1.12, 1.15) and HImin (RR = 1.10; 95% CI = 1.09, 1.11) for hospitalizations. When comparing RRs across heat metrics, we found no statistically significant differences within the minimum and maximum heat values (i.e., no significant differences between Tmax/HImax/WBGTmax/UTCImax or between Tmin/HImin/WBGTmin/UTCImin). We found similar relationships across the National Climate Assessment regions.\n          Conclusion: \n          Among Medicare beneficiaries in populous US counties, daily maximum and mean values of outdoor heat are associated with greater RRs of heat-related morbidity and all-cause mortality versus minimum values of the same metric. The choice of heat metric (e.g., temperature versus HI) does not appear to substantively affect risk calculations in this population.","container-title":"Environmental Epidemiology","DOI":"10.1097/EE9.0000000000000261","issue":"4","language":"en-US","page":"e261","source":"journals.lww.com","title":"Does choice of outdoor heat metric affect heat-related epidemiologic analyses in the US Medicare population?","volume":"7","author":[{"family":"Spangler","given":"Keith R."},{"family":"Adams","given":"Quinn H."},{"family":"Hu","given":"Jie Kate"},{"family":"Braun","given":"Danielle"},{"family":"Weinberger","given":"Kate R."},{"family":"Dominici","given":"Francesca"},{"family":"Wellenius","given":"Gregory A."}],"issued":{"date-parts":[["2023",8]]}}}],"schema":"https://github.com/citation-style-language/schema/raw/master/csl-citation.json"} </w:instrText>
      </w:r>
      <w:r w:rsidR="00D82779">
        <w:fldChar w:fldCharType="separate"/>
      </w:r>
      <w:r w:rsidR="00D82779" w:rsidRPr="000356ED">
        <w:rPr>
          <w:vertAlign w:val="superscript"/>
        </w:rPr>
        <w:t>11–16</w:t>
      </w:r>
      <w:r w:rsidR="00D82779">
        <w:fldChar w:fldCharType="end"/>
      </w:r>
      <w:r w:rsidR="00D82779">
        <w:t xml:space="preserve"> </w:t>
      </w:r>
      <w:r w:rsidR="00320A99">
        <w:t xml:space="preserve">However, </w:t>
      </w:r>
      <w:r w:rsidR="001A7AC1">
        <w:t xml:space="preserve">a </w:t>
      </w:r>
      <w:r w:rsidR="00320A99">
        <w:t>comprehensive analyses</w:t>
      </w:r>
      <w:r w:rsidR="003A3F2D">
        <w:t xml:space="preserve"> </w:t>
      </w:r>
      <w:r w:rsidR="00136FCC">
        <w:t xml:space="preserve">has yet to be performed that includes </w:t>
      </w:r>
      <w:r w:rsidR="006C4914">
        <w:t>a population of all ages</w:t>
      </w:r>
      <w:r w:rsidR="00697632">
        <w:t xml:space="preserve"> across a large spatial area, and</w:t>
      </w:r>
      <w:r w:rsidR="00EB76C9">
        <w:t xml:space="preserve"> for</w:t>
      </w:r>
      <w:r w:rsidR="00697632">
        <w:t xml:space="preserve"> </w:t>
      </w:r>
      <w:r w:rsidR="009B277E">
        <w:t>all-cause outcomes</w:t>
      </w:r>
      <w:r w:rsidR="006C4914">
        <w:t xml:space="preserve"> </w:t>
      </w:r>
      <w:r w:rsidR="00EB76C9">
        <w:t xml:space="preserve">occurring </w:t>
      </w:r>
      <w:r w:rsidR="006C4914">
        <w:t>across</w:t>
      </w:r>
      <w:r w:rsidR="009B277E">
        <w:t xml:space="preserve"> all months </w:t>
      </w:r>
      <w:r w:rsidR="00BF011D">
        <w:t>of</w:t>
      </w:r>
      <w:r w:rsidR="006C4914">
        <w:t xml:space="preserve"> many years</w:t>
      </w:r>
      <w:r w:rsidR="003A3F2D">
        <w:t>.</w:t>
      </w:r>
    </w:p>
    <w:p w14:paraId="604907B1" w14:textId="5E597B97" w:rsidR="000210CD" w:rsidRDefault="001A7AC1">
      <w:pPr>
        <w:rPr>
          <w:rFonts w:eastAsia="Calibri"/>
        </w:rPr>
      </w:pPr>
      <w:r>
        <w:rPr>
          <w:color w:val="000000" w:themeColor="text1"/>
        </w:rPr>
        <w:tab/>
      </w:r>
      <w:r>
        <w:rPr>
          <w:color w:val="000000" w:themeColor="text1"/>
        </w:rPr>
        <w:tab/>
      </w:r>
      <w:r w:rsidR="00265645">
        <w:t>E</w:t>
      </w:r>
      <w:r w:rsidR="7C3A6AD7">
        <w:t>nhancing u</w:t>
      </w:r>
      <w:r w:rsidR="7A4362AF">
        <w:t xml:space="preserve">nderstanding </w:t>
      </w:r>
      <w:r w:rsidR="6D3D2B02">
        <w:t xml:space="preserve">of </w:t>
      </w:r>
      <w:r w:rsidR="7A4362AF">
        <w:t>the associations between</w:t>
      </w:r>
      <w:r w:rsidR="4B2FCED7">
        <w:t xml:space="preserve"> ambient</w:t>
      </w:r>
      <w:r w:rsidR="7A4362AF">
        <w:t xml:space="preserve"> </w:t>
      </w:r>
      <w:r w:rsidR="4B2FCED7">
        <w:t>temperature</w:t>
      </w:r>
      <w:r w:rsidR="7A4362AF">
        <w:t xml:space="preserve"> a</w:t>
      </w:r>
      <w:r w:rsidR="00AE13ED">
        <w:t xml:space="preserve">nd </w:t>
      </w:r>
      <w:r w:rsidR="00265645">
        <w:t>health impacts</w:t>
      </w:r>
      <w:r w:rsidR="00AE13ED">
        <w:t xml:space="preserve"> </w:t>
      </w:r>
      <w:r w:rsidR="7A4362AF">
        <w:t xml:space="preserve">is critical for </w:t>
      </w:r>
      <w:r w:rsidR="44CBD287">
        <w:t>health</w:t>
      </w:r>
      <w:r w:rsidR="00EB76C9">
        <w:t xml:space="preserve">care </w:t>
      </w:r>
      <w:r w:rsidR="44CBD287">
        <w:t>management in a</w:t>
      </w:r>
      <w:r w:rsidR="1DEE1B35">
        <w:t xml:space="preserve"> </w:t>
      </w:r>
      <w:r w:rsidR="44CBD287">
        <w:t>warm</w:t>
      </w:r>
      <w:r w:rsidR="1DEE1B35">
        <w:t>ing</w:t>
      </w:r>
      <w:r w:rsidR="44CBD287">
        <w:t xml:space="preserve"> climate</w:t>
      </w:r>
      <w:r w:rsidR="39E1E040">
        <w:t>.</w:t>
      </w:r>
      <w:r w:rsidR="006F06B5">
        <w:fldChar w:fldCharType="begin"/>
      </w:r>
      <w:r w:rsidR="00547122">
        <w:instrText xml:space="preserve"> ADDIN ZOTERO_ITEM CSL_CITATION {"citationID":"uCaRPvAj","properties":{"formattedCitation":"\\super 17,18\\nosupersub{}","plainCitation":"17,18","noteIndex":0},"citationItems":[{"id":2114,"uris":["http://zotero.org/users/9240079/items/6HVCYX7C"],"itemData":{"id":2114,"type":"article-journal","abstract":"Background\nDue to climate change, the frequency, intensity and severity of extreme weather events, such as heat waves, cold waves, storms, heavy precipitation causing wildfires, floods, and droughts are increasing, which could adversely affect human health. The purpose of this systematic review is therefore to assess the current literature about the association between these extreme weather events and their impact on the health of the European population.\nMethods\nObservational studies published from January 1, 2007 to May 17, 2020 on health effects of extreme weather events in Europe were searched systematically in Medline, Embase and Cochrane Central Register of Controlled Trials. The exposures of interest included extreme temperature, heat waves, cold waves, droughts, floods, storms and wildfires. The health impacts included total mortality, cardiovascular mortality and morbidity, respiratory mortality and morbidity, and mental health. We conducted the systematic review following PRISMA (Preferred Reporting Items for Systematic Review and Meta-analysis). The quality of the included studies was assessed using the NICE quality appraisal checklist (National Institute for Health and Care Excellence).\nResults\nThe search yielded 1472 articles, of which 35 met the inclusion criteria and were included in our review. Studies regarding five extreme weather events (extreme heat events, extreme cold events, wildfires, floods, droughts) were found. A positive association between extreme heat/cold events and overall, cardiovascular and respiratory mortality was reported from most studies. Wildfires are likely to increase the overall and cardiovascular mortality. Floods might be associated with the deterioration of mental health instead of mortality. Depending on their length, droughts could have an influence on both respiratory and cardiovascular mortality. Contradictory evidence was found in heat-associated morbidity and wildfire-associated respiratory mortality. The associations are inconclusive due to the heterogeneous study designs, study quality, exposure and outcome assessment.\nConclusions\nEvidence from most of the included studies showed that extreme heat and cold events, droughts, wildfires and floods in Europe have negative impacts on human health including mental health, although some of the associations are not conclusive. Additional high-quality studies are needed to confirm our results and further studies regarding the effects of other extreme weather events in Europe are to be expected.","container-title":"International Journal of Hygiene and Environmental Health","DOI":"10.1016/j.ijheh.2021.113688","ISSN":"1438-4639","journalAbbreviation":"International Journal of Hygiene and Environmental Health","page":"113688","source":"ScienceDirect","title":"Extreme weather events in europe and their health consequences – A systematic review","volume":"233","author":[{"family":"Weilnhammer","given":"Veronika"},{"family":"Schmid","given":"Jonas"},{"family":"Mittermeier","given":"Isabella"},{"family":"Schreiber","given":"Fabian"},{"family":"Jiang","given":"Linmiao"},{"family":"Pastuhovic","given":"Vedran"},{"family":"Herr","given":"Caroline"},{"family":"Heinze","given":"Stefanie"}],"issued":{"date-parts":[["2021",4,1]]}}},{"id":2116,"uris":["http://zotero.org/users/9240079/items/K9LTKZBR"],"itemData":{"id":2116,"type":"article-journal","container-title":"NEJM Catalyst","DOI":"10.1056/CAT.21.0454","issue":"7","note":"publisher: Massachusetts Medical Society","page":"CAT.21.0454","source":"catalyst.nejm.org (Atypon)","title":"Climate Change and Extreme Heat Events: How Health Systems Should Prepare","title-short":"Climate Change and Extreme Heat Events","volume":"3","author":[{"family":"Patel","given":"Lisa"},{"family":"Conlon","given":"Kathryn C."},{"family":"Sorensen","given":"Cecilia"},{"family":"McEachin","given":"Samia"},{"family":"Nadeau","given":"Kari"},{"family":"Kakkad","given":"Khyati"},{"family":"Kizer","given":"Kenneth W."}],"issued":{"date-parts":[["2022",6,15]]}}}],"schema":"https://github.com/citation-style-language/schema/raw/master/csl-citation.json"} </w:instrText>
      </w:r>
      <w:r w:rsidR="006F06B5">
        <w:fldChar w:fldCharType="separate"/>
      </w:r>
      <w:r w:rsidR="1C8D973B" w:rsidRPr="000356ED">
        <w:rPr>
          <w:vertAlign w:val="superscript"/>
        </w:rPr>
        <w:t>17,18</w:t>
      </w:r>
      <w:r w:rsidR="006F06B5">
        <w:fldChar w:fldCharType="end"/>
      </w:r>
      <w:r w:rsidR="44CBD287">
        <w:t xml:space="preserve"> </w:t>
      </w:r>
      <w:r w:rsidR="00110819">
        <w:t xml:space="preserve">The association between extreme temperature and mortality is “U-shaped”: </w:t>
      </w:r>
      <w:r w:rsidR="00263FF9">
        <w:t>days of</w:t>
      </w:r>
      <w:r w:rsidR="00110819">
        <w:t xml:space="preserve"> extreme heat and cold are associated with excess deaths compared to days with moderate temperatures</w:t>
      </w:r>
      <w:r w:rsidR="002C5384">
        <w:t>.</w:t>
      </w:r>
      <w:r w:rsidR="002C5384" w:rsidRPr="00EA2673">
        <w:fldChar w:fldCharType="begin"/>
      </w:r>
      <w:r w:rsidR="004835FE">
        <w:instrText xml:space="preserve"> ADDIN ZOTERO_ITEM CSL_CITATION {"citationID":"COxu5LAA","properties":{"formattedCitation":"\\super 19\\uc0\\u8211{}22\\nosupersub{}","plainCitation":"19–22","noteIndex":0},"citationItems":[{"id":2044,"uris":["http://zotero.org/users/9240079/items/JRYTPPPS"],"itemData":{"id":2044,"type":"article-journal","abstract":"Mortality due to extreme temperatures is one of the most worrying impacts of climate change. In this analysis, we use historic mortality and temperature data from 106 cities in the United States to develop a model that predicts deaths attributable to temperature. With this model and projections of future temperature from climate models, we estimate temperature-related deaths in the United States due to climate change, changing demographics, and adaptation. We find that temperature-related deaths increase rapidly as the climate warms, but this is mainly due to an expanding and aging population. For global average warming below 3°C above pre-industrial levels, we find that climate change slightly reduces temperature-related mortality in the U.S. because the reduction of cold-related mortality exceeds the increase in heat-related deaths. Above 3°C warming, whether the increase in heat-related deaths exceeds the decrease in cold-related deaths depends on the level of adaptation. Southern U.S. cities are already well adapted to hot temperatures and the reduction of cold-related mortality drives overall lower mortality. Cities in the Northern U.S. are not well adapted to high temperatures, so the increase in heat-related mortality exceeds the reduction in cold-related mortality. Thus, while the total number of climate-related mortality may not change much, climate change will shift mortality in the U.S. to higher latitudes.","container-title":"GeoHealth","DOI":"10.1029/2023GH000799","ISSN":"2471-1403","issue":"8","language":"en","license":"© 2023 The Authors. GeoHealth published by Wiley Periodicals LLC on behalf of American Geophysical Union.","note":"_eprint: https://onlinelibrary.wiley.com/doi/pdf/10.1029/2023GH000799","page":"e2023GH000799","source":"Wiley Online Library","title":"Future Temperature-Related Deaths in the U.S.: The Impact of Climate Change, Demographics, and Adaptation","title-short":"Future Temperature-Related Deaths in the U.S.","volume":"7","author":[{"family":"Lee","given":"Jangho"},{"family":"Dessler","given":"Andrew E."}],"issued":{"date-parts":[["2023"]]}}},{"id":2048,"uris":["http://zotero.org/users/9240079/items/6TKPXZUN"],"itemData":{"id":2048,"type":"article-journal","container-title":"The Lancet Planetary Health","DOI":"10.1016/S2542-5196(17)30156-0","ISSN":"2542-5196","issue":"9","journalAbbreviation":"The Lancet Planetary Health","language":"English","note":"publisher: Elsevier\nPMID: 29276803","page":"e360-e367","source":"www.thelancet.com","title":"Projections of temperature-related excess mortality under climate change scenarios","volume":"1","author":[{"family":"Gasparrini","given":"Antonio"},{"family":"Guo","given":"Yuming"},{"family":"Sera","given":"Francesco"},{"family":"Vicedo-Cabrera","given":"Ana Maria"},{"family":"Huber","given":"Veronika"},{"family":"Tong","given":"Shilu"},{"family":"Coelho","given":"Micheline de Sousa Zanotti Stagliorio"},{"family":"Saldiva","given":"Paulo Hilario Nascimento"},{"family":"Lavigne","given":"Eric"},{"family":"Correa","given":"Patricia Matus"},{"family":"Ortega","given":"Nicolas Valdes"},{"family":"Kan","given":"Haidong"},{"family":"Osorio","given":"Samuel"},{"family":"Kyselý","given":"Jan"},{"family":"Urban","given":"Aleš"},{"family":"Jaakkola","given":"Jouni J. K."},{"family":"Ryti","given":"Niilo R. I."},{"family":"Pascal","given":"Mathilde"},{"family":"Goodman","given":"Patrick G."},{"family":"Zeka","given":"Ariana"},{"family":"Michelozzi","given":"Paola"},{"family":"Scortichini","given":"Matteo"},{"family":"Hashizume","given":"Masahiro"},{"family":"Honda","given":"Yasushi"},{"family":"Hurtado-Diaz","given":"Magali"},{"family":"Cruz","given":"Julio Cesar"},{"family":"Seposo","given":"Xerxes"},{"family":"Kim","given":"Ho"},{"family":"Tobias","given":"Aurelio"},{"family":"Iñiguez","given":"Carmen"},{"family":"Forsberg","given":"Bertil"},{"family":"Åström","given":"Daniel Oudin"},{"family":"Ragettli","given":"Martina S."},{"family":"Guo","given":"Yue Leon"},{"family":"Wu","given":"Chang-fu"},{"family":"Zanobetti","given":"Antonella"},{"family":"Schwartz","given":"Joel"},{"family":"Bell","given":"Michelle L."},{"family":"Dang","given":"Tran Ngoc"},{"family":"Van","given":"Dung Do"},{"family":"Heaviside","given":"Clare"},{"family":"Vardoulakis","given":"Sotiris"},{"family":"Hajat","given":"Shakoor"},{"family":"Haines","given":"Andy"},{"family":"Armstrong","given":"Ben"}],"issued":{"date-parts":[["2017",12,1]]}}},{"id":2051,"uris":["http://zotero.org/users/9240079/items/28KPF2DC"],"itemData":{"id":2051,"type":"article-journal","abstract":"Background\nThere is an established U-shaped association between daily temperature and mortality. Temperature changes projected through the end of century are expected to lead to higher rates of heat-related mortality but also lower rates of cold-related mortality, such that the net change in temperature-related mortality will depend on location.\nObjectives\nWe quantified the change in heat-, cold-, and temperature-related mortality rates through the end of the century across 10 large US metropolitan areas.\nMethods\nWe applied location-specific projections of future temperature from over 40 downscaled climate models to exposure-response functions relating daily temperature and mortality in 10 US metropolitan areas to estimate the change in temperature-related mortality rates in 2045–2055 and 2085–2095 compared to 1992–2002, under two greenhouse gas emissions scenarios (RCP 4.5 and 8.5). We further calculated the total number of deaths attributable to temperature in 1997, 2050, and 2090 in each metropolitan area, either assuming constant population or accounting for projected population growth.\nResults\nIn each of the 10 metropolitan areas, projected future temperatures were associated with lower rates of cold-related deaths and higher rates of heat-related deaths. Under the higher-emission RCP 8.5 scenario, 8 of the 10 metropolitan areas are projected to experience a net increase in annual temperature-related deaths per million people by 2086–2095, ranging from a net increase of 627 (95% empirical confidence interval [eCI]: 239, 1018) deaths per million in Los Angeles to a net decrease of 59 (95% eCI: −485, 314) deaths per million in Boston. Applying these projected temperature-related mortality rates to projected population size underscores the large public health burden of temperature.\nConclusions\nIncreases in the heat-related death rate are projected to outweigh decreases in the cold-related death rate in 8 out of 10 cities studied under a high emissions scenario. Adhering to a lower greenhouse gas emissions scenario has the potential to substantially reduce future temperature-related mortality.","container-title":"Environment International","DOI":"10.1016/j.envint.2017.07.006","ISSN":"0160-4120","journalAbbreviation":"Environment International","page":"196-204","source":"ScienceDirect","title":"Projected temperature-related deaths in ten large U.S. metropolitan areas under different climate change scenarios","volume":"107","author":[{"family":"Weinberger","given":"Kate R."},{"family":"Haykin","given":"Leah"},{"family":"Eliot","given":"Melissa N."},{"family":"Schwartz","given":"Joel D."},{"family":"Gasparrini","given":"Antonio"},{"family":"Wellenius","given":"Gregory A."}],"issued":{"date-parts":[["2017",10,1]]}}},{"id":2290,"uris":["http://zotero.org/users/9240079/items/E2LM9J2L"],"itemData":{"id":2290,"type":"article-journal","abstract":"Extreme heat in the US is increasing due to climate change, while extreme cold is projected to decline. Understanding how extreme temperature along with demographic changes will affect population health is important for devising policies to mitigate the health outcome of climate change.To assess the burden of extreme temperature–related deaths in the contiguous US currently (2008-2019) and estimate the burden in the mid–21st century (2036-2065).This cross-sectional study used historical (1979-2000) daily mean temperatures to calculate monthly extreme heat (&amp;gt;97.5th percentile value) and extreme cold days (&amp;lt;2.5th percentile value) for all contiguous US counties for 2008 to 2019 (current period). Temperature projections from 20 climate models and county population projections were used to estimate extreme temperature–related deaths for 2036 to 2065 (mid–21st century period). Data were analyzed from November 2023 to July 2024.Current monthly frequency of extreme heat days and projected mid–21st century frequency using 2 greenhouse gas emissions scenarios: Shared Socioeconomic Pathway (SSP)2-4.5, representing socioeconomic development with a lower emissions increase, and SSP5-8.5, representing higher emissions increase.Mean annual estimated number of extreme temperature–related excess deaths. Poisson regression model with county, month, and year fixed effects was used to estimate the association between extreme temperature and monthly all-cause mortality for older adults (aged ≥65 years) and younger adults (aged 18-64 years).Across the contiguous US, extreme temperature days were associated with 8248.6 (95% CI, 4242.6-12 254.6) deaths annually in the current period and with 19 348.7 (95% CI, 11 388.7-27 308.6) projected deaths in the SSP2-4.5 scenario and 26 574.0 (95% CI, 15 408.0-37 740.1) in the SSP5-8.5 scenario. The mortality data included 30 924 133 decedents, of whom 15 573 699 were males (50.4%), with 6.3% of Hispanic ethnicity, 11.5% of non-Hispanic Black race, and 79.3% of non-Hispanic White race. Non-Hispanic Black adults (278.2%; 95% CI, 158.9%-397.5%) and Hispanic adults (537.5%; 95% CI, 261.6%-813.4%) were projected to have greater increases in extreme temperature–related deaths from the current period to the mid–21st century period compared with non-Hispanic White adults (70.8%; 95% CI, −5.8% to 147.3%).This cross-sectional study found that extreme temperature–related deaths in the contiguous US were projected to increase substantially by mid–21st century, with certain populations, such as non-Hispanic Black and Hispanic adults, projected to disproportionately experience this increase. The results point to the need to mitigate the adverse outcome of extreme temperatures for population health.","container-title":"JAMA Network Open","DOI":"10.1001/jamanetworkopen.2024.34942","ISSN":"2574-3805","issue":"9","journalAbbreviation":"JAMA Network Open","page":"e2434942","source":"Silverchair","title":"Projections of Extreme Temperature–Related Deaths in the US","volume":"7","author":[{"family":"Khatana","given":"Sameed Ahmed M."},{"family":"Szeto","given":"Jonathan J."},{"family":"Eberly","given":"Lauren A."},{"family":"Nathan","given":"Ashwin S."},{"family":"Puvvula","given":"Jagadeesh"},{"family":"Chen","given":"Aimin"}],"issued":{"date-parts":[["2024",9,20]]}}}],"schema":"https://github.com/citation-style-language/schema/raw/master/csl-citation.json"} </w:instrText>
      </w:r>
      <w:r w:rsidR="002C5384" w:rsidRPr="00EA2673">
        <w:fldChar w:fldCharType="separate"/>
      </w:r>
      <w:r w:rsidR="004835FE" w:rsidRPr="004835FE">
        <w:rPr>
          <w:vertAlign w:val="superscript"/>
        </w:rPr>
        <w:t>19–22</w:t>
      </w:r>
      <w:r w:rsidR="002C5384" w:rsidRPr="00EA2673">
        <w:fldChar w:fldCharType="end"/>
      </w:r>
      <w:r w:rsidR="00110819">
        <w:t xml:space="preserve"> </w:t>
      </w:r>
      <w:r w:rsidR="009A0D56">
        <w:t>In the US, climate models project f</w:t>
      </w:r>
      <w:r w:rsidR="002C5384">
        <w:t>ewer extremely cold days and more extremely hot days in the coming decades.</w:t>
      </w:r>
      <w:r w:rsidR="002C5384" w:rsidRPr="0016634A">
        <w:fldChar w:fldCharType="begin"/>
      </w:r>
      <w:r w:rsidR="004835FE">
        <w:instrText xml:space="preserve"> ADDIN ZOTERO_ITEM CSL_CITATION {"citationID":"npUHE2y1","properties":{"formattedCitation":"\\super 23,24\\nosupersub{}","plainCitation":"23,24","noteIndex":0},"citationItems":[{"id":2054,"uris":["http://zotero.org/users/9240079/items/NZJUZTH3"],"itemData":{"id":2054,"type":"article-journal","abstract":"Projections of future climate change play a fundamental role in improving understanding of the climate system as well as characterizing societal risks and response options. The Scenario Model Intercomparison Project (ScenarioMIP) is the primary activity within Phase 6 of the Coupled Model Intercomparison Project (CMIP6) that will provide multi-model climate projections based on alternative scenarios of future emissions and land use changes produced with integrated assessment models. In this paper, we describe ScenarioMIP's objectives, experimental design, and its relation to other activities within CMIP6. The ScenarioMIP design is one component of a larger scenario process that aims to facilitate a wide range of integrated studies across the climate science, integrated assessment modeling, and impacts, adaptation, and vulnerability communities, and will form an important part of the evidence base in the forthcoming Intergovernmental Panel on Climate Change (IPCC) assessments. At the same time, it will provide the basis for investigating a number of targeted science and policy questions that are especially relevant to scenario-based analysis, including the role of specific forcings such as land use and aerosols, the effect of a peak and decline in forcing, the consequences of scenarios that limit warming to below 2 °C, the relative contributions to uncertainty from scenarios, climate models, and internal variability, and long-term climate system outcomes beyond the 21st century. To serve this wide range of scientific communities and address these questions, a design has been identified consisting of eight alternative 21st century scenarios plus one large initial condition ensemble and a set of long-term extensions, divided into two tiers defined by relative priority. Some of these scenarios will also provide a basis for variants planned to be run in other CMIP6-Endorsed MIPs to investigate questions related to specific forcings. Harmonized, spatially explicit emissions and land use scenarios generated with integrated assessment models will be provided to participating climate modeling groups by late 2016, with the climate model simulations run within the 2017–2018 time frame, and output from the climate model projections made available and analyses performed over the 2018–2020 period.","container-title":"Geoscientific Model Development","DOI":"10.5194/gmd-9-3461-2016","ISSN":"1991-959X","issue":"9","language":"English","note":"publisher: Copernicus GmbH","page":"3461-3482","source":"Copernicus Online Journals","title":"The Scenario Model Intercomparison Project (ScenarioMIP) for CMIP6","volume":"9","author":[{"family":"O'Neill","given":"Brian C."},{"family":"Tebaldi","given":"Claudia"},{"family":"Vuuren","given":"Detlef P.","non-dropping-particle":"van"},{"family":"Eyring","given":"Veronika"},{"family":"Friedlingstein","given":"Pierre"},{"family":"Hurtt","given":"George"},{"family":"Knutti","given":"Reto"},{"family":"Kriegler","given":"Elmar"},{"family":"Lamarque","given":"Jean-Francois"},{"family":"Lowe","given":"Jason"},{"family":"Meehl","given":"Gerald A."},{"family":"Moss","given":"Richard"},{"family":"Riahi","given":"Keywan"},{"family":"Sanderson","given":"Benjamin M."}],"issued":{"date-parts":[["2016",9,28]]}}},{"id":2039,"uris":["http://zotero.org/users/9240079/items/IAFKI5GA"],"itemData":{"id":2039,"type":"article-journal","abstract":"Global surface temperature has increased ≈0.2°C per decade in the past 30 years, similar to the warming rate predicted in the 1980s in initial global climate model simulations with transient greenhouse gas changes. Warming is larger in the Western Equatorial Pacific than in the Eastern Equatorial Pacific over the past century, and we suggest that the increased West–East temperature gradient may have increased the likelihood of strong El Niños, such as those of 1983 and 1998. Comparison of measured sea surface temperatures in the Western Pacific with paleoclimate data suggests that this critical ocean region, and probably the planet as a whole, is approximately as warm now as at the Holocene maximum and within ≈1°C of the maximum temperature of the past million years. We conclude that global warming of more than ≈1°C, relative to 2000, will constitute “dangerous” climate change as judged from likely effects on sea level and extermination of species.","container-title":"Proceedings of the National Academy of Sciences","DOI":"10.1073/pnas.0606291103","issue":"39","note":"publisher: Proceedings of the National Academy of Sciences","page":"14288-14293","source":"pnas.org (Atypon)","title":"Global temperature change","volume":"103","author":[{"family":"Hansen","given":"James"},{"family":"Sato","given":"Makiko"},{"family":"Ruedy","given":"Reto"},{"family":"Lo","given":"Ken"},{"family":"Lea","given":"David W."},{"family":"Medina-Elizade","given":"Martin"}],"issued":{"date-parts":[["2006",9,26]]}}}],"schema":"https://github.com/citation-style-language/schema/raw/master/csl-citation.json"} </w:instrText>
      </w:r>
      <w:r w:rsidR="002C5384" w:rsidRPr="0016634A">
        <w:fldChar w:fldCharType="separate"/>
      </w:r>
      <w:r w:rsidR="004835FE" w:rsidRPr="004835FE">
        <w:rPr>
          <w:vertAlign w:val="superscript"/>
        </w:rPr>
        <w:t>23,24</w:t>
      </w:r>
      <w:r w:rsidR="002C5384" w:rsidRPr="0016634A">
        <w:fldChar w:fldCharType="end"/>
      </w:r>
      <w:r w:rsidR="002C5384">
        <w:t xml:space="preserve">  </w:t>
      </w:r>
      <w:r w:rsidR="00110819">
        <w:t>Therefore, a</w:t>
      </w:r>
      <w:r w:rsidR="16A7F0AD">
        <w:t xml:space="preserve"> reduction in </w:t>
      </w:r>
      <w:r w:rsidR="6F9847DE">
        <w:t xml:space="preserve">the number of </w:t>
      </w:r>
      <w:r w:rsidR="16A7F0AD">
        <w:t>extremely cold days</w:t>
      </w:r>
      <w:r w:rsidR="6F9847DE">
        <w:t xml:space="preserve"> </w:t>
      </w:r>
      <w:r w:rsidR="202610E5">
        <w:t>is estimated to be associated with</w:t>
      </w:r>
      <w:r w:rsidR="354B9665">
        <w:t xml:space="preserve"> a reduction in cold-related deaths</w:t>
      </w:r>
      <w:r w:rsidR="1B357172">
        <w:t xml:space="preserve">, </w:t>
      </w:r>
      <w:r w:rsidR="00EB76C9">
        <w:t>and an</w:t>
      </w:r>
      <w:r w:rsidR="33B6A9DA">
        <w:t xml:space="preserve"> increase in heat-related deaths</w:t>
      </w:r>
      <w:r w:rsidR="006719F7">
        <w:t>, thus attenuating the overall impact of warmer temperatures on mortality</w:t>
      </w:r>
      <w:r w:rsidR="39E1E040">
        <w:t>.</w:t>
      </w:r>
      <w:r w:rsidR="00F36EF1" w:rsidRPr="00EA2673">
        <w:fldChar w:fldCharType="begin"/>
      </w:r>
      <w:r w:rsidR="004835FE">
        <w:instrText xml:space="preserve"> ADDIN ZOTERO_ITEM CSL_CITATION {"citationID":"DQmjK9Jc","properties":{"formattedCitation":"\\super 19\\uc0\\u8211{}22\\nosupersub{}","plainCitation":"19–22","noteIndex":0},"citationItems":[{"id":2044,"uris":["http://zotero.org/users/9240079/items/JRYTPPPS"],"itemData":{"id":2044,"type":"article-journal","abstract":"Mortality due to extreme temperatures is one of the most worrying impacts of climate change. In this analysis, we use historic mortality and temperature data from 106 cities in the United States to develop a model that predicts deaths attributable to temperature. With this model and projections of future temperature from climate models, we estimate temperature-related deaths in the United States due to climate change, changing demographics, and adaptation. We find that temperature-related deaths increase rapidly as the climate warms, but this is mainly due to an expanding and aging population. For global average warming below 3°C above pre-industrial levels, we find that climate change slightly reduces temperature-related mortality in the U.S. because the reduction of cold-related mortality exceeds the increase in heat-related deaths. Above 3°C warming, whether the increase in heat-related deaths exceeds the decrease in cold-related deaths depends on the level of adaptation. Southern U.S. cities are already well adapted to hot temperatures and the reduction of cold-related mortality drives overall lower mortality. Cities in the Northern U.S. are not well adapted to high temperatures, so the increase in heat-related mortality exceeds the reduction in cold-related mortality. Thus, while the total number of climate-related mortality may not change much, climate change will shift mortality in the U.S. to higher latitudes.","container-title":"GeoHealth","DOI":"10.1029/2023GH000799","ISSN":"2471-1403","issue":"8","language":"en","license":"© 2023 The Authors. GeoHealth published by Wiley Periodicals LLC on behalf of American Geophysical Union.","note":"_eprint: https://onlinelibrary.wiley.com/doi/pdf/10.1029/2023GH000799","page":"e2023GH000799","source":"Wiley Online Library","title":"Future Temperature-Related Deaths in the U.S.: The Impact of Climate Change, Demographics, and Adaptation","title-short":"Future Temperature-Related Deaths in the U.S.","volume":"7","author":[{"family":"Lee","given":"Jangho"},{"family":"Dessler","given":"Andrew E."}],"issued":{"date-parts":[["2023"]]}}},{"id":2048,"uris":["http://zotero.org/users/9240079/items/6TKPXZUN"],"itemData":{"id":2048,"type":"article-journal","container-title":"The Lancet Planetary Health","DOI":"10.1016/S2542-5196(17)30156-0","ISSN":"2542-5196","issue":"9","journalAbbreviation":"The Lancet Planetary Health","language":"English","note":"publisher: Elsevier\nPMID: 29276803","page":"e360-e367","source":"www.thelancet.com","title":"Projections of temperature-related excess mortality under climate change scenarios","volume":"1","author":[{"family":"Gasparrini","given":"Antonio"},{"family":"Guo","given":"Yuming"},{"family":"Sera","given":"Francesco"},{"family":"Vicedo-Cabrera","given":"Ana Maria"},{"family":"Huber","given":"Veronika"},{"family":"Tong","given":"Shilu"},{"family":"Coelho","given":"Micheline de Sousa Zanotti Stagliorio"},{"family":"Saldiva","given":"Paulo Hilario Nascimento"},{"family":"Lavigne","given":"Eric"},{"family":"Correa","given":"Patricia Matus"},{"family":"Ortega","given":"Nicolas Valdes"},{"family":"Kan","given":"Haidong"},{"family":"Osorio","given":"Samuel"},{"family":"Kyselý","given":"Jan"},{"family":"Urban","given":"Aleš"},{"family":"Jaakkola","given":"Jouni J. K."},{"family":"Ryti","given":"Niilo R. I."},{"family":"Pascal","given":"Mathilde"},{"family":"Goodman","given":"Patrick G."},{"family":"Zeka","given":"Ariana"},{"family":"Michelozzi","given":"Paola"},{"family":"Scortichini","given":"Matteo"},{"family":"Hashizume","given":"Masahiro"},{"family":"Honda","given":"Yasushi"},{"family":"Hurtado-Diaz","given":"Magali"},{"family":"Cruz","given":"Julio Cesar"},{"family":"Seposo","given":"Xerxes"},{"family":"Kim","given":"Ho"},{"family":"Tobias","given":"Aurelio"},{"family":"Iñiguez","given":"Carmen"},{"family":"Forsberg","given":"Bertil"},{"family":"Åström","given":"Daniel Oudin"},{"family":"Ragettli","given":"Martina S."},{"family":"Guo","given":"Yue Leon"},{"family":"Wu","given":"Chang-fu"},{"family":"Zanobetti","given":"Antonella"},{"family":"Schwartz","given":"Joel"},{"family":"Bell","given":"Michelle L."},{"family":"Dang","given":"Tran Ngoc"},{"family":"Van","given":"Dung Do"},{"family":"Heaviside","given":"Clare"},{"family":"Vardoulakis","given":"Sotiris"},{"family":"Hajat","given":"Shakoor"},{"family":"Haines","given":"Andy"},{"family":"Armstrong","given":"Ben"}],"issued":{"date-parts":[["2017",12,1]]}}},{"id":2051,"uris":["http://zotero.org/users/9240079/items/28KPF2DC"],"itemData":{"id":2051,"type":"article-journal","abstract":"Background\nThere is an established U-shaped association between daily temperature and mortality. Temperature changes projected through the end of century are expected to lead to higher rates of heat-related mortality but also lower rates of cold-related mortality, such that the net change in temperature-related mortality will depend on location.\nObjectives\nWe quantified the change in heat-, cold-, and temperature-related mortality rates through the end of the century across 10 large US metropolitan areas.\nMethods\nWe applied location-specific projections of future temperature from over 40 downscaled climate models to exposure-response functions relating daily temperature and mortality in 10 US metropolitan areas to estimate the change in temperature-related mortality rates in 2045–2055 and 2085–2095 compared to 1992–2002, under two greenhouse gas emissions scenarios (RCP 4.5 and 8.5). We further calculated the total number of deaths attributable to temperature in 1997, 2050, and 2090 in each metropolitan area, either assuming constant population or accounting for projected population growth.\nResults\nIn each of the 10 metropolitan areas, projected future temperatures were associated with lower rates of cold-related deaths and higher rates of heat-related deaths. Under the higher-emission RCP 8.5 scenario, 8 of the 10 metropolitan areas are projected to experience a net increase in annual temperature-related deaths per million people by 2086–2095, ranging from a net increase of 627 (95% empirical confidence interval [eCI]: 239, 1018) deaths per million in Los Angeles to a net decrease of 59 (95% eCI: −485, 314) deaths per million in Boston. Applying these projected temperature-related mortality rates to projected population size underscores the large public health burden of temperature.\nConclusions\nIncreases in the heat-related death rate are projected to outweigh decreases in the cold-related death rate in 8 out of 10 cities studied under a high emissions scenario. Adhering to a lower greenhouse gas emissions scenario has the potential to substantially reduce future temperature-related mortality.","container-title":"Environment International","DOI":"10.1016/j.envint.2017.07.006","ISSN":"0160-4120","journalAbbreviation":"Environment International","page":"196-204","source":"ScienceDirect","title":"Projected temperature-related deaths in ten large U.S. metropolitan areas under different climate change scenarios","volume":"107","author":[{"family":"Weinberger","given":"Kate R."},{"family":"Haykin","given":"Leah"},{"family":"Eliot","given":"Melissa N."},{"family":"Schwartz","given":"Joel D."},{"family":"Gasparrini","given":"Antonio"},{"family":"Wellenius","given":"Gregory A."}],"issued":{"date-parts":[["2017",10,1]]}}},{"id":2290,"uris":["http://zotero.org/users/9240079/items/E2LM9J2L"],"itemData":{"id":2290,"type":"article-journal","abstract":"Extreme heat in the US is increasing due to climate change, while extreme cold is projected to decline. Understanding how extreme temperature along with demographic changes will affect population health is important for devising policies to mitigate the health outcome of climate change.To assess the burden of extreme temperature–related deaths in the contiguous US currently (2008-2019) and estimate the burden in the mid–21st century (2036-2065).This cross-sectional study used historical (1979-2000) daily mean temperatures to calculate monthly extreme heat (&amp;gt;97.5th percentile value) and extreme cold days (&amp;lt;2.5th percentile value) for all contiguous US counties for 2008 to 2019 (current period). Temperature projections from 20 climate models and county population projections were used to estimate extreme temperature–related deaths for 2036 to 2065 (mid–21st century period). Data were analyzed from November 2023 to July 2024.Current monthly frequency of extreme heat days and projected mid–21st century frequency using 2 greenhouse gas emissions scenarios: Shared Socioeconomic Pathway (SSP)2-4.5, representing socioeconomic development with a lower emissions increase, and SSP5-8.5, representing higher emissions increase.Mean annual estimated number of extreme temperature–related excess deaths. Poisson regression model with county, month, and year fixed effects was used to estimate the association between extreme temperature and monthly all-cause mortality for older adults (aged ≥65 years) and younger adults (aged 18-64 years).Across the contiguous US, extreme temperature days were associated with 8248.6 (95% CI, 4242.6-12 254.6) deaths annually in the current period and with 19 348.7 (95% CI, 11 388.7-27 308.6) projected deaths in the SSP2-4.5 scenario and 26 574.0 (95% CI, 15 408.0-37 740.1) in the SSP5-8.5 scenario. The mortality data included 30 924 133 decedents, of whom 15 573 699 were males (50.4%), with 6.3% of Hispanic ethnicity, 11.5% of non-Hispanic Black race, and 79.3% of non-Hispanic White race. Non-Hispanic Black adults (278.2%; 95% CI, 158.9%-397.5%) and Hispanic adults (537.5%; 95% CI, 261.6%-813.4%) were projected to have greater increases in extreme temperature–related deaths from the current period to the mid–21st century period compared with non-Hispanic White adults (70.8%; 95% CI, −5.8% to 147.3%).This cross-sectional study found that extreme temperature–related deaths in the contiguous US were projected to increase substantially by mid–21st century, with certain populations, such as non-Hispanic Black and Hispanic adults, projected to disproportionately experience this increase. The results point to the need to mitigate the adverse outcome of extreme temperatures for population health.","container-title":"JAMA Network Open","DOI":"10.1001/jamanetworkopen.2024.34942","ISSN":"2574-3805","issue":"9","journalAbbreviation":"JAMA Network Open","page":"e2434942","source":"Silverchair","title":"Projections of Extreme Temperature–Related Deaths in the US","volume":"7","author":[{"family":"Khatana","given":"Sameed Ahmed M."},{"family":"Szeto","given":"Jonathan J."},{"family":"Eberly","given":"Lauren A."},{"family":"Nathan","given":"Ashwin S."},{"family":"Puvvula","given":"Jagadeesh"},{"family":"Chen","given":"Aimin"}],"issued":{"date-parts":[["2024",9,20]]}}}],"schema":"https://github.com/citation-style-language/schema/raw/master/csl-citation.json"} </w:instrText>
      </w:r>
      <w:r w:rsidR="00F36EF1" w:rsidRPr="00EA2673">
        <w:fldChar w:fldCharType="separate"/>
      </w:r>
      <w:r w:rsidR="004835FE" w:rsidRPr="004835FE">
        <w:rPr>
          <w:vertAlign w:val="superscript"/>
        </w:rPr>
        <w:t>19–22</w:t>
      </w:r>
      <w:r w:rsidR="00F36EF1" w:rsidRPr="00EA2673">
        <w:fldChar w:fldCharType="end"/>
      </w:r>
      <w:r w:rsidR="1A6B78AC">
        <w:t xml:space="preserve"> </w:t>
      </w:r>
      <w:r w:rsidR="4EFF530C">
        <w:t xml:space="preserve">The same </w:t>
      </w:r>
      <w:r w:rsidR="1081265A">
        <w:t xml:space="preserve">pattern does not necessarily hold </w:t>
      </w:r>
      <w:r w:rsidR="250EA861">
        <w:t xml:space="preserve">for </w:t>
      </w:r>
      <w:r w:rsidR="007D22D5">
        <w:t>illness</w:t>
      </w:r>
      <w:r w:rsidR="6CD29F52">
        <w:t xml:space="preserve">. </w:t>
      </w:r>
      <w:r w:rsidR="00525972">
        <w:t>R</w:t>
      </w:r>
      <w:r w:rsidR="49A06752">
        <w:t>esults are mixed as to</w:t>
      </w:r>
      <w:r w:rsidR="777E3C27">
        <w:t xml:space="preserve"> whether the </w:t>
      </w:r>
      <w:r w:rsidR="2FA5D4C9">
        <w:t xml:space="preserve">association between </w:t>
      </w:r>
      <w:r w:rsidR="1BA11BA8">
        <w:t xml:space="preserve">year-round </w:t>
      </w:r>
      <w:r w:rsidR="2FA5D4C9">
        <w:t xml:space="preserve">temperature and </w:t>
      </w:r>
      <w:r w:rsidR="00EB76C9">
        <w:t>illness</w:t>
      </w:r>
      <w:r w:rsidR="2FA5D4C9">
        <w:t xml:space="preserve"> is “</w:t>
      </w:r>
      <w:r w:rsidR="009A0D56">
        <w:t>U-shaped”</w:t>
      </w:r>
      <w:r w:rsidR="3A8261A7">
        <w:t xml:space="preserve"> </w:t>
      </w:r>
      <w:r w:rsidR="00EB76C9">
        <w:t>or</w:t>
      </w:r>
      <w:r w:rsidR="3A8261A7">
        <w:t xml:space="preserve"> </w:t>
      </w:r>
      <w:r w:rsidR="2FA5D4C9">
        <w:t>monotonically increasing</w:t>
      </w:r>
      <w:r w:rsidR="39E1E040">
        <w:t>.</w:t>
      </w:r>
      <w:r w:rsidR="00870E08" w:rsidRPr="00EA2673">
        <w:fldChar w:fldCharType="begin"/>
      </w:r>
      <w:r w:rsidR="004835FE">
        <w:instrText xml:space="preserve"> ADDIN ZOTERO_ITEM CSL_CITATION {"citationID":"akSoRGru","properties":{"formattedCitation":"\\super 21,25\\uc0\\u8211{}30\\nosupersub{}","plainCitation":"21,25–30","noteIndex":0},"citationItems":[{"id":2051,"uris":["http://zotero.org/users/9240079/items/28KPF2DC"],"itemData":{"id":2051,"type":"article-journal","abstract":"Background\nThere is an established U-shaped association between daily temperature and mortality. Temperature changes projected through the end of century are expected to lead to higher rates of heat-related mortality but also lower rates of cold-related mortality, such that the net change in temperature-related mortality will depend on location.\nObjectives\nWe quantified the change in heat-, cold-, and temperature-related mortality rates through the end of the century across 10 large US metropolitan areas.\nMethods\nWe applied location-specific projections of future temperature from over 40 downscaled climate models to exposure-response functions relating daily temperature and mortality in 10 US metropolitan areas to estimate the change in temperature-related mortality rates in 2045–2055 and 2085–2095 compared to 1992–2002, under two greenhouse gas emissions scenarios (RCP 4.5 and 8.5). We further calculated the total number of deaths attributable to temperature in 1997, 2050, and 2090 in each metropolitan area, either assuming constant population or accounting for projected population growth.\nResults\nIn each of the 10 metropolitan areas, projected future temperatures were associated with lower rates of cold-related deaths and higher rates of heat-related deaths. Under the higher-emission RCP 8.5 scenario, 8 of the 10 metropolitan areas are projected to experience a net increase in annual temperature-related deaths per million people by 2086–2095, ranging from a net increase of 627 (95% empirical confidence interval [eCI]: 239, 1018) deaths per million in Los Angeles to a net decrease of 59 (95% eCI: −485, 314) deaths per million in Boston. Applying these projected temperature-related mortality rates to projected population size underscores the large public health burden of temperature.\nConclusions\nIncreases in the heat-related death rate are projected to outweigh decreases in the cold-related death rate in 8 out of 10 cities studied under a high emissions scenario. Adhering to a lower greenhouse gas emissions scenario has the potential to substantially reduce future temperature-related mortality.","container-title":"Environment International","DOI":"10.1016/j.envint.2017.07.006","ISSN":"0160-4120","journalAbbreviation":"Environment International","page":"196-204","source":"ScienceDirect","title":"Projected temperature-related deaths in ten large U.S. metropolitan areas under different climate change scenarios","volume":"107","author":[{"family":"Weinberger","given":"Kate R."},{"family":"Haykin","given":"Leah"},{"family":"Eliot","given":"Melissa N."},{"family":"Schwartz","given":"Joel D."},{"family":"Gasparrini","given":"Antonio"},{"family":"Wellenius","given":"Gregory A."}],"issued":{"date-parts":[["2017",10,1]]}}},{"id":2062,"uris":["http://zotero.org/users/9240079/items/8YZPLDTL"],"itemData":{"id":2062,"type":"article-journal","abstract":"Many studies have examined the association between ambient temperature and mortality. However, less evidence is available on the temperature effects on gender- and age-specific emergency department visits, especially in developing countries. In this study, we examined the short-term effects of daily ambient temperature on emergency department visits (ED visits) in Shanghai.","container-title":"Environmental Health","DOI":"10.1186/1476-069X-13-100","ISSN":"1476-069X","issue":"1","journalAbbreviation":"Environ Health","language":"en","page":"100","source":"Springer Link","title":"Effect of ambient temperature on emergency department visits in Shanghai, China: a time series study","title-short":"Effect of ambient temperature on emergency department visits in Shanghai, China","volume":"13","author":[{"family":"Zhang","given":"Yue"},{"family":"Yan","given":"Chenyang"},{"family":"Kan","given":"Haidong"},{"family":"Cao","given":"Junshan"},{"family":"Peng","given":"Li"},{"family":"Xu","given":"Jianming"},{"family":"Wang","given":"Weibing"}],"issued":{"date-parts":[["2014",11,25]]}}},{"id":2078,"uris":["http://zotero.org/users/9240079/items/WHQ8Y4MJ"],"itemData":{"id":2078,"type":"article-journal","abstract":"In July 2013, an extended heat episode with extreme high temperature covered Pudong New Area, the largest district in Shanghai. The current study estimates the impacts of temperature and heat waves on emergency department visits (EDV) and emergency ambulance dispatches (EAD) using time-series approaches in Pudong, from 2011 to 2013.","container-title":"Environmental Health","DOI":"10.1186/1476-069X-13-76","ISSN":"1476-069X","issue":"1","journalAbbreviation":"Environ Health","language":"en","page":"76","source":"Springer Link","title":"Effects of temperature and heat waves on emergency department visits and emergency ambulance dispatches in Pudong New Area, China: a time series analysis","title-short":"Effects of temperature and heat waves on emergency department visits and emergency ambulance dispatches in Pudong New Area, China","volume":"13","author":[{"family":"Sun","given":"Xiaoming"},{"family":"Sun","given":"Qiao"},{"family":"Yang","given":"Minjuan"},{"family":"Zhou","given":"Xianfeng"},{"family":"Li","given":"Xiaopan"},{"family":"Yu","given":"Aiqing"},{"family":"Geng","given":"Fuhai"},{"family":"Guo","given":"Yuming"}],"issued":{"date-parts":[["2014",10,2]]}}},{"id":2080,"uris":["http://zotero.org/users/9240079/items/LL7Q4LBK"],"itemData":{"id":2080,"type":"article","abstract":"Increased temperature-related mortality is predicted to be one of the largest contributors to future economic damages from climate change globally, with declines in cold-related deaths in some regions outweighed by increases in heat-related deaths in others. Changes in temperature could also affect non-fatal health outcomes, whose aggregate societal burden is large, yet much less is known about how temperature affects the overall level and distribution of morbidity. Using georeferenced data on emergency department visits, mortality, and daily temperatures across California from 2006-2017, we show that the effect of temperature on mortality differs substantially from its effect on ED visits: mortality increases under extreme heat and cold, whereas ED visits increase under extreme heat but decline under extreme cold. These differential responses fundamentally shape the burden of future climate change: we predict that mortality in California will decrease by 0.32% due to changes in temperatures by mid-century, with declining cold deaths outweighing increasing heat deaths, but that ED visits will increase by 0.46% over the same period in the state, representing a total of 1.9 million excess visits. Our findings suggest that projected impacts of future warming on mortality, including benefits in many areas, might be a poor guide for morbidity impacts.","collection-title":"Working Paper Series","DOI":"10.3386/w32195","genre":"Working Paper","note":"DOI: 10.3386/w32195","number":"32195","publisher":"National Bureau of Economic Research","source":"National Bureau of Economic Research","title":"Temperature Extremes Impact Mortality and Morbidity Differently","URL":"https://www.nber.org/papers/w32195","author":[{"family":"Gould","given":"Carlos F."},{"family":"Heft-Neal","given":"Sam"},{"family":"Heaney","given":"Alexandra K."},{"family":"Bendavid","given":"Eran"},{"family":"Callahan","given":"Christopher W."},{"family":"Kiang","given":"Mathew"},{"family":"Graff Zivin","given":"Joshua S."},{"family":"Burke","given":"Marshall"}],"accessed":{"date-parts":[["2024",7,29]]},"issued":{"date-parts":[["2024",3]]}}},{"id":2070,"uris":["http://zotero.org/users/9240079/items/8T953PKC"],"itemData":{"id":2070,"type":"article-journal","abstract":"Background:Climate change is expected to cause increases in heat-related mortality, especially among the elderly and very young. However, additional studies are needed to clarify the effects of heat on morbidity across all age groups and across a wider range of temperatures.Objectives:We aimed to estimate the impact of current and projected future temperatures on morbidity and mortality in Rhode Island.Methods:We used Poisson regression models to estimate the association between daily maximum temperature and rates of all-cause and heat-related emergency department (ED) admissions and all-cause mortality. We then used downscaled Coupled Model Intercomparison Project Phase 5 (CMIP5; a standardized set of climate change model simulations) projections to estimate the excess morbidity and mortality that would be observed if this population were exposed to the temperatures projected for 2046–2053 and 2092–2099 under two representative concentration pathways (RCP): RCP 8.5 and 4.5.Results:Between 2005 and 2012, an increase in maximum daily temperature from 75 to 85°F was associated with 1.3% and 23.9% higher rates of all-cause and heat-related ED visits, respectively. The corresponding effect estimate for all-cause mortality from 1999 through 2011 was 4.0%. The association with all-cause ED admissions was strongest for those &lt; 18 or ≥ 65 years of age, whereas the association with heat-related ED admissions was most pronounced among 18- to 64-year-olds. If this Rhode Island population were exposed to temperatures projected under RCP 8.5 for 2092–2099, we estimate that there would be 1.2% (range, 0.6–1.6%) and 24.4% (range, 6.9–41.8%) more all-cause and heat-related ED admissions, respectively, and 1.6% (range, 0.8–2.1%) more deaths annually between April and October.Conclusions:With all other factors held constant, our findings suggest that the current population of Rhode Island would experience substantially higher morbidity and mortality if maximum daily temperatures increase further as projected.Citation:Kingsley SL, Eliot MN, Gold J, Vanderslice RR, Wellenius GA. 2016. Current and projected heat-related morbidity and mortality in Rhode Island. Environ Health Perspect 124:460–467; http://dx.doi.org/10.1289/ehp.1408826","container-title":"Environmental Health Perspectives","DOI":"10.1289/ehp.1408826","issue":"4","note":"publisher: Environmental Health Perspectives","page":"460-467","source":"ehp.niehs.nih.gov (Atypon)","title":"Current and Projected Heat-Related Morbidity and Mortality in Rhode Island","volume":"124","author":[{"family":"Kingsley","given":"Samantha L."},{"family":"Eliot","given":"Melissa N."},{"family":"Gold","given":"Julia"},{"family":"Vanderslice","given":"Robert R."},{"family":"Wellenius","given":"Gregory A."}],"issued":{"date-parts":[["2016",4]]}}},{"id":2122,"uris":["http://zotero.org/users/9240079/items/7HJ3Q3PB"],"itemData":{"id":2122,"type":"article-journal","abstract":"Background\nExtreme temperatures and temperature changes are known indicators of climate change, and large temperature variations for several consecutive days may affect human health such as exacerbating respiratory symptoms. The objective of this study was to determine the association between outdoor temperature change and asthma-related emergency department visits. In particular, this study examined seasonality and identified susceptible populations, such as the elderly.\nMethods\nThe health data for asthma-related emergency department visits were collected from July 1, 2007, to December 31, 2010 in Seoul, Korea, through the National Emergency Department Information System of the National Emergency Medical Center and we defined temperature change as the absolute difference of mean temperature between the current day and the previous day. We applied generalized linear models with an allowance of over-dispersion for quantifying the estimated effects of temperature change on asthma-related emergency department visits, adjusting for meteorological conditions, air pollution, and time trend.\nResults\nIn general, temperature change was adversely associated with asthma-related emergency department visits, with a 1-unit increase of temperature change associated with a 3.5% (95% CI 0.7, 6.4%) increase in emergency department visits. In addition, seasonal variation after adjusting for mean temperature and diurnal temperature range had an adverse effect in spring, summer, and fall and a protective effect in winter. Patients aged ≥65 years experienced the most prominent effect during the fall, with a 17.9% (95% CI 4.1, 33.6%) increase in emergency department visits per 1-unit increase of temperature change, whereas the other seasons showed no statistically significant association.\nConclusions\nAlong with diurnal temperature range, temperature change may be an alternative indicator of climate change. Temperature change variables are well-known and easy to communicate with the public relative to the health effects of outdoor temperature fluctuations.","container-title":"Environmental Research","DOI":"10.1016/j.envres.2014.07.032","ISSN":"0013-9351","journalAbbreviation":"Environmental Research","page":"15-20","source":"ScienceDirect","title":"Outdoor temperature changes and emergency department visits for asthma in Seoul, Korea: A time-series study","title-short":"Outdoor temperature changes and emergency department visits for asthma in Seoul, Korea","volume":"135","author":[{"family":"Kim","given":"Jayeun"},{"family":"Lim","given":"Younhee"},{"family":"Kim","given":"Ho"}],"issued":{"date-parts":[["2014",11,1]]}}},{"id":2066,"uris":["http://zotero.org/users/9240079/items/JKXXVDA9"],"itemData":{"id":2066,"type":"article-journal","abstract":"Background\nThe association between ambient temperature and mortality has been well documented worldwide. However, limited data are available on nonfatal health outcomes, such as emergency department visits (EDVs), particularly from China.\nObjectives\nTo examine the temperature-EDV association in 12 Chinese cities; and to assess the modification effects by region, gender and age.\nMethods\nDaily meteorological data and non-accidental EDVs were collected during 2011–2014. Poisson regression with distributed lag non-linear model was applied to examine the temperature-lag-EDV association in each city. The effect estimates were pooled using multivariate meta-analysis at the national and regional level. Stratified analyses were performed by gender and age-groups. Sensitivity analyses adjusting for air pollution and relative humidity were conducted.\nResults\nA total of 4,443,127 EDVs were collected from the 12 cities. Both cold and hot temperatures were associated with increased risk of EDVs, with minimum-mortality temperature located at 64th percentile of temperature. The effect of cold temperature appeared on day 2 and persisted until day 30, causing a cumulative relative risk (RR) of 1.80 (1.54, 2.11). The effect of hot temperature appeared immediately and lasted until day 3, with a cumulative RR of 1.15 (1.03, 1.29). The effect of temperature on EDVs was similar in male and female but was attenuated with increasing age. The effect of cold temperature on EDVs was greater in southern areas of the country whereas the hot effect was greater in northern cities. The association was robust to a large range of sensitivity analyses.\nConclusions\nIn China, there is a U-shaped association between temperature and risk of EDVs that is independent of air pollution and humidity. The temperature-EDV association varies with latitude and age-groups but is not affected by gender. Forecasting models for hospital emergency departments may be improved if temperature is included as an independent predictor.","container-title":"Environmental Pollution","DOI":"10.1016/j.envpol.2017.02.010","ISSN":"0269-7491","journalAbbreviation":"Environmental Pollution","page":"310-316","source":"ScienceDirect","title":"Ambient temperature and emergency department visits: Time-series analysis in 12 Chinese cities","title-short":"Ambient temperature and emergency department visits","volume":"224","author":[{"family":"Zhao","given":"Qi"},{"family":"Zhang","given":"Yongming"},{"family":"Zhang","given":"Wenyi"},{"family":"Li","given":"Shanshan"},{"family":"Chen","given":"Gongbo"},{"family":"Wu","given":"Yanbin"},{"family":"Qiu","given":"Chen"},{"family":"Ying","given":"Kejing"},{"family":"Tang","given":"Huaping"},{"family":"Huang","given":"Jian-an"},{"family":"Williams","given":"Gail"},{"family":"Huxley","given":"Rachel"},{"family":"Guo","given":"Yuming"}],"issued":{"date-parts":[["2017",5,1]]}}}],"schema":"https://github.com/citation-style-language/schema/raw/master/csl-citation.json"} </w:instrText>
      </w:r>
      <w:r w:rsidR="00870E08" w:rsidRPr="00EA2673">
        <w:fldChar w:fldCharType="separate"/>
      </w:r>
      <w:r w:rsidR="004835FE" w:rsidRPr="004835FE">
        <w:rPr>
          <w:vertAlign w:val="superscript"/>
        </w:rPr>
        <w:t>21,25–30</w:t>
      </w:r>
      <w:r w:rsidR="00870E08" w:rsidRPr="00EA2673">
        <w:fldChar w:fldCharType="end"/>
      </w:r>
      <w:r w:rsidR="00A41A15">
        <w:t xml:space="preserve"> </w:t>
      </w:r>
      <w:r w:rsidR="6A78EC70">
        <w:t>I</w:t>
      </w:r>
      <w:r w:rsidR="5F1FD545">
        <w:t>n</w:t>
      </w:r>
      <w:r w:rsidR="6A78EC70">
        <w:t xml:space="preserve"> the </w:t>
      </w:r>
      <w:r w:rsidR="3F1D26C2">
        <w:t>latter case</w:t>
      </w:r>
      <w:r w:rsidR="6A78EC70">
        <w:t>, w</w:t>
      </w:r>
      <w:r w:rsidR="58BC1FE3">
        <w:t>armer temperatures</w:t>
      </w:r>
      <w:r w:rsidR="6A78EC70" w:rsidRPr="00EA2673">
        <w:t xml:space="preserve"> in any season</w:t>
      </w:r>
      <w:r w:rsidR="58BC1FE3">
        <w:t xml:space="preserve"> </w:t>
      </w:r>
      <w:r w:rsidR="3AF38684">
        <w:t xml:space="preserve">could be associated with </w:t>
      </w:r>
      <w:r w:rsidR="436AACB4" w:rsidRPr="00EA2673">
        <w:t xml:space="preserve">more frequent </w:t>
      </w:r>
      <w:r w:rsidR="00AA783A">
        <w:t>illnesses</w:t>
      </w:r>
      <w:r w:rsidR="58BC1FE3" w:rsidRPr="00EA2673">
        <w:t>, resulting in greater healthcare utilization</w:t>
      </w:r>
      <w:r w:rsidR="5A79601A" w:rsidRPr="00EA2673">
        <w:t xml:space="preserve"> and </w:t>
      </w:r>
      <w:r w:rsidR="58BC1FE3">
        <w:t>costs</w:t>
      </w:r>
      <w:r w:rsidR="6A78EC70" w:rsidRPr="00EA2673">
        <w:t xml:space="preserve">. </w:t>
      </w:r>
    </w:p>
    <w:p w14:paraId="0B7729D6" w14:textId="1400F5DB" w:rsidR="00E80E4F" w:rsidRDefault="000210CD" w:rsidP="1FB59598">
      <w:r>
        <w:tab/>
      </w:r>
      <w:r>
        <w:tab/>
      </w:r>
      <w:r w:rsidR="2FA5D4C9">
        <w:t>To address this evidence gap, w</w:t>
      </w:r>
      <w:r w:rsidR="2FA5D4C9" w:rsidRPr="43675F6E">
        <w:t xml:space="preserve">e </w:t>
      </w:r>
      <w:r w:rsidR="00BE63CC">
        <w:t xml:space="preserve">assessed the relationship between </w:t>
      </w:r>
      <w:r w:rsidR="00DB4ADD">
        <w:t>daily maximum temperatures</w:t>
      </w:r>
      <w:r w:rsidR="00BE63CC">
        <w:t xml:space="preserve"> and ED visits </w:t>
      </w:r>
      <w:r w:rsidR="00695978">
        <w:t>among</w:t>
      </w:r>
      <w:r w:rsidR="00BE63CC">
        <w:t xml:space="preserve"> </w:t>
      </w:r>
      <w:r w:rsidR="004463E9">
        <w:t xml:space="preserve">more than </w:t>
      </w:r>
      <w:r w:rsidR="00736FA8">
        <w:t xml:space="preserve">21 million </w:t>
      </w:r>
      <w:r w:rsidR="00695978" w:rsidRPr="00B14DAD">
        <w:t xml:space="preserve">enrollees </w:t>
      </w:r>
      <w:r w:rsidR="00695978">
        <w:t xml:space="preserve">in commercial or Medicare Advantage </w:t>
      </w:r>
      <w:r w:rsidR="2FA5D4C9">
        <w:t>health insurance plans</w:t>
      </w:r>
      <w:r w:rsidR="4C87B1BC">
        <w:t xml:space="preserve"> across</w:t>
      </w:r>
      <w:r w:rsidR="001E4FFF">
        <w:t xml:space="preserve"> </w:t>
      </w:r>
      <w:r w:rsidR="4C87B1BC">
        <w:t xml:space="preserve">the </w:t>
      </w:r>
      <w:r w:rsidR="00E42024">
        <w:t>contiguous</w:t>
      </w:r>
      <w:r w:rsidR="4C87B1BC">
        <w:t xml:space="preserve"> US from 2010 to 2021</w:t>
      </w:r>
      <w:r w:rsidR="2FA5D4C9">
        <w:t xml:space="preserve">. </w:t>
      </w:r>
      <w:r w:rsidR="00DB1C15">
        <w:t>We then</w:t>
      </w:r>
      <w:r w:rsidR="00DA3140">
        <w:t xml:space="preserve"> </w:t>
      </w:r>
      <w:r w:rsidR="0A1143E7" w:rsidRPr="43675F6E">
        <w:t>project</w:t>
      </w:r>
      <w:r w:rsidR="00DB1C15">
        <w:t>ed</w:t>
      </w:r>
      <w:r w:rsidR="2FA5D4C9" w:rsidRPr="43675F6E">
        <w:t xml:space="preserve"> </w:t>
      </w:r>
      <w:r w:rsidR="2FA5D4C9">
        <w:t xml:space="preserve">ED visits </w:t>
      </w:r>
      <w:r w:rsidR="2FA5D4C9" w:rsidRPr="43675F6E">
        <w:t xml:space="preserve">under </w:t>
      </w:r>
      <w:r w:rsidR="1B052988" w:rsidRPr="43675F6E">
        <w:t xml:space="preserve">three scenarios of warming at </w:t>
      </w:r>
      <w:r w:rsidR="2FA5D4C9" w:rsidRPr="003D7D11">
        <w:t xml:space="preserve">mid-century (2040-2050). </w:t>
      </w:r>
      <w:r w:rsidR="0027020D">
        <w:t>Our</w:t>
      </w:r>
      <w:r w:rsidR="0027020D" w:rsidRPr="00EA2673">
        <w:t xml:space="preserve"> findings clarify the exposure-response relationship between year-round temperature and ED visits across the entire </w:t>
      </w:r>
      <w:r w:rsidR="0027020D">
        <w:t xml:space="preserve">contiguous </w:t>
      </w:r>
      <w:r w:rsidR="0027020D" w:rsidRPr="00EA2673">
        <w:t>US</w:t>
      </w:r>
      <w:r w:rsidR="0027020D">
        <w:t xml:space="preserve"> and </w:t>
      </w:r>
      <w:r w:rsidR="0027020D" w:rsidRPr="00EA2673">
        <w:t xml:space="preserve">provide </w:t>
      </w:r>
      <w:r w:rsidR="00724FCE">
        <w:t>important projections</w:t>
      </w:r>
      <w:r w:rsidR="0027020D" w:rsidRPr="00EA2673">
        <w:t xml:space="preserve"> </w:t>
      </w:r>
      <w:r w:rsidR="0027020D">
        <w:t>of the scale</w:t>
      </w:r>
      <w:r w:rsidR="0027020D" w:rsidRPr="00EA2673">
        <w:t xml:space="preserve"> </w:t>
      </w:r>
      <w:r w:rsidR="0027020D">
        <w:t xml:space="preserve">of </w:t>
      </w:r>
      <w:r w:rsidR="0027020D" w:rsidRPr="00EA2673">
        <w:t>increased ED visits due t</w:t>
      </w:r>
      <w:r w:rsidR="0027020D">
        <w:t xml:space="preserve">o the near-certain increase in </w:t>
      </w:r>
      <w:r w:rsidR="0027020D" w:rsidRPr="00EA2673">
        <w:t>temperatures in the future.</w:t>
      </w:r>
    </w:p>
    <w:p w14:paraId="74359390" w14:textId="77777777" w:rsidR="00724FCE" w:rsidRDefault="00724FCE">
      <w:pPr>
        <w:tabs>
          <w:tab w:val="clear" w:pos="260"/>
        </w:tabs>
        <w:spacing w:after="160" w:line="259" w:lineRule="auto"/>
        <w:jc w:val="left"/>
        <w:rPr>
          <w:b/>
          <w:bCs/>
        </w:rPr>
      </w:pPr>
      <w:r>
        <w:br w:type="page"/>
      </w:r>
    </w:p>
    <w:p w14:paraId="2979DA27" w14:textId="0F9BB122" w:rsidR="00210E75" w:rsidRPr="00DB4ADD" w:rsidRDefault="00210E75" w:rsidP="00333438">
      <w:pPr>
        <w:pStyle w:val="Heading1"/>
        <w:numPr>
          <w:ilvl w:val="0"/>
          <w:numId w:val="0"/>
        </w:numPr>
        <w:tabs>
          <w:tab w:val="left" w:pos="6148"/>
        </w:tabs>
        <w:ind w:left="432" w:hanging="432"/>
      </w:pPr>
      <w:r>
        <w:lastRenderedPageBreak/>
        <w:t xml:space="preserve">METHODS </w:t>
      </w:r>
      <w:r w:rsidR="00333438">
        <w:tab/>
      </w:r>
    </w:p>
    <w:p w14:paraId="42B2E162" w14:textId="77777777" w:rsidR="00210E75" w:rsidRDefault="00210E75" w:rsidP="00210E75">
      <w:pPr>
        <w:pStyle w:val="Heading2"/>
        <w:numPr>
          <w:ilvl w:val="0"/>
          <w:numId w:val="0"/>
        </w:numPr>
        <w:ind w:left="576" w:hanging="576"/>
      </w:pPr>
      <w:r>
        <w:t>Outcomes</w:t>
      </w:r>
    </w:p>
    <w:p w14:paraId="637D56EC" w14:textId="20543831" w:rsidR="00210E75" w:rsidRDefault="00210E75" w:rsidP="00210E75">
      <w:r>
        <w:tab/>
      </w:r>
      <w:r>
        <w:tab/>
      </w:r>
      <w:r w:rsidR="00C034EA">
        <w:t>We studied</w:t>
      </w:r>
      <w:r w:rsidR="00D526C5" w:rsidRPr="00EA2673">
        <w:t xml:space="preserve"> </w:t>
      </w:r>
      <w:r w:rsidR="00D526C5">
        <w:t xml:space="preserve">all-cause </w:t>
      </w:r>
      <w:r w:rsidR="00AD4F08">
        <w:t xml:space="preserve">ED </w:t>
      </w:r>
      <w:r w:rsidR="00D526C5">
        <w:t>visits</w:t>
      </w:r>
      <w:r w:rsidR="00D526C5" w:rsidRPr="00EA2673">
        <w:t xml:space="preserve"> among people of all ages across the contiguous US enrolled in commercial and Medicare Advantage health insurance in the Optum Labs Data Warehouse (OLDW)</w:t>
      </w:r>
      <w:r w:rsidR="00D526C5">
        <w:t>®</w:t>
      </w:r>
      <w:r w:rsidR="00AD4F08">
        <w:t xml:space="preserve"> </w:t>
      </w:r>
      <w:r w:rsidR="00AD4F08" w:rsidRPr="00EA2673">
        <w:t>from 2010 to 2021</w:t>
      </w:r>
      <w:r w:rsidR="00AD4F08">
        <w:t>, a total of</w:t>
      </w:r>
      <w:r w:rsidR="00736FA8">
        <w:t xml:space="preserve"> 21,090,141 enrollees </w:t>
      </w:r>
      <w:r w:rsidR="00C034EA">
        <w:t>across</w:t>
      </w:r>
      <w:r w:rsidR="00736FA8">
        <w:t xml:space="preserve"> 2,161 US counties</w:t>
      </w:r>
      <w:r w:rsidR="00C034EA">
        <w:t xml:space="preserve"> (</w:t>
      </w:r>
      <w:r w:rsidR="00C034EA" w:rsidRPr="00C034EA">
        <w:rPr>
          <w:b/>
          <w:bCs/>
          <w:color w:val="0432FF"/>
        </w:rPr>
        <w:t>Figure 1</w:t>
      </w:r>
      <w:r w:rsidR="00C034EA">
        <w:t>)</w:t>
      </w:r>
      <w:r w:rsidR="00D526C5" w:rsidRPr="00EA2673">
        <w:t xml:space="preserve">. </w:t>
      </w:r>
      <w:r w:rsidR="00C034EA">
        <w:t>W</w:t>
      </w:r>
      <w:r w:rsidR="00736FA8">
        <w:t xml:space="preserve">e limited our study </w:t>
      </w:r>
      <w:r w:rsidR="004463E9">
        <w:t xml:space="preserve">domain to US counties </w:t>
      </w:r>
      <w:r w:rsidR="004463E9" w:rsidRPr="00EA2673">
        <w:t xml:space="preserve">with more than </w:t>
      </w:r>
      <w:r w:rsidR="004463E9">
        <w:t>5</w:t>
      </w:r>
      <w:r w:rsidR="004463E9" w:rsidRPr="00EA2673">
        <w:t xml:space="preserve">00 </w:t>
      </w:r>
      <w:r w:rsidR="004463E9">
        <w:t xml:space="preserve">enrollees per year and </w:t>
      </w:r>
      <w:r w:rsidR="00F675C5">
        <w:t>adjusted ED visit counts</w:t>
      </w:r>
      <w:r w:rsidR="005D13CE">
        <w:t xml:space="preserve"> within each year</w:t>
      </w:r>
      <w:r w:rsidR="00F675C5">
        <w:t xml:space="preserve"> </w:t>
      </w:r>
      <w:r w:rsidR="00864165">
        <w:t>by</w:t>
      </w:r>
      <w:r w:rsidR="00A44FB6">
        <w:t xml:space="preserve"> annual enrollee levels</w:t>
      </w:r>
      <w:r w:rsidR="00D526C5">
        <w:t xml:space="preserve">. </w:t>
      </w:r>
      <w:r w:rsidR="00D526C5" w:rsidRPr="00EA2673">
        <w:t xml:space="preserve">We </w:t>
      </w:r>
      <w:r w:rsidR="00A44FB6">
        <w:t xml:space="preserve">then </w:t>
      </w:r>
      <w:r w:rsidR="00D526C5">
        <w:t>aggregated counts by</w:t>
      </w:r>
      <w:r w:rsidR="00D526C5" w:rsidRPr="00EA2673">
        <w:t xml:space="preserve"> </w:t>
      </w:r>
      <w:r w:rsidR="00D526C5">
        <w:t>county</w:t>
      </w:r>
      <w:r w:rsidR="00D526C5" w:rsidRPr="00EA2673">
        <w:t xml:space="preserve"> </w:t>
      </w:r>
      <w:r w:rsidR="00D526C5">
        <w:t xml:space="preserve">and region </w:t>
      </w:r>
      <w:r w:rsidR="00D526C5" w:rsidRPr="00EA2673">
        <w:t>of residence</w:t>
      </w:r>
      <w:r w:rsidR="00D526C5">
        <w:t>, with regions defined according to the 4</w:t>
      </w:r>
      <w:r w:rsidR="00D526C5" w:rsidRPr="00117756">
        <w:rPr>
          <w:vertAlign w:val="superscript"/>
        </w:rPr>
        <w:t>th</w:t>
      </w:r>
      <w:r w:rsidR="00D526C5">
        <w:t xml:space="preserve"> National Climate Assessment (NCA4)</w:t>
      </w:r>
      <w:r w:rsidR="00D526C5" w:rsidRPr="00EA2673">
        <w:t>: Southeast, Southwest, Northern Great Plains, Southern Great Plains, Midwest, Northeast, and Northwes</w:t>
      </w:r>
      <w:r w:rsidR="00D526C5">
        <w:t>t.</w:t>
      </w:r>
      <w:r w:rsidR="00D526C5">
        <w:fldChar w:fldCharType="begin"/>
      </w:r>
      <w:r w:rsidR="004835FE">
        <w:instrText xml:space="preserve"> ADDIN ZOTERO_ITEM CSL_CITATION {"citationID":"MJxMDAoX","properties":{"formattedCitation":"\\super 31\\nosupersub{}","plainCitation":"31","noteIndex":0},"citationItems":[{"id":2106,"uris":["http://zotero.org/users/9240079/items/F4PYVNRC"],"itemData":{"id":2106,"type":"article-journal","abstract":"The Climate Science Special Report (CSSR) will provide key input into the Fourth National Climate Assessment (NCA4). The report was initiated in 2016 under the guidance of the U.S. Global Change Research Program (USGCRP) as a new, stand-alone report of the state-of-science relating to climate change and its physical impacts. The report is undergoing peer and public review in late 2016 with the aim for final publication in the fourth quarter of 2017. CSSR will provide a comprehensive assessment of the science underlying the changes occurring in the Earth's climate system, with a special focus on the United States. CSSR will serve several purposes for NCA4, including 1) providing an updated detailed analysis of the findings of how climate change is affecting weather and climate across the United States, 2) providing an executive summary that will be used as the basis for the climate science discussion in NCA4, and 3) providing foundational information and projections for climate change, including extremes, to improve \"end-to-end\" consistency in sectoral, regional, and resilience analyses for NCA4. We will present a summary of the origins and development of CSSR, the writing team, the chapter topics and the relation of CSSR content to NCA4, other assessments and relevance to policy and research communities.","note":"event-title: AGU Fall Meeting Abstracts\nADS Bibcode: 2016AGUFMGC34D..04W","page":"GC34D-04","source":"NASA ADS","title":"The Climate Science Special Report (CSSR) of the Fourth National Climate Assessment (NCA4)","volume":"2016","author":[{"family":"Wuebbles","given":"D. J."},{"family":"Fahey","given":"D. W."},{"family":"Hibbard","given":"K. A."}],"issued":{"date-parts":[["2016",12,1]]}}}],"schema":"https://github.com/citation-style-language/schema/raw/master/csl-citation.json"} </w:instrText>
      </w:r>
      <w:r w:rsidR="00D526C5">
        <w:fldChar w:fldCharType="separate"/>
      </w:r>
      <w:r w:rsidR="004835FE" w:rsidRPr="004835FE">
        <w:rPr>
          <w:vertAlign w:val="superscript"/>
        </w:rPr>
        <w:t>31</w:t>
      </w:r>
      <w:r w:rsidR="00D526C5">
        <w:fldChar w:fldCharType="end"/>
      </w:r>
      <w:r w:rsidR="00731941">
        <w:t xml:space="preserve"> Analyses of the OLDW data were approved by the Boston University Medical Campus Institutional Review Board (IRB).</w:t>
      </w:r>
    </w:p>
    <w:p w14:paraId="5A7C9245" w14:textId="77777777" w:rsidR="00210E75" w:rsidRPr="00EA2673" w:rsidRDefault="00210E75" w:rsidP="00210E75">
      <w:pPr>
        <w:pStyle w:val="Heading2"/>
        <w:numPr>
          <w:ilvl w:val="0"/>
          <w:numId w:val="0"/>
        </w:numPr>
        <w:ind w:left="576" w:hanging="576"/>
      </w:pPr>
      <w:r>
        <w:t>Exposures</w:t>
      </w:r>
    </w:p>
    <w:p w14:paraId="7804488A" w14:textId="208E1796" w:rsidR="00210E75" w:rsidRPr="00EA2673" w:rsidRDefault="00210E75" w:rsidP="00210E75">
      <w:r w:rsidRPr="00EA2673">
        <w:tab/>
      </w:r>
      <w:r w:rsidRPr="00EA2673">
        <w:tab/>
      </w:r>
      <w:r w:rsidR="00ED645B">
        <w:t>Present</w:t>
      </w:r>
      <w:r w:rsidR="008B3EB3">
        <w:t>-day</w:t>
      </w:r>
      <w:r w:rsidR="00DC3329">
        <w:t xml:space="preserve"> </w:t>
      </w:r>
      <w:r w:rsidR="00F30590">
        <w:t xml:space="preserve">daily maximum temperatures </w:t>
      </w:r>
      <w:r w:rsidR="00ED645B">
        <w:t xml:space="preserve">were </w:t>
      </w:r>
      <w:r w:rsidRPr="00EA2673">
        <w:t>estimated from</w:t>
      </w:r>
      <w:r>
        <w:t xml:space="preserve"> the Copernicus Climate Change </w:t>
      </w:r>
      <w:r w:rsidR="00FA0320">
        <w:t>Service</w:t>
      </w:r>
      <w:r w:rsidR="00ED645B">
        <w:t>, a dataset</w:t>
      </w:r>
      <w:r w:rsidR="00802108">
        <w:t xml:space="preserve"> </w:t>
      </w:r>
      <w:r>
        <w:t>known as ERA5</w:t>
      </w:r>
      <w:r>
        <w:fldChar w:fldCharType="begin"/>
      </w:r>
      <w:r w:rsidR="004835FE">
        <w:instrText xml:space="preserve"> ADDIN ZOTERO_ITEM CSL_CITATION {"citationID":"bc8LqdMw","properties":{"formattedCitation":"\\super 32\\nosupersub{}","plainCitation":"32","noteIndex":0},"citationItems":[{"id":2103,"uris":["http://zotero.org/users/9240079/items/SUYAUZ5Q"],"itemData":{"id":2103,"type":"article-journal","abstract":"Within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reanalyses.","container-title":"Quarterly Journal of the Royal Meteorological Society","DOI":"10.1002/qj.3803","ISSN":"1477-870X","issue":"730","language":"en","license":"© 2020 The Authors. Quarterly Journal of the Royal Meteorological Society published by John Wiley &amp; Sons Ltd on behalf of the Royal Meteorological Society.","note":"_eprint: https://onlinelibrary.wiley.com/doi/pdf/10.1002/qj.3803","page":"1999-2049","source":"Wiley Online Library","title":"The ERA5 global reanalysis","volume":"146","author":[{"family":"Hersbach","given":"Hans"},{"family":"Bell","given":"Bill"},{"family":"Berrisford","given":"Paul"},{"family":"Hirahara","given":"Shoji"},{"family":"Horányi","given":"András"},{"family":"Muñoz-Sabater","given":"Joaquín"},{"family":"Nicolas","given":"Julien"},{"family":"Peubey","given":"Carole"},{"family":"Radu","given":"Raluca"},{"family":"Schepers","given":"Dinand"},{"family":"Simmons","given":"Adrian"},{"family":"Soci","given":"Cornel"},{"family":"Abdalla","given":"Saleh"},{"family":"Abellan","given":"Xavier"},{"family":"Balsamo","given":"Gianpaolo"},{"family":"Bechtold","given":"Peter"},{"family":"Biavati","given":"Gionata"},{"family":"Bidlot","given":"Jean"},{"family":"Bonavita","given":"Massimo"},{"family":"De Chiara","given":"Giovanna"},{"family":"Dahlgren","given":"Per"},{"family":"Dee","given":"Dick"},{"family":"Diamantakis","given":"Michail"},{"family":"Dragani","given":"Rossana"},{"family":"Flemming","given":"Johannes"},{"family":"Forbes","given":"Richard"},{"family":"Fuentes","given":"Manuel"},{"family":"Geer","given":"Alan"},{"family":"Haimberger","given":"Leo"},{"family":"Healy","given":"Sean"},{"family":"Hogan","given":"Robin J."},{"family":"Hólm","given":"Elías"},{"family":"Janisková","given":"Marta"},{"family":"Keeley","given":"Sarah"},{"family":"Laloyaux","given":"Patrick"},{"family":"Lopez","given":"Philippe"},{"family":"Lupu","given":"Cristina"},{"family":"Radnoti","given":"Gabor"},{"family":"Rosnay","given":"Patricia","non-dropping-particle":"de"},{"family":"Rozum","given":"Iryna"},{"family":"Vamborg","given":"Freja"},{"family":"Villaume","given":"Sebastien"},{"family":"Thépaut","given":"Jean-Noël"}],"issued":{"date-parts":[["2020"]]}}}],"schema":"https://github.com/citation-style-language/schema/raw/master/csl-citation.json"} </w:instrText>
      </w:r>
      <w:r>
        <w:fldChar w:fldCharType="separate"/>
      </w:r>
      <w:r w:rsidR="004835FE" w:rsidRPr="004835FE">
        <w:rPr>
          <w:vertAlign w:val="superscript"/>
        </w:rPr>
        <w:t>32</w:t>
      </w:r>
      <w:r>
        <w:fldChar w:fldCharType="end"/>
      </w:r>
      <w:r w:rsidRPr="00EA2673">
        <w:t xml:space="preserve"> </w:t>
      </w:r>
      <w:r w:rsidR="00ED645B">
        <w:t>that has</w:t>
      </w:r>
      <w:r w:rsidR="00802108">
        <w:t xml:space="preserve"> been </w:t>
      </w:r>
      <w:r w:rsidR="00802108" w:rsidRPr="00EA2673">
        <w:t>population</w:t>
      </w:r>
      <w:r w:rsidR="00802108">
        <w:t>-</w:t>
      </w:r>
      <w:r w:rsidR="00802108" w:rsidRPr="00EA2673">
        <w:t xml:space="preserve">weighted to </w:t>
      </w:r>
      <w:r w:rsidR="00802108">
        <w:t xml:space="preserve">the </w:t>
      </w:r>
      <w:r w:rsidR="00802108" w:rsidRPr="00EA2673">
        <w:t>US county</w:t>
      </w:r>
      <w:r w:rsidR="00802108">
        <w:t xml:space="preserve"> scale</w:t>
      </w:r>
      <w:r w:rsidR="00802108">
        <w:fldChar w:fldCharType="begin"/>
      </w:r>
      <w:r w:rsidR="004835FE">
        <w:instrText xml:space="preserve"> ADDIN ZOTERO_ITEM CSL_CITATION {"citationID":"Ip62O0Zi","properties":{"formattedCitation":"\\super 33\\nosupersub{}","plainCitation":"33","noteIndex":0},"citationItems":[{"id":418,"uris":["http://zotero.org/groups/5010111/items/JF489QUG"],"itemData":{"id":418,"type":"article-journal","abstract":"Epidemiologic analyses of the health effects of meteorological exposures typically rely on observations from the nearest weather station to assess exposure for geographically diverse populations. Gridded climate datasets (GCD) provide spatially resolved weather data that may offer improved exposure estimates, but have not been systematically validated for use in epidemiologic evaluations. As a validation, we linearly regressed daily weather estimates from two GCDs, PRISM and Daymet, to observations from a sample of weather stations across the conterminous United States and compared spatially resolved, population-weighted county average temperatures and heat indices from PRISM to single-pixel PRISM values at the weather stations to identify differences. We found that both Daymet and PRISM accurately estimate ambient temperature and mean heat index at sampled weather stations, but PRISM outperforms Daymet for assessments of humidity and maximum daily heat index. Moreover, spatially-resolved exposure estimates differ from point-based assessments, but with substantial inter-county heterogeneity. We conclude that GCDs offer a potentially useful approach to exposure assessment of meteorological variables that may, in some locations, reduce exposure measurement error, as well as permit assessment of populations distributed far from weather stations.","container-title":"Journal of Exposure Science &amp; Environmental Epidemiology","DOI":"10.1038/s41370-018-0105-2","ISSN":"1559-064X","issue":"6","journalAbbreviation":"J Expo Sci Environ Epidemiol","language":"en","license":"2018 Springer Nature America, Inc.","note":"number: 6\npublisher: Nature Publishing Group","page":"777-789","source":"www.nature.com","title":"Suitability of gridded climate datasets for use in environmental epidemiology","volume":"29","author":[{"family":"Spangler","given":"Keith R."},{"family":"Weinberger","given":"Kate R."},{"family":"Wellenius","given":"Gregory A."}],"issued":{"date-parts":[["2019",11]]}}}],"schema":"https://github.com/citation-style-language/schema/raw/master/csl-citation.json"} </w:instrText>
      </w:r>
      <w:r w:rsidR="00802108">
        <w:fldChar w:fldCharType="separate"/>
      </w:r>
      <w:r w:rsidR="004835FE" w:rsidRPr="004835FE">
        <w:rPr>
          <w:vertAlign w:val="superscript"/>
        </w:rPr>
        <w:t>33</w:t>
      </w:r>
      <w:r w:rsidR="00802108">
        <w:fldChar w:fldCharType="end"/>
      </w:r>
      <w:r w:rsidR="00802108" w:rsidRPr="00EA2673">
        <w:t xml:space="preserve"> </w:t>
      </w:r>
      <w:r w:rsidR="00802108">
        <w:t xml:space="preserve">and </w:t>
      </w:r>
      <w:r w:rsidR="00C50C7C">
        <w:t>utilized in studies</w:t>
      </w:r>
      <w:r w:rsidRPr="00EA2673">
        <w:t xml:space="preserve"> temperature and health</w:t>
      </w:r>
      <w:r>
        <w:t>.</w:t>
      </w:r>
      <w:r>
        <w:fldChar w:fldCharType="begin"/>
      </w:r>
      <w:r w:rsidR="004835FE">
        <w:instrText xml:space="preserve"> ADDIN ZOTERO_ITEM CSL_CITATION {"citationID":"56KddZwI","properties":{"formattedCitation":"\\super 34\\nosupersub{}","plainCitation":"34","noteIndex":0},"citationItems":[{"id":2101,"uris":["http://zotero.org/users/9240079/items/KMU34JYM"],"itemData":{"id":2101,"type":"article-journal","abstract":"Epidemiological analyses of health risks associated with non-optimal temperature are traditionally based on ground observations from weather stations that offer limited spatial and temporal coverage. Climate reanalysis represents an alternative option that provide complete spatio-temporal exposure coverage, and yet are to be systematically explored for their suitability in assessing temperature-related health risks at a global scale. Here we provide the first comprehensive analysis over multiple regions to assess the suitability of the most recent generation of reanalysis datasets for health impact assessments and evaluate their comparative performance against traditional station-based data. Our findings show that reanalysis temperature from the last ERA5 products generally compare well to station observations, with similar non-optimal temperature-related risk estimates. However, the analysis offers some indication of lower performance in tropical regions, with a likely underestimation of heat-related excess mortality. Reanalysis data represent a valid alternative source of exposure variables in epidemiological analyses of temperature-related risk.","container-title":"Scientific Reports","DOI":"10.1038/s41598-022-09049-4","ISSN":"2045-2322","issue":"1","journalAbbreviation":"Sci Rep","language":"en","license":"2022 The Author(s)","note":"publisher: Nature Publishing Group","page":"5178","source":"www.nature.com","title":"Comparison of weather station and climate reanalysis data for modelling temperature-related mortality","volume":"12","author":[{"family":"Mistry","given":"Malcolm N."},{"family":"Schneider","given":"Rochelle"},{"family":"Masselot","given":"Pierre"},{"family":"Royé","given":"Dominic"},{"family":"Armstrong","given":"Ben"},{"family":"Kyselý","given":"Jan"},{"family":"Orru","given":"Hans"},{"family":"Sera","given":"Francesco"},{"family":"Tong","given":"Shilu"},{"family":"Lavigne","given":"Éric"},{"family":"Urban","given":"Aleš"},{"family":"Madureira","given":"Joana"},{"family":"García-León","given":"David"},{"family":"Ibarreta","given":"Dolores"},{"family":"Ciscar","given":"Juan-Carlos"},{"family":"Feyen","given":"Luc"},{"family":"Schrijver","given":"Evan","non-dropping-particle":"de"},{"family":"Sousa Zanotti Stagliorio Coelho","given":"Micheline","non-dropping-particle":"de"},{"family":"Pascal","given":"Mathilde"},{"family":"Tobias","given":"Aurelio"},{"family":"Guo","given":"Yuming"},{"family":"Vicedo-Cabrera","given":"Ana M."},{"family":"Gasparrini","given":"Antonio"}],"issued":{"date-parts":[["2022",3,25]]}}}],"schema":"https://github.com/citation-style-language/schema/raw/master/csl-citation.json"} </w:instrText>
      </w:r>
      <w:r>
        <w:fldChar w:fldCharType="separate"/>
      </w:r>
      <w:r w:rsidR="004835FE" w:rsidRPr="004835FE">
        <w:rPr>
          <w:vertAlign w:val="superscript"/>
        </w:rPr>
        <w:t>34</w:t>
      </w:r>
      <w:r>
        <w:fldChar w:fldCharType="end"/>
      </w:r>
      <w:r w:rsidRPr="00EA2673">
        <w:t xml:space="preserve"> </w:t>
      </w:r>
    </w:p>
    <w:p w14:paraId="575FD06A" w14:textId="2AF12EF6" w:rsidR="00210E75" w:rsidRDefault="00210E75" w:rsidP="00210E75">
      <w:r>
        <w:tab/>
      </w:r>
      <w:r>
        <w:tab/>
      </w:r>
      <w:r w:rsidR="00802108">
        <w:t>For projections of future</w:t>
      </w:r>
      <w:r w:rsidR="00845301">
        <w:t xml:space="preserve"> daily maximum</w:t>
      </w:r>
      <w:r w:rsidR="00802108">
        <w:t xml:space="preserve"> temperatures, w</w:t>
      </w:r>
      <w:r w:rsidRPr="00EA2673">
        <w:t>e gathered results from 32 global climate models (GCMs) across 3 different Shared Socio-Economic Pathways (SSPs) for projected mid-century (2040-2050</w:t>
      </w:r>
      <w:r>
        <w:t>)</w:t>
      </w:r>
      <w:r w:rsidRPr="00EA2673">
        <w:t xml:space="preserve"> future temperatures </w:t>
      </w:r>
      <w:r>
        <w:t>(</w:t>
      </w:r>
      <w:r>
        <w:rPr>
          <w:b/>
          <w:bCs/>
          <w:color w:val="0432FF"/>
        </w:rPr>
        <w:t>Table</w:t>
      </w:r>
      <w:r w:rsidRPr="00FF3A2D">
        <w:rPr>
          <w:b/>
          <w:bCs/>
          <w:color w:val="0432FF"/>
        </w:rPr>
        <w:t xml:space="preserve"> </w:t>
      </w:r>
      <w:r>
        <w:rPr>
          <w:b/>
          <w:bCs/>
          <w:color w:val="0432FF"/>
        </w:rPr>
        <w:t>S</w:t>
      </w:r>
      <w:r w:rsidR="00845301">
        <w:rPr>
          <w:b/>
          <w:bCs/>
          <w:color w:val="0432FF"/>
        </w:rPr>
        <w:t>1</w:t>
      </w:r>
      <w:r w:rsidRPr="00EA2673">
        <w:t>)</w:t>
      </w:r>
      <w:r>
        <w:t>.</w:t>
      </w:r>
      <w:r>
        <w:fldChar w:fldCharType="begin"/>
      </w:r>
      <w:r w:rsidR="004835FE">
        <w:instrText xml:space="preserve"> ADDIN ZOTERO_ITEM CSL_CITATION {"citationID":"56gDXZ3G","properties":{"formattedCitation":"\\super 35\\nosupersub{}","plainCitation":"35","noteIndex":0},"citationItems":[{"id":2087,"uris":["http://zotero.org/users/9240079/items/TXLBKE5T"],"itemData":{"id":2087,"type":"article-journal","abstract":"We describe the latest version of the NASA Earth Exchange Global Daily Downscaled Projections (NEX-GDDP-CMIP6). The archive contains downscaled historical and future projections for 1950–2100 based on output from Phase 6 of the Climate Model Intercomparison Project (CMIP6). The downscaled products were produced using a daily variant of the monthly bias correction/spatial disaggregation (BCSD) method and are at 1/4-degree horizontal resolution. Currently, eight variables from five CMIP6 experiments (historical, SSP126, SSP245, SSP370, and SSP585) are provided as procurable from thirty-five global climate models.","container-title":"Scientific Data","DOI":"10.1038/s41597-022-01393-4","ISSN":"2052-4463","issue":"1","journalAbbreviation":"Sci Data","language":"en","license":"2022 The Author(s)","note":"publisher: Nature Publishing Group","page":"262","source":"www.nature.com","title":"NASA Global Daily Downscaled Projections, CMIP6","volume":"9","author":[{"family":"Thrasher","given":"Bridget"},{"family":"Wang","given":"Weile"},{"family":"Michaelis","given":"Andrew"},{"family":"Melton","given":"Forrest"},{"family":"Lee","given":"Tsengdar"},{"family":"Nemani","given":"Ramakrishna"}],"issued":{"date-parts":[["2022",6,2]]}}}],"schema":"https://github.com/citation-style-language/schema/raw/master/csl-citation.json"} </w:instrText>
      </w:r>
      <w:r>
        <w:fldChar w:fldCharType="separate"/>
      </w:r>
      <w:r w:rsidR="004835FE" w:rsidRPr="004835FE">
        <w:rPr>
          <w:vertAlign w:val="superscript"/>
        </w:rPr>
        <w:t>35</w:t>
      </w:r>
      <w:r>
        <w:fldChar w:fldCharType="end"/>
      </w:r>
      <w:r w:rsidRPr="00EA2673">
        <w:t xml:space="preserve"> </w:t>
      </w:r>
      <w:r w:rsidRPr="00B147A9">
        <w:t>The SS</w:t>
      </w:r>
      <w:r>
        <w:t>P</w:t>
      </w:r>
      <w:r w:rsidRPr="00B147A9">
        <w:t xml:space="preserve"> scenarios </w:t>
      </w:r>
      <w:r w:rsidR="00845301">
        <w:t>are characterized by the relative level of global warming</w:t>
      </w:r>
      <w:r w:rsidR="007A2830">
        <w:t>:</w:t>
      </w:r>
      <w:r w:rsidRPr="00B147A9">
        <w:t xml:space="preserve"> SSP5</w:t>
      </w:r>
      <w:r w:rsidR="00826EFE">
        <w:t xml:space="preserve"> (highest warming)</w:t>
      </w:r>
      <w:r w:rsidR="00E9378A">
        <w:t>,</w:t>
      </w:r>
      <w:r w:rsidRPr="00B147A9">
        <w:t xml:space="preserve"> SSP3</w:t>
      </w:r>
      <w:r w:rsidR="00826EFE">
        <w:t xml:space="preserve"> (moderate to high warming)</w:t>
      </w:r>
      <w:r w:rsidR="000171AC">
        <w:t>,</w:t>
      </w:r>
      <w:r w:rsidR="00952F8D">
        <w:t xml:space="preserve"> and </w:t>
      </w:r>
      <w:r w:rsidRPr="00B147A9">
        <w:t>SSP2</w:t>
      </w:r>
      <w:r w:rsidR="00826EFE">
        <w:t xml:space="preserve"> (moderate warming)</w:t>
      </w:r>
      <w:r>
        <w:t xml:space="preserve">. </w:t>
      </w:r>
    </w:p>
    <w:p w14:paraId="51A10A27" w14:textId="5EE0583A" w:rsidR="008B3EB3" w:rsidRDefault="00210E75" w:rsidP="00057CDA">
      <w:pPr>
        <w:pStyle w:val="Heading2"/>
        <w:numPr>
          <w:ilvl w:val="0"/>
          <w:numId w:val="0"/>
        </w:numPr>
        <w:ind w:left="576" w:hanging="576"/>
      </w:pPr>
      <w:r>
        <w:t xml:space="preserve">Exposure and </w:t>
      </w:r>
      <w:r w:rsidR="00EF58D0">
        <w:t>outcome</w:t>
      </w:r>
      <w:r>
        <w:t xml:space="preserve"> association</w:t>
      </w:r>
      <w:r w:rsidRPr="00EA2673">
        <w:tab/>
      </w:r>
      <w:r w:rsidRPr="00EA2673">
        <w:tab/>
      </w:r>
    </w:p>
    <w:p w14:paraId="5BA9BD07" w14:textId="3F039C33" w:rsidR="001A01E4" w:rsidRDefault="001A01E4" w:rsidP="00210E75">
      <w:pPr>
        <w:rPr>
          <w:rStyle w:val="Hyperlink"/>
          <w:color w:val="auto"/>
          <w:u w:val="none"/>
        </w:rPr>
      </w:pPr>
      <w:r>
        <w:tab/>
      </w:r>
      <w:r>
        <w:tab/>
        <w:t>Estimating the exposure-response relationship and projecting future impacts</w:t>
      </w:r>
      <w:r w:rsidR="0027020D">
        <w:t xml:space="preserve"> use</w:t>
      </w:r>
      <w:r>
        <w:t>d</w:t>
      </w:r>
      <w:r w:rsidR="0027020D">
        <w:t xml:space="preserve"> a sequence of modeling methods, outlined in </w:t>
      </w:r>
      <w:r w:rsidR="0027020D" w:rsidRPr="00D64AD6">
        <w:rPr>
          <w:b/>
          <w:bCs/>
          <w:color w:val="0432FF"/>
        </w:rPr>
        <w:t>Figure 2</w:t>
      </w:r>
      <w:r w:rsidR="0027020D">
        <w:t xml:space="preserve">. </w:t>
      </w:r>
      <w:r>
        <w:t>We first fit</w:t>
      </w:r>
      <w:r w:rsidRPr="00FB7199">
        <w:t xml:space="preserve"> distributed lag non-linear model</w:t>
      </w:r>
      <w:r>
        <w:t>s</w:t>
      </w:r>
      <w:r w:rsidRPr="00FB7199">
        <w:t xml:space="preserve"> (DLNM)</w:t>
      </w:r>
      <w:r>
        <w:t xml:space="preserve"> to estimate the relationship between daily maximum temperature and ED visits</w:t>
      </w:r>
      <w:r w:rsidR="00420CE9">
        <w:t xml:space="preserve"> </w:t>
      </w:r>
      <w:r w:rsidR="00420CE9" w:rsidRPr="00EA2673">
        <w:t>(</w:t>
      </w:r>
      <w:r w:rsidR="00420CE9" w:rsidRPr="00EA2673">
        <w:rPr>
          <w:b/>
          <w:bCs/>
          <w:color w:val="0432FF"/>
        </w:rPr>
        <w:t>Fig</w:t>
      </w:r>
      <w:r w:rsidR="00420CE9">
        <w:rPr>
          <w:b/>
          <w:bCs/>
          <w:color w:val="0432FF"/>
        </w:rPr>
        <w:t>2</w:t>
      </w:r>
      <w:r w:rsidR="00420CE9" w:rsidRPr="00EA2673">
        <w:rPr>
          <w:b/>
          <w:bCs/>
          <w:color w:val="0432FF"/>
        </w:rPr>
        <w:t>. Panel a</w:t>
      </w:r>
      <w:r w:rsidR="00420CE9" w:rsidRPr="00EA2673">
        <w:t>)</w:t>
      </w:r>
      <w:r>
        <w:t xml:space="preserve">. </w:t>
      </w:r>
      <w:r w:rsidR="00420CE9">
        <w:t>W</w:t>
      </w:r>
      <w:r w:rsidR="00210E75" w:rsidRPr="00EA2673">
        <w:t>e used a single-stage distributed lag non-linear modeling framework with a quasi-Poisson model; this approach has been</w:t>
      </w:r>
      <w:r w:rsidR="00210E75">
        <w:t xml:space="preserve"> extensively used </w:t>
      </w:r>
      <w:r w:rsidR="00210E75" w:rsidRPr="00EA2673">
        <w:t>in environmental epidemiology related to temperature exposure</w:t>
      </w:r>
      <w:r w:rsidR="00210E75">
        <w:t>.</w:t>
      </w:r>
      <w:r w:rsidR="00210E75" w:rsidRPr="00EA2673">
        <w:fldChar w:fldCharType="begin"/>
      </w:r>
      <w:r w:rsidR="004835FE">
        <w:instrText xml:space="preserve"> ADDIN ZOTERO_ITEM CSL_CITATION {"citationID":"fiSjEJY7","properties":{"formattedCitation":"\\super 36\\nosupersub{}","plainCitation":"36","noteIndex":0},"citationItems":[{"id":2075,"uris":["http://zotero.org/users/9240079/items/IG9KKBH5"],"itemData":{"id":2075,"type":"article-journal","abstract":"The two-stage design has become a standard tool in environmental epidemiology to model multi-location data. However, its standard form is rather inflexible and poses important limitations for modelling complex risks associated with environmental factors. In this contribution, we illustrate multiple design extensions of the classical two-stage method, all implemented within a unified analytic framework.","container-title":"Environmental Health","DOI":"10.1186/s12940-022-00853-z","ISSN":"1476-069X","issue":"1","journalAbbreviation":"Environmental Health","page":"41","source":"BioMed Central","title":"Extended two-stage designs for environmental research","volume":"21","author":[{"family":"Sera","given":"Francesco"},{"family":"Gasparrini","given":"Antonio"}],"issued":{"date-parts":[["2022",4,19]]}}}],"schema":"https://github.com/citation-style-language/schema/raw/master/csl-citation.json"} </w:instrText>
      </w:r>
      <w:r w:rsidR="00210E75" w:rsidRPr="00EA2673">
        <w:fldChar w:fldCharType="separate"/>
      </w:r>
      <w:r w:rsidR="004835FE" w:rsidRPr="004835FE">
        <w:rPr>
          <w:vertAlign w:val="superscript"/>
        </w:rPr>
        <w:t>36</w:t>
      </w:r>
      <w:r w:rsidR="00210E75" w:rsidRPr="00EA2673">
        <w:fldChar w:fldCharType="end"/>
      </w:r>
      <w:r w:rsidR="00210E75" w:rsidRPr="00124FD6">
        <w:rPr>
          <w:rStyle w:val="Hyperlink"/>
          <w:color w:val="auto"/>
          <w:u w:val="none"/>
        </w:rPr>
        <w:t xml:space="preserve"> </w:t>
      </w:r>
      <w:r w:rsidR="00420CE9" w:rsidRPr="009B070F">
        <w:rPr>
          <w:rStyle w:val="Hyperlink"/>
          <w:color w:val="auto"/>
          <w:u w:val="none"/>
        </w:rPr>
        <w:t xml:space="preserve">For each county, we created a basis matrix for the temperature vector using natural </w:t>
      </w:r>
      <w:r w:rsidR="00420CE9">
        <w:rPr>
          <w:rStyle w:val="Hyperlink"/>
          <w:color w:val="auto"/>
          <w:u w:val="none"/>
        </w:rPr>
        <w:t xml:space="preserve">cubic </w:t>
      </w:r>
      <w:r w:rsidR="00420CE9" w:rsidRPr="009B070F">
        <w:rPr>
          <w:rStyle w:val="Hyperlink"/>
          <w:color w:val="auto"/>
          <w:u w:val="none"/>
        </w:rPr>
        <w:t>spline</w:t>
      </w:r>
      <w:r w:rsidR="00420CE9">
        <w:rPr>
          <w:rStyle w:val="Hyperlink"/>
          <w:color w:val="auto"/>
          <w:u w:val="none"/>
        </w:rPr>
        <w:t>s</w:t>
      </w:r>
      <w:r w:rsidR="00420CE9" w:rsidRPr="009B070F">
        <w:rPr>
          <w:rStyle w:val="Hyperlink"/>
          <w:color w:val="auto"/>
          <w:u w:val="none"/>
        </w:rPr>
        <w:t xml:space="preserve"> with </w:t>
      </w:r>
      <w:r w:rsidR="00420CE9">
        <w:rPr>
          <w:rStyle w:val="Hyperlink"/>
          <w:color w:val="auto"/>
          <w:u w:val="none"/>
        </w:rPr>
        <w:t xml:space="preserve">internal </w:t>
      </w:r>
      <w:r w:rsidR="00420CE9" w:rsidRPr="009B070F">
        <w:rPr>
          <w:rStyle w:val="Hyperlink"/>
          <w:color w:val="auto"/>
          <w:u w:val="none"/>
        </w:rPr>
        <w:t>knots at the 10</w:t>
      </w:r>
      <w:r w:rsidR="00420CE9" w:rsidRPr="009B070F">
        <w:rPr>
          <w:rStyle w:val="Hyperlink"/>
          <w:color w:val="auto"/>
          <w:u w:val="none"/>
          <w:vertAlign w:val="superscript"/>
        </w:rPr>
        <w:t>th</w:t>
      </w:r>
      <w:r w:rsidR="00420CE9" w:rsidRPr="009B070F">
        <w:rPr>
          <w:rStyle w:val="Hyperlink"/>
          <w:color w:val="auto"/>
          <w:u w:val="none"/>
        </w:rPr>
        <w:t>, 75</w:t>
      </w:r>
      <w:r w:rsidR="00420CE9" w:rsidRPr="009B070F">
        <w:rPr>
          <w:rStyle w:val="Hyperlink"/>
          <w:color w:val="auto"/>
          <w:u w:val="none"/>
          <w:vertAlign w:val="superscript"/>
        </w:rPr>
        <w:t>th</w:t>
      </w:r>
      <w:r w:rsidR="00420CE9" w:rsidRPr="009B070F">
        <w:rPr>
          <w:rStyle w:val="Hyperlink"/>
          <w:color w:val="auto"/>
          <w:u w:val="none"/>
        </w:rPr>
        <w:t>, and 90</w:t>
      </w:r>
      <w:r w:rsidR="00420CE9" w:rsidRPr="009B070F">
        <w:rPr>
          <w:rStyle w:val="Hyperlink"/>
          <w:color w:val="auto"/>
          <w:u w:val="none"/>
          <w:vertAlign w:val="superscript"/>
        </w:rPr>
        <w:t>th</w:t>
      </w:r>
      <w:r w:rsidR="00420CE9" w:rsidRPr="009B070F">
        <w:rPr>
          <w:rStyle w:val="Hyperlink"/>
          <w:color w:val="auto"/>
          <w:u w:val="none"/>
        </w:rPr>
        <w:t xml:space="preserve"> percentile of daily county temperature</w:t>
      </w:r>
      <w:r w:rsidR="00420CE9">
        <w:rPr>
          <w:rStyle w:val="Hyperlink"/>
          <w:color w:val="auto"/>
          <w:u w:val="none"/>
        </w:rPr>
        <w:t xml:space="preserve"> in the present-day period</w:t>
      </w:r>
      <w:r w:rsidR="00420CE9" w:rsidRPr="009B070F">
        <w:rPr>
          <w:rStyle w:val="Hyperlink"/>
          <w:color w:val="auto"/>
          <w:u w:val="none"/>
        </w:rPr>
        <w:t xml:space="preserve">. </w:t>
      </w:r>
      <w:r w:rsidR="00420CE9">
        <w:rPr>
          <w:rStyle w:val="Hyperlink"/>
          <w:color w:val="auto"/>
          <w:u w:val="none"/>
        </w:rPr>
        <w:t>W</w:t>
      </w:r>
      <w:r w:rsidR="00420CE9" w:rsidRPr="00EA2673">
        <w:rPr>
          <w:rStyle w:val="Hyperlink"/>
          <w:color w:val="auto"/>
          <w:u w:val="none"/>
        </w:rPr>
        <w:t xml:space="preserve">e extended the boundary knots to include the </w:t>
      </w:r>
      <w:r w:rsidR="00420CE9">
        <w:rPr>
          <w:rStyle w:val="Hyperlink"/>
          <w:color w:val="auto"/>
          <w:u w:val="none"/>
        </w:rPr>
        <w:t xml:space="preserve">projected </w:t>
      </w:r>
      <w:r w:rsidR="00420CE9" w:rsidRPr="00EA2673">
        <w:rPr>
          <w:rStyle w:val="Hyperlink"/>
          <w:color w:val="auto"/>
          <w:u w:val="none"/>
        </w:rPr>
        <w:t>future temperature</w:t>
      </w:r>
      <w:r w:rsidR="00420CE9">
        <w:rPr>
          <w:rStyle w:val="Hyperlink"/>
          <w:color w:val="auto"/>
          <w:u w:val="none"/>
        </w:rPr>
        <w:t xml:space="preserve"> extremes. </w:t>
      </w:r>
      <w:r w:rsidR="00420CE9" w:rsidRPr="00EA2673">
        <w:rPr>
          <w:rStyle w:val="Hyperlink"/>
          <w:color w:val="auto"/>
          <w:u w:val="none"/>
        </w:rPr>
        <w:t xml:space="preserve">We then created a basis matrix </w:t>
      </w:r>
      <w:r w:rsidR="00420CE9" w:rsidRPr="00EA2673">
        <w:rPr>
          <w:rStyle w:val="Hyperlink"/>
          <w:color w:val="auto"/>
          <w:u w:val="none"/>
        </w:rPr>
        <w:lastRenderedPageBreak/>
        <w:t xml:space="preserve">for the lag structure, assuming again a natural </w:t>
      </w:r>
      <w:r w:rsidR="00420CE9">
        <w:rPr>
          <w:rStyle w:val="Hyperlink"/>
          <w:color w:val="auto"/>
          <w:u w:val="none"/>
        </w:rPr>
        <w:t xml:space="preserve">cubic </w:t>
      </w:r>
      <w:r w:rsidR="00420CE9" w:rsidRPr="00EA2673">
        <w:rPr>
          <w:rStyle w:val="Hyperlink"/>
          <w:color w:val="auto"/>
          <w:u w:val="none"/>
        </w:rPr>
        <w:t>spline, with a maximum lag of 5 days</w:t>
      </w:r>
      <w:r w:rsidR="00420CE9">
        <w:rPr>
          <w:rStyle w:val="Hyperlink"/>
          <w:color w:val="auto"/>
          <w:u w:val="none"/>
        </w:rPr>
        <w:t xml:space="preserve"> (and sensitivity tests for 3 and 10 days)</w:t>
      </w:r>
      <w:r w:rsidR="00420CE9" w:rsidRPr="00EA2673">
        <w:rPr>
          <w:rStyle w:val="Hyperlink"/>
          <w:color w:val="auto"/>
          <w:u w:val="none"/>
        </w:rPr>
        <w:t>, and three</w:t>
      </w:r>
      <w:r w:rsidR="00420CE9">
        <w:rPr>
          <w:rStyle w:val="Hyperlink"/>
          <w:color w:val="auto"/>
          <w:u w:val="none"/>
        </w:rPr>
        <w:t xml:space="preserve"> internal knots equally spaced on the time axis on the log scale</w:t>
      </w:r>
      <w:r w:rsidR="00420CE9" w:rsidRPr="00EA2673">
        <w:rPr>
          <w:rStyle w:val="Hyperlink"/>
          <w:color w:val="auto"/>
          <w:u w:val="none"/>
        </w:rPr>
        <w:t xml:space="preserve">. We then created a </w:t>
      </w:r>
      <w:proofErr w:type="spellStart"/>
      <w:r w:rsidR="00420CE9" w:rsidRPr="00EA2673">
        <w:rPr>
          <w:rStyle w:val="Hyperlink"/>
          <w:color w:val="auto"/>
          <w:u w:val="none"/>
        </w:rPr>
        <w:t>crossbasis</w:t>
      </w:r>
      <w:proofErr w:type="spellEnd"/>
      <w:r w:rsidR="00420CE9" w:rsidRPr="00EA2673">
        <w:rPr>
          <w:rStyle w:val="Hyperlink"/>
          <w:color w:val="auto"/>
          <w:u w:val="none"/>
        </w:rPr>
        <w:t xml:space="preserve"> for lagged temperature from these individual bases, using the </w:t>
      </w:r>
      <w:proofErr w:type="spellStart"/>
      <w:r w:rsidR="00420CE9" w:rsidRPr="00EA2673">
        <w:rPr>
          <w:rStyle w:val="Hyperlink"/>
          <w:color w:val="auto"/>
          <w:u w:val="none"/>
        </w:rPr>
        <w:t>dlnm</w:t>
      </w:r>
      <w:proofErr w:type="spellEnd"/>
      <w:r w:rsidR="00420CE9" w:rsidRPr="00EA2673">
        <w:rPr>
          <w:rStyle w:val="Hyperlink"/>
          <w:color w:val="auto"/>
          <w:u w:val="none"/>
        </w:rPr>
        <w:t xml:space="preserve"> package</w:t>
      </w:r>
      <w:r w:rsidR="00420CE9">
        <w:rPr>
          <w:rStyle w:val="Hyperlink"/>
          <w:color w:val="auto"/>
          <w:u w:val="none"/>
        </w:rPr>
        <w:t>.</w:t>
      </w:r>
      <w:r w:rsidR="00420CE9">
        <w:rPr>
          <w:rStyle w:val="Hyperlink"/>
          <w:color w:val="auto"/>
          <w:u w:val="none"/>
        </w:rPr>
        <w:fldChar w:fldCharType="begin"/>
      </w:r>
      <w:r w:rsidR="004835FE">
        <w:rPr>
          <w:rStyle w:val="Hyperlink"/>
          <w:color w:val="auto"/>
          <w:u w:val="none"/>
        </w:rPr>
        <w:instrText xml:space="preserve"> ADDIN ZOTERO_ITEM CSL_CITATION {"citationID":"c7tfSnY4","properties":{"formattedCitation":"\\super 37\\nosupersub{}","plainCitation":"37","noteIndex":0},"citationItems":[{"id":2107,"uris":["http://zotero.org/users/9240079/items/XYCSE6XL"],"itemData":{"id":2107,"type":"article-journal","abstract":"Distributed lag non-linear models (DLNMs) represent a modeling framework to flexibly describe associations showing potentially non-linear and delayed effects in time series data. This methodology rests on the definition of a crossbasis, a bi-dimensional functional space expressed by the combination of two sets of basis functions, which specify the relationships in the dimensions of predictor and lags, respectively. This framework is implemented in the R package dlnm, which provides functions to perform the broad range of models within the DLNM family and then to help interpret the results, with an emphasis on graphical representation. This paper offers an overview of the capabilities of the package, describing the conceptual and practical steps to specify and interpret DLNMs with an example of application to real data.","container-title":"Journal of statistical software","ISSN":"1548-7660","issue":"8","journalAbbreviation":"J Stat Softw","note":"PMID: 22003319\nPMCID: PMC3191524","page":"1-20","source":"PubMed Central","title":"Distributed Lag Linear and Non-Linear Models in R: The Package dlnm","title-short":"Distributed Lag Linear and Non-Linear Models in R","volume":"43","author":[{"family":"Gasparrini","given":"Antonio"}],"issued":{"date-parts":[["2011",7]]}}}],"schema":"https://github.com/citation-style-language/schema/raw/master/csl-citation.json"} </w:instrText>
      </w:r>
      <w:r w:rsidR="00420CE9">
        <w:rPr>
          <w:rStyle w:val="Hyperlink"/>
          <w:color w:val="auto"/>
          <w:u w:val="none"/>
        </w:rPr>
        <w:fldChar w:fldCharType="separate"/>
      </w:r>
      <w:r w:rsidR="004835FE" w:rsidRPr="004835FE">
        <w:rPr>
          <w:vertAlign w:val="superscript"/>
        </w:rPr>
        <w:t>37</w:t>
      </w:r>
      <w:r w:rsidR="00420CE9">
        <w:rPr>
          <w:rStyle w:val="Hyperlink"/>
          <w:color w:val="auto"/>
          <w:u w:val="none"/>
        </w:rPr>
        <w:fldChar w:fldCharType="end"/>
      </w:r>
      <w:r w:rsidR="00420CE9" w:rsidRPr="00EA2673">
        <w:rPr>
          <w:rStyle w:val="Hyperlink"/>
          <w:color w:val="auto"/>
          <w:u w:val="none"/>
        </w:rPr>
        <w:t xml:space="preserve"> </w:t>
      </w:r>
      <w:r w:rsidR="00420CE9">
        <w:rPr>
          <w:rStyle w:val="Hyperlink"/>
          <w:color w:val="auto"/>
          <w:u w:val="none"/>
        </w:rPr>
        <w:t>Novel to this work was adapting the method of how the future temperature basis was created. Instead of creating a new basis directly from the vector of future temperatures,</w:t>
      </w:r>
      <w:r w:rsidR="00420CE9" w:rsidRPr="00EA2673">
        <w:rPr>
          <w:rStyle w:val="Hyperlink"/>
          <w:color w:val="auto"/>
          <w:u w:val="none"/>
        </w:rPr>
        <w:fldChar w:fldCharType="begin"/>
      </w:r>
      <w:r w:rsidR="004835FE">
        <w:rPr>
          <w:rStyle w:val="Hyperlink"/>
          <w:color w:val="auto"/>
          <w:u w:val="none"/>
        </w:rPr>
        <w:instrText xml:space="preserve"> ADDIN ZOTERO_ITEM CSL_CITATION {"citationID":"1XDDHYye","properties":{"formattedCitation":"\\super 38\\nosupersub{}","plainCitation":"38","noteIndex":0},"citationItems":[{"id":2072,"uris":["http://zotero.org/users/9240079/items/IIUGB23M"],"itemData":{"id":2072,"type":"article-journal","abstract":"Reliable estimates of future health impacts due to climate change are needed to inform and contribute to the design of efficient adaptation and mitigation strategies. However, projecting health burdens associated to specific environmental stressors is a challenging task because of the complex risk patterns and inherent uncertainty of future climate scenarios. These assessments involve multidisciplinary knowledge, requiring expertise in epidemiology, statistics, and climate science, among other subjects. Here, we present a methodologic framework to estimate future health impacts under climate change scenarios based on a defined set of assumptions and advanced statistical techniques developed in time-series analysis in environmental epidemiology. The proposed methodology is illustrated through a step-by-step hands-on tutorial structured in well-defined sections that cover the main methodological steps and essential elements. Each section provides a thorough description of each step, along with a discussion on available analytical options and the rationale on the choices made in the proposed framework. The illustration is complemented with a practical example of study using real-world data and a series of R scripts included as Supplementary Digital Content; https://links.lww.com/EDE/B504, which facilitates its replication and extension on other environmental stressors, outcomes, study settings, and projection scenarios. Users should critically assess the potential modeling alternatives and modify the framework and R code to adapt them to their research on health impact projections.","container-title":"Epidemiology","DOI":"10.1097/EDE.0000000000000982","ISSN":"1044-3983","issue":"3","language":"en-US","page":"321","source":"journals.lww.com","title":"Hands-on Tutorial on a Modeling Framework for Projections of Climate Change Impacts on Health","volume":"30","author":[{"family":"Vicedo-Cabrera","given":"Ana M."},{"family":"Sera","given":"Francesco"},{"family":"Gasparrini","given":"Antonio"}],"issued":{"date-parts":[["2019",5]]}}}],"schema":"https://github.com/citation-style-language/schema/raw/master/csl-citation.json"} </w:instrText>
      </w:r>
      <w:r w:rsidR="00420CE9" w:rsidRPr="00EA2673">
        <w:rPr>
          <w:rStyle w:val="Hyperlink"/>
          <w:color w:val="auto"/>
          <w:u w:val="none"/>
        </w:rPr>
        <w:fldChar w:fldCharType="separate"/>
      </w:r>
      <w:r w:rsidR="004835FE" w:rsidRPr="004835FE">
        <w:rPr>
          <w:vertAlign w:val="superscript"/>
        </w:rPr>
        <w:t>38</w:t>
      </w:r>
      <w:r w:rsidR="00420CE9" w:rsidRPr="00EA2673">
        <w:rPr>
          <w:rStyle w:val="Hyperlink"/>
          <w:color w:val="auto"/>
          <w:u w:val="none"/>
        </w:rPr>
        <w:fldChar w:fldCharType="end"/>
      </w:r>
      <w:r w:rsidR="00420CE9">
        <w:rPr>
          <w:rStyle w:val="Hyperlink"/>
          <w:color w:val="auto"/>
          <w:u w:val="none"/>
        </w:rPr>
        <w:t xml:space="preserve"> we instead rearranged rows of the present-day exposure matrix depending on the county-specific temperature percentile each day fell in (using bins of 1 </w:t>
      </w:r>
      <w:r w:rsidR="00420CE9" w:rsidRPr="00EA2673">
        <w:t>°C</w:t>
      </w:r>
      <w:r w:rsidR="00420CE9">
        <w:t>)</w:t>
      </w:r>
      <w:r w:rsidR="00420CE9">
        <w:rPr>
          <w:rStyle w:val="Hyperlink"/>
          <w:color w:val="auto"/>
          <w:u w:val="none"/>
        </w:rPr>
        <w:t>. By doing so, we ensured that the regression model coefficients fit using present-day data could be applied to a future temperature time-series while maintaining the present-day exposure-response relationship. To derive the exposure-outcome relationship, w</w:t>
      </w:r>
      <w:r w:rsidR="00420CE9" w:rsidRPr="00EA2673">
        <w:rPr>
          <w:rStyle w:val="Hyperlink"/>
          <w:color w:val="auto"/>
          <w:u w:val="none"/>
        </w:rPr>
        <w:t xml:space="preserve">e </w:t>
      </w:r>
      <w:r w:rsidR="00420CE9">
        <w:rPr>
          <w:rStyle w:val="Hyperlink"/>
          <w:color w:val="auto"/>
          <w:u w:val="none"/>
        </w:rPr>
        <w:t>fit</w:t>
      </w:r>
      <w:r w:rsidR="00420CE9" w:rsidRPr="00EA2673">
        <w:rPr>
          <w:rStyle w:val="Hyperlink"/>
          <w:color w:val="auto"/>
          <w:u w:val="none"/>
        </w:rPr>
        <w:t xml:space="preserve"> a quasi-Poisson model of county-specific all</w:t>
      </w:r>
      <w:r w:rsidR="00420CE9">
        <w:rPr>
          <w:rStyle w:val="Hyperlink"/>
          <w:color w:val="auto"/>
          <w:u w:val="none"/>
        </w:rPr>
        <w:t>-</w:t>
      </w:r>
      <w:r w:rsidR="00420CE9" w:rsidRPr="00EA2673">
        <w:rPr>
          <w:rStyle w:val="Hyperlink"/>
          <w:color w:val="auto"/>
          <w:u w:val="none"/>
        </w:rPr>
        <w:t>cause ED visit</w:t>
      </w:r>
      <w:r w:rsidR="00420CE9">
        <w:rPr>
          <w:rStyle w:val="Hyperlink"/>
          <w:color w:val="auto"/>
          <w:u w:val="none"/>
        </w:rPr>
        <w:t xml:space="preserve">s </w:t>
      </w:r>
      <w:r w:rsidR="00420CE9" w:rsidRPr="00EA2673">
        <w:rPr>
          <w:rStyle w:val="Hyperlink"/>
          <w:color w:val="auto"/>
          <w:u w:val="none"/>
        </w:rPr>
        <w:t xml:space="preserve">using </w:t>
      </w:r>
      <w:r w:rsidR="00420CE9">
        <w:rPr>
          <w:rStyle w:val="Hyperlink"/>
          <w:color w:val="auto"/>
          <w:u w:val="none"/>
        </w:rPr>
        <w:t>the present-day lagged exposure matrix</w:t>
      </w:r>
      <w:r w:rsidR="00420CE9" w:rsidRPr="00EA2673">
        <w:rPr>
          <w:rStyle w:val="Hyperlink"/>
          <w:color w:val="auto"/>
          <w:u w:val="none"/>
        </w:rPr>
        <w:t xml:space="preserve">, a dummy variable for day of week and a natural </w:t>
      </w:r>
      <w:r w:rsidR="00420CE9">
        <w:rPr>
          <w:rStyle w:val="Hyperlink"/>
          <w:color w:val="auto"/>
          <w:u w:val="none"/>
        </w:rPr>
        <w:t xml:space="preserve">cubic </w:t>
      </w:r>
      <w:r w:rsidR="00420CE9" w:rsidRPr="00EA2673">
        <w:rPr>
          <w:rStyle w:val="Hyperlink"/>
          <w:color w:val="auto"/>
          <w:u w:val="none"/>
        </w:rPr>
        <w:t>spline to account of varying time trends (with 8 degrees of freedom per year).</w:t>
      </w:r>
      <w:r w:rsidR="00420CE9">
        <w:rPr>
          <w:rStyle w:val="Hyperlink"/>
          <w:color w:val="auto"/>
          <w:u w:val="none"/>
        </w:rPr>
        <w:t xml:space="preserve"> </w:t>
      </w:r>
      <w:r w:rsidR="00210E75">
        <w:rPr>
          <w:rStyle w:val="Hyperlink"/>
          <w:color w:val="auto"/>
          <w:u w:val="none"/>
        </w:rPr>
        <w:t xml:space="preserve">All </w:t>
      </w:r>
      <w:r w:rsidR="00210E75" w:rsidRPr="00EA2673">
        <w:t>analyses were performed in R version 4.</w:t>
      </w:r>
      <w:r w:rsidR="00210E75">
        <w:t>2</w:t>
      </w:r>
      <w:r w:rsidR="00210E75" w:rsidRPr="00EA2673">
        <w:t>.</w:t>
      </w:r>
      <w:r w:rsidR="00210E75">
        <w:t>1.</w:t>
      </w:r>
      <w:r w:rsidR="00210E75">
        <w:fldChar w:fldCharType="begin"/>
      </w:r>
      <w:r w:rsidR="004835FE">
        <w:instrText xml:space="preserve"> ADDIN ZOTERO_ITEM CSL_CITATION {"citationID":"ZGuA79NR","properties":{"formattedCitation":"\\super 39\\nosupersub{}","plainCitation":"39","noteIndex":0},"citationItems":[{"id":1139,"uris":["http://zotero.org/users/9240079/items/N2H8VDPG"],"itemData":{"id":1139,"type":"software","title":"R-4.1.3","author":[{"family":"R Core Team","given":""}],"issued":{"date-parts":[["2022"]]}}}],"schema":"https://github.com/citation-style-language/schema/raw/master/csl-citation.json"} </w:instrText>
      </w:r>
      <w:r w:rsidR="00210E75">
        <w:fldChar w:fldCharType="separate"/>
      </w:r>
      <w:r w:rsidR="004835FE" w:rsidRPr="004835FE">
        <w:rPr>
          <w:vertAlign w:val="superscript"/>
        </w:rPr>
        <w:t>39</w:t>
      </w:r>
      <w:r w:rsidR="00210E75">
        <w:fldChar w:fldCharType="end"/>
      </w:r>
    </w:p>
    <w:p w14:paraId="3451CE01" w14:textId="120C3162" w:rsidR="00420CE9" w:rsidRDefault="00210E75" w:rsidP="00B022D5">
      <w:pPr>
        <w:pStyle w:val="Heading2"/>
        <w:numPr>
          <w:ilvl w:val="0"/>
          <w:numId w:val="0"/>
        </w:numPr>
        <w:rPr>
          <w:rStyle w:val="Hyperlink"/>
          <w:color w:val="auto"/>
          <w:u w:val="none"/>
        </w:rPr>
      </w:pPr>
      <w:r>
        <w:t xml:space="preserve">Projection of future </w:t>
      </w:r>
      <w:r w:rsidR="00EF58D0">
        <w:t>outcomes</w:t>
      </w:r>
      <w:r>
        <w:rPr>
          <w:rStyle w:val="Hyperlink"/>
          <w:color w:val="auto"/>
          <w:u w:val="none"/>
        </w:rPr>
        <w:tab/>
      </w:r>
    </w:p>
    <w:p w14:paraId="799B8A83" w14:textId="573482B6" w:rsidR="00210E75" w:rsidRPr="00EA2673" w:rsidRDefault="00B022D5" w:rsidP="00210E75">
      <w:pPr>
        <w:rPr>
          <w:rStyle w:val="Hyperlink"/>
          <w:color w:val="auto"/>
          <w:u w:val="none"/>
        </w:rPr>
      </w:pPr>
      <w:r>
        <w:rPr>
          <w:rStyle w:val="Hyperlink"/>
          <w:color w:val="auto"/>
          <w:u w:val="none"/>
        </w:rPr>
        <w:tab/>
      </w:r>
      <w:r>
        <w:rPr>
          <w:rStyle w:val="Hyperlink"/>
          <w:color w:val="auto"/>
          <w:u w:val="none"/>
        </w:rPr>
        <w:tab/>
      </w:r>
      <w:r w:rsidR="00210E75" w:rsidRPr="00EA2673">
        <w:rPr>
          <w:rStyle w:val="Hyperlink"/>
          <w:color w:val="auto"/>
          <w:u w:val="none"/>
        </w:rPr>
        <w:t>We then used the coefficients from th</w:t>
      </w:r>
      <w:r w:rsidR="00210E75">
        <w:rPr>
          <w:rStyle w:val="Hyperlink"/>
          <w:color w:val="auto"/>
          <w:u w:val="none"/>
        </w:rPr>
        <w:t xml:space="preserve">e present-day </w:t>
      </w:r>
      <w:r w:rsidR="00210E75" w:rsidRPr="00EA2673">
        <w:rPr>
          <w:rStyle w:val="Hyperlink"/>
          <w:color w:val="auto"/>
          <w:u w:val="none"/>
        </w:rPr>
        <w:t xml:space="preserve">model </w:t>
      </w:r>
      <w:r w:rsidR="00210E75">
        <w:rPr>
          <w:rStyle w:val="Hyperlink"/>
          <w:color w:val="auto"/>
          <w:u w:val="none"/>
        </w:rPr>
        <w:t xml:space="preserve">and the future temperature exposure matrix </w:t>
      </w:r>
      <w:r w:rsidR="00210E75" w:rsidRPr="00EA2673">
        <w:rPr>
          <w:rStyle w:val="Hyperlink"/>
          <w:color w:val="auto"/>
          <w:u w:val="none"/>
        </w:rPr>
        <w:t xml:space="preserve">to create </w:t>
      </w:r>
      <w:r w:rsidR="004604DF">
        <w:rPr>
          <w:rStyle w:val="Hyperlink"/>
          <w:color w:val="auto"/>
          <w:u w:val="none"/>
        </w:rPr>
        <w:t xml:space="preserve">a future </w:t>
      </w:r>
      <w:r w:rsidR="00210E75" w:rsidRPr="00EA2673">
        <w:rPr>
          <w:rStyle w:val="Hyperlink"/>
          <w:color w:val="auto"/>
          <w:u w:val="none"/>
        </w:rPr>
        <w:t xml:space="preserve">time-series of the expected value of daily ED visits with standard errors for each modeled point </w:t>
      </w:r>
      <w:r w:rsidR="00210E75" w:rsidRPr="00EA2673">
        <w:t>(</w:t>
      </w:r>
      <w:r w:rsidR="00210E75" w:rsidRPr="00EA2673">
        <w:rPr>
          <w:b/>
          <w:bCs/>
          <w:color w:val="0432FF"/>
        </w:rPr>
        <w:t>Fig</w:t>
      </w:r>
      <w:r w:rsidR="00210E75">
        <w:rPr>
          <w:b/>
          <w:bCs/>
          <w:color w:val="0432FF"/>
        </w:rPr>
        <w:t>2</w:t>
      </w:r>
      <w:r w:rsidR="00210E75" w:rsidRPr="00EA2673">
        <w:rPr>
          <w:b/>
          <w:bCs/>
          <w:color w:val="0432FF"/>
        </w:rPr>
        <w:t>. Panel b</w:t>
      </w:r>
      <w:r w:rsidR="00210E75" w:rsidRPr="00EA2673">
        <w:t>)</w:t>
      </w:r>
      <w:r w:rsidR="00210E75" w:rsidRPr="00EA2673">
        <w:rPr>
          <w:rStyle w:val="Hyperlink"/>
          <w:color w:val="auto"/>
          <w:u w:val="none"/>
        </w:rPr>
        <w:t xml:space="preserve">. To view the exposure-response relationships by NCA4 region, we reduced the model output along the lag dimension and calculated the relationship within regions using the </w:t>
      </w:r>
      <w:proofErr w:type="spellStart"/>
      <w:r w:rsidR="00210E75" w:rsidRPr="00EA2673">
        <w:rPr>
          <w:rStyle w:val="Hyperlink"/>
          <w:color w:val="auto"/>
          <w:u w:val="none"/>
        </w:rPr>
        <w:t>mixmeta</w:t>
      </w:r>
      <w:proofErr w:type="spellEnd"/>
      <w:r w:rsidR="00210E75" w:rsidRPr="00EA2673">
        <w:rPr>
          <w:rStyle w:val="Hyperlink"/>
          <w:color w:val="auto"/>
          <w:u w:val="none"/>
        </w:rPr>
        <w:t xml:space="preserve"> package</w:t>
      </w:r>
      <w:r w:rsidR="00210E75">
        <w:rPr>
          <w:rStyle w:val="Hyperlink"/>
          <w:color w:val="auto"/>
          <w:u w:val="none"/>
        </w:rPr>
        <w:t>.</w:t>
      </w:r>
      <w:r w:rsidR="00210E75">
        <w:rPr>
          <w:rStyle w:val="Hyperlink"/>
          <w:color w:val="auto"/>
          <w:u w:val="none"/>
        </w:rPr>
        <w:fldChar w:fldCharType="begin"/>
      </w:r>
      <w:r w:rsidR="004835FE">
        <w:rPr>
          <w:rStyle w:val="Hyperlink"/>
          <w:color w:val="auto"/>
          <w:u w:val="none"/>
        </w:rPr>
        <w:instrText xml:space="preserve"> ADDIN ZOTERO_ITEM CSL_CITATION {"citationID":"dtOFUoKm","properties":{"formattedCitation":"\\super 36\\nosupersub{}","plainCitation":"36","noteIndex":0},"citationItems":[{"id":2075,"uris":["http://zotero.org/users/9240079/items/IG9KKBH5"],"itemData":{"id":2075,"type":"article-journal","abstract":"The two-stage design has become a standard tool in environmental epidemiology to model multi-location data. However, its standard form is rather inflexible and poses important limitations for modelling complex risks associated with environmental factors. In this contribution, we illustrate multiple design extensions of the classical two-stage method, all implemented within a unified analytic framework.","container-title":"Environmental Health","DOI":"10.1186/s12940-022-00853-z","ISSN":"1476-069X","issue":"1","journalAbbreviation":"Environmental Health","page":"41","source":"BioMed Central","title":"Extended two-stage designs for environmental research","volume":"21","author":[{"family":"Sera","given":"Francesco"},{"family":"Gasparrini","given":"Antonio"}],"issued":{"date-parts":[["2022",4,19]]}}}],"schema":"https://github.com/citation-style-language/schema/raw/master/csl-citation.json"} </w:instrText>
      </w:r>
      <w:r w:rsidR="00210E75">
        <w:rPr>
          <w:rStyle w:val="Hyperlink"/>
          <w:color w:val="auto"/>
          <w:u w:val="none"/>
        </w:rPr>
        <w:fldChar w:fldCharType="separate"/>
      </w:r>
      <w:r w:rsidR="004835FE" w:rsidRPr="004835FE">
        <w:rPr>
          <w:vertAlign w:val="superscript"/>
        </w:rPr>
        <w:t>36</w:t>
      </w:r>
      <w:r w:rsidR="00210E75">
        <w:rPr>
          <w:rStyle w:val="Hyperlink"/>
          <w:color w:val="auto"/>
          <w:u w:val="none"/>
        </w:rPr>
        <w:fldChar w:fldCharType="end"/>
      </w:r>
      <w:r w:rsidR="00210E75" w:rsidRPr="00EA2673">
        <w:rPr>
          <w:rStyle w:val="Hyperlink"/>
          <w:color w:val="auto"/>
          <w:u w:val="none"/>
        </w:rPr>
        <w:t xml:space="preserve"> </w:t>
      </w:r>
    </w:p>
    <w:p w14:paraId="5F1DCF68" w14:textId="3CB9D58B" w:rsidR="00210E75" w:rsidRPr="00EA2673" w:rsidRDefault="00210E75" w:rsidP="00210E75">
      <w:pPr>
        <w:rPr>
          <w:rStyle w:val="Hyperlink"/>
          <w:color w:val="auto"/>
          <w:u w:val="none"/>
        </w:rPr>
      </w:pPr>
      <w:r w:rsidRPr="00EA2673">
        <w:rPr>
          <w:rStyle w:val="Hyperlink"/>
          <w:color w:val="auto"/>
          <w:u w:val="none"/>
        </w:rPr>
        <w:tab/>
      </w:r>
      <w:r w:rsidRPr="00EA2673">
        <w:rPr>
          <w:rStyle w:val="Hyperlink"/>
          <w:color w:val="auto"/>
          <w:u w:val="none"/>
        </w:rPr>
        <w:tab/>
        <w:t xml:space="preserve">Using the change in daily </w:t>
      </w:r>
      <w:r w:rsidR="00FA0320">
        <w:rPr>
          <w:rStyle w:val="Hyperlink"/>
          <w:color w:val="auto"/>
          <w:u w:val="none"/>
        </w:rPr>
        <w:t xml:space="preserve">maximum </w:t>
      </w:r>
      <w:r w:rsidRPr="00EA2673">
        <w:rPr>
          <w:rStyle w:val="Hyperlink"/>
          <w:color w:val="auto"/>
          <w:u w:val="none"/>
        </w:rPr>
        <w:t>temperature by GCM and SSP, we then created new multi-year time-series of the expected ED visit</w:t>
      </w:r>
      <w:r>
        <w:rPr>
          <w:rStyle w:val="Hyperlink"/>
          <w:color w:val="auto"/>
          <w:u w:val="none"/>
        </w:rPr>
        <w:t xml:space="preserve">s </w:t>
      </w:r>
      <w:r w:rsidRPr="00EA2673">
        <w:rPr>
          <w:rStyle w:val="Hyperlink"/>
          <w:color w:val="auto"/>
          <w:u w:val="none"/>
        </w:rPr>
        <w:t xml:space="preserve">among the present-day population but with the projected mid-century temperatures </w:t>
      </w:r>
      <w:r w:rsidRPr="00EA2673">
        <w:t>(</w:t>
      </w:r>
      <w:r w:rsidRPr="00EA2673">
        <w:rPr>
          <w:b/>
          <w:bCs/>
          <w:color w:val="0432FF"/>
        </w:rPr>
        <w:t>Fig</w:t>
      </w:r>
      <w:r>
        <w:rPr>
          <w:b/>
          <w:bCs/>
          <w:color w:val="0432FF"/>
        </w:rPr>
        <w:t>2</w:t>
      </w:r>
      <w:r w:rsidRPr="00EA2673">
        <w:rPr>
          <w:b/>
          <w:bCs/>
          <w:color w:val="0432FF"/>
        </w:rPr>
        <w:t>. Panel c</w:t>
      </w:r>
      <w:r w:rsidRPr="00EA2673">
        <w:rPr>
          <w:rStyle w:val="Hyperlink"/>
          <w:color w:val="auto"/>
          <w:u w:val="none"/>
        </w:rPr>
        <w:t>.). Each of these future time-series also ha</w:t>
      </w:r>
      <w:r>
        <w:rPr>
          <w:rStyle w:val="Hyperlink"/>
          <w:color w:val="auto"/>
          <w:u w:val="none"/>
        </w:rPr>
        <w:t>d</w:t>
      </w:r>
      <w:r w:rsidRPr="00EA2673">
        <w:rPr>
          <w:rStyle w:val="Hyperlink"/>
          <w:color w:val="auto"/>
          <w:u w:val="none"/>
        </w:rPr>
        <w:t xml:space="preserve"> a point estimate and standard error. </w:t>
      </w:r>
    </w:p>
    <w:p w14:paraId="15AAA060" w14:textId="404C7411" w:rsidR="00210E75" w:rsidRPr="00EA2673" w:rsidRDefault="00210E75" w:rsidP="00210E75">
      <w:pPr>
        <w:rPr>
          <w:rStyle w:val="Hyperlink"/>
          <w:color w:val="auto"/>
          <w:u w:val="none"/>
        </w:rPr>
      </w:pPr>
      <w:r w:rsidRPr="00EA2673">
        <w:rPr>
          <w:rStyle w:val="Hyperlink"/>
          <w:color w:val="auto"/>
          <w:u w:val="none"/>
        </w:rPr>
        <w:tab/>
      </w:r>
      <w:r w:rsidRPr="00EA2673">
        <w:rPr>
          <w:rStyle w:val="Hyperlink"/>
          <w:color w:val="auto"/>
          <w:u w:val="none"/>
        </w:rPr>
        <w:tab/>
      </w:r>
      <w:r w:rsidR="00222996">
        <w:rPr>
          <w:rStyle w:val="Hyperlink"/>
          <w:color w:val="auto"/>
          <w:u w:val="none"/>
        </w:rPr>
        <w:t>For each GCM within each SSP, w</w:t>
      </w:r>
      <w:r w:rsidRPr="00EA2673">
        <w:rPr>
          <w:rStyle w:val="Hyperlink"/>
          <w:color w:val="auto"/>
          <w:u w:val="none"/>
        </w:rPr>
        <w:t xml:space="preserve">e then calculated the </w:t>
      </w:r>
      <w:r w:rsidR="00D272B0">
        <w:rPr>
          <w:rStyle w:val="Hyperlink"/>
          <w:color w:val="auto"/>
          <w:u w:val="none"/>
        </w:rPr>
        <w:t xml:space="preserve">difference in present day versus future </w:t>
      </w:r>
      <w:r w:rsidR="00750F28">
        <w:rPr>
          <w:rStyle w:val="Hyperlink"/>
          <w:color w:val="auto"/>
          <w:u w:val="none"/>
        </w:rPr>
        <w:t xml:space="preserve">ED visits </w:t>
      </w:r>
      <w:r w:rsidRPr="00EA2673">
        <w:rPr>
          <w:rStyle w:val="Hyperlink"/>
          <w:color w:val="auto"/>
          <w:u w:val="none"/>
        </w:rPr>
        <w:t>using a bootstrap process</w:t>
      </w:r>
      <w:r w:rsidR="00D272B0">
        <w:rPr>
          <w:rStyle w:val="Hyperlink"/>
          <w:color w:val="auto"/>
          <w:u w:val="none"/>
        </w:rPr>
        <w:t xml:space="preserve">. </w:t>
      </w:r>
      <w:r w:rsidR="0025394D">
        <w:rPr>
          <w:rStyle w:val="Hyperlink"/>
          <w:color w:val="auto"/>
          <w:u w:val="none"/>
        </w:rPr>
        <w:t>W</w:t>
      </w:r>
      <w:r w:rsidR="00D272B0">
        <w:rPr>
          <w:rStyle w:val="Hyperlink"/>
          <w:color w:val="auto"/>
          <w:u w:val="none"/>
        </w:rPr>
        <w:t>e</w:t>
      </w:r>
      <w:r w:rsidRPr="00EA2673">
        <w:rPr>
          <w:rStyle w:val="Hyperlink"/>
          <w:color w:val="auto"/>
          <w:u w:val="none"/>
        </w:rPr>
        <w:t xml:space="preserve"> </w:t>
      </w:r>
      <w:r w:rsidR="0025394D">
        <w:rPr>
          <w:rStyle w:val="Hyperlink"/>
          <w:color w:val="auto"/>
          <w:u w:val="none"/>
        </w:rPr>
        <w:t>used</w:t>
      </w:r>
      <w:r w:rsidRPr="00EA2673">
        <w:rPr>
          <w:rStyle w:val="Hyperlink"/>
          <w:color w:val="auto"/>
          <w:u w:val="none"/>
        </w:rPr>
        <w:t xml:space="preserve"> the </w:t>
      </w:r>
      <w:r w:rsidR="0025394D">
        <w:rPr>
          <w:rStyle w:val="Hyperlink"/>
          <w:color w:val="auto"/>
          <w:u w:val="none"/>
        </w:rPr>
        <w:t xml:space="preserve">present day and future expected ED visit counts </w:t>
      </w:r>
      <w:r w:rsidRPr="00EA2673">
        <w:rPr>
          <w:rStyle w:val="Hyperlink"/>
          <w:color w:val="auto"/>
          <w:u w:val="none"/>
        </w:rPr>
        <w:t>and standard errors as parameters for two normal distributions</w:t>
      </w:r>
      <w:r w:rsidR="000131F8">
        <w:rPr>
          <w:rStyle w:val="Hyperlink"/>
          <w:color w:val="auto"/>
          <w:u w:val="none"/>
        </w:rPr>
        <w:t xml:space="preserve"> and created 250 estimates of</w:t>
      </w:r>
      <w:r w:rsidR="00856F24">
        <w:rPr>
          <w:rStyle w:val="Hyperlink"/>
          <w:color w:val="auto"/>
          <w:u w:val="none"/>
        </w:rPr>
        <w:t xml:space="preserve"> the difference between present day conditions and each GCM output</w:t>
      </w:r>
      <w:r w:rsidRPr="00EA2673">
        <w:rPr>
          <w:rStyle w:val="Hyperlink"/>
          <w:color w:val="auto"/>
          <w:u w:val="none"/>
        </w:rPr>
        <w:t xml:space="preserve"> </w:t>
      </w:r>
      <w:r w:rsidRPr="00EA2673">
        <w:t>(</w:t>
      </w:r>
      <w:r w:rsidRPr="00EA2673">
        <w:rPr>
          <w:b/>
          <w:bCs/>
          <w:color w:val="0432FF"/>
        </w:rPr>
        <w:t>Fig</w:t>
      </w:r>
      <w:r>
        <w:rPr>
          <w:b/>
          <w:bCs/>
          <w:color w:val="0432FF"/>
        </w:rPr>
        <w:t>2</w:t>
      </w:r>
      <w:r w:rsidRPr="00EA2673">
        <w:rPr>
          <w:b/>
          <w:bCs/>
          <w:color w:val="0432FF"/>
        </w:rPr>
        <w:t>. Panel d</w:t>
      </w:r>
      <w:r w:rsidRPr="00EA2673">
        <w:rPr>
          <w:rStyle w:val="Hyperlink"/>
          <w:color w:val="auto"/>
          <w:u w:val="none"/>
        </w:rPr>
        <w:t>.).</w:t>
      </w:r>
      <w:r w:rsidR="00D272B0">
        <w:rPr>
          <w:rStyle w:val="Hyperlink"/>
          <w:color w:val="auto"/>
          <w:u w:val="none"/>
        </w:rPr>
        <w:t xml:space="preserve"> We</w:t>
      </w:r>
      <w:r w:rsidRPr="00EA2673">
        <w:rPr>
          <w:rStyle w:val="Hyperlink"/>
          <w:color w:val="auto"/>
          <w:u w:val="none"/>
        </w:rPr>
        <w:t xml:space="preserve"> then calculated a combined difference and empirical confidence interval for each county and </w:t>
      </w:r>
      <w:r w:rsidR="00856F24">
        <w:rPr>
          <w:rStyle w:val="Hyperlink"/>
          <w:color w:val="auto"/>
          <w:u w:val="none"/>
        </w:rPr>
        <w:t xml:space="preserve">GCMs within each </w:t>
      </w:r>
      <w:r w:rsidRPr="00EA2673">
        <w:rPr>
          <w:rStyle w:val="Hyperlink"/>
          <w:color w:val="auto"/>
          <w:u w:val="none"/>
        </w:rPr>
        <w:t>SSP by performing another bootstrapping process</w:t>
      </w:r>
      <w:r w:rsidR="00856F24">
        <w:rPr>
          <w:rStyle w:val="Hyperlink"/>
          <w:color w:val="auto"/>
          <w:u w:val="none"/>
        </w:rPr>
        <w:t xml:space="preserve"> </w:t>
      </w:r>
      <w:r w:rsidRPr="00EA2673">
        <w:t>(</w:t>
      </w:r>
      <w:r w:rsidRPr="00EA2673">
        <w:rPr>
          <w:b/>
          <w:bCs/>
          <w:color w:val="0432FF"/>
        </w:rPr>
        <w:t>Fig</w:t>
      </w:r>
      <w:r>
        <w:rPr>
          <w:b/>
          <w:bCs/>
          <w:color w:val="0432FF"/>
        </w:rPr>
        <w:t>2</w:t>
      </w:r>
      <w:r w:rsidRPr="00EA2673">
        <w:rPr>
          <w:b/>
          <w:bCs/>
          <w:color w:val="0432FF"/>
        </w:rPr>
        <w:t>. Panel e</w:t>
      </w:r>
      <w:r w:rsidRPr="00EA2673">
        <w:rPr>
          <w:rStyle w:val="Hyperlink"/>
          <w:color w:val="auto"/>
          <w:u w:val="none"/>
        </w:rPr>
        <w:t>.). Thus, for each combination of county, GCM, and SSP, we had a multi-year time-series (and empirical confidence interval) for the daily change in ED visit</w:t>
      </w:r>
      <w:r>
        <w:rPr>
          <w:rStyle w:val="Hyperlink"/>
          <w:color w:val="auto"/>
          <w:u w:val="none"/>
        </w:rPr>
        <w:t xml:space="preserve">s </w:t>
      </w:r>
      <w:r w:rsidRPr="00EA2673">
        <w:rPr>
          <w:rStyle w:val="Hyperlink"/>
          <w:color w:val="auto"/>
          <w:u w:val="none"/>
        </w:rPr>
        <w:t xml:space="preserve">that incorporated uncertainty from both the DLNM models and </w:t>
      </w:r>
      <w:r w:rsidR="00097BD0">
        <w:rPr>
          <w:rStyle w:val="Hyperlink"/>
          <w:color w:val="auto"/>
          <w:u w:val="none"/>
        </w:rPr>
        <w:t>median</w:t>
      </w:r>
      <w:r w:rsidRPr="00EA2673">
        <w:rPr>
          <w:rStyle w:val="Hyperlink"/>
          <w:color w:val="auto"/>
          <w:u w:val="none"/>
        </w:rPr>
        <w:t xml:space="preserve"> daily estimates of GCMs. </w:t>
      </w:r>
      <w:r w:rsidR="00097BD0">
        <w:rPr>
          <w:rStyle w:val="Hyperlink"/>
          <w:color w:val="auto"/>
          <w:u w:val="none"/>
        </w:rPr>
        <w:t xml:space="preserve">Resulting </w:t>
      </w:r>
      <w:r w:rsidR="00097BD0">
        <w:rPr>
          <w:rStyle w:val="Hyperlink"/>
          <w:color w:val="auto"/>
          <w:u w:val="none"/>
        </w:rPr>
        <w:lastRenderedPageBreak/>
        <w:t xml:space="preserve">confidence intervals were narrow, reflecting the distribution around the median estimate, rather than the range across GCMs. </w:t>
      </w:r>
      <w:r>
        <w:t>In estimating uncertainties, we followed approaches similar to the temperature and mortality literature.</w:t>
      </w:r>
      <w:r>
        <w:fldChar w:fldCharType="begin"/>
      </w:r>
      <w:r w:rsidR="004835FE">
        <w:instrText xml:space="preserve"> ADDIN ZOTERO_ITEM CSL_CITATION {"citationID":"QwgrQtAo","properties":{"formattedCitation":"\\super 20\\nosupersub{}","plainCitation":"20","noteIndex":0},"citationItems":[{"id":2048,"uris":["http://zotero.org/users/9240079/items/6TKPXZUN"],"itemData":{"id":2048,"type":"article-journal","container-title":"The Lancet Planetary Health","DOI":"10.1016/S2542-5196(17)30156-0","ISSN":"2542-5196","issue":"9","journalAbbreviation":"The Lancet Planetary Health","language":"English","note":"publisher: Elsevier\nPMID: 29276803","page":"e360-e367","source":"www.thelancet.com","title":"Projections of temperature-related excess mortality under climate change scenarios","volume":"1","author":[{"family":"Gasparrini","given":"Antonio"},{"family":"Guo","given":"Yuming"},{"family":"Sera","given":"Francesco"},{"family":"Vicedo-Cabrera","given":"Ana Maria"},{"family":"Huber","given":"Veronika"},{"family":"Tong","given":"Shilu"},{"family":"Coelho","given":"Micheline de Sousa Zanotti Stagliorio"},{"family":"Saldiva","given":"Paulo Hilario Nascimento"},{"family":"Lavigne","given":"Eric"},{"family":"Correa","given":"Patricia Matus"},{"family":"Ortega","given":"Nicolas Valdes"},{"family":"Kan","given":"Haidong"},{"family":"Osorio","given":"Samuel"},{"family":"Kyselý","given":"Jan"},{"family":"Urban","given":"Aleš"},{"family":"Jaakkola","given":"Jouni J. K."},{"family":"Ryti","given":"Niilo R. I."},{"family":"Pascal","given":"Mathilde"},{"family":"Goodman","given":"Patrick G."},{"family":"Zeka","given":"Ariana"},{"family":"Michelozzi","given":"Paola"},{"family":"Scortichini","given":"Matteo"},{"family":"Hashizume","given":"Masahiro"},{"family":"Honda","given":"Yasushi"},{"family":"Hurtado-Diaz","given":"Magali"},{"family":"Cruz","given":"Julio Cesar"},{"family":"Seposo","given":"Xerxes"},{"family":"Kim","given":"Ho"},{"family":"Tobias","given":"Aurelio"},{"family":"Iñiguez","given":"Carmen"},{"family":"Forsberg","given":"Bertil"},{"family":"Åström","given":"Daniel Oudin"},{"family":"Ragettli","given":"Martina S."},{"family":"Guo","given":"Yue Leon"},{"family":"Wu","given":"Chang-fu"},{"family":"Zanobetti","given":"Antonella"},{"family":"Schwartz","given":"Joel"},{"family":"Bell","given":"Michelle L."},{"family":"Dang","given":"Tran Ngoc"},{"family":"Van","given":"Dung Do"},{"family":"Heaviside","given":"Clare"},{"family":"Vardoulakis","given":"Sotiris"},{"family":"Hajat","given":"Shakoor"},{"family":"Haines","given":"Andy"},{"family":"Armstrong","given":"Ben"}],"issued":{"date-parts":[["2017",12,1]]}}}],"schema":"https://github.com/citation-style-language/schema/raw/master/csl-citation.json"} </w:instrText>
      </w:r>
      <w:r>
        <w:fldChar w:fldCharType="separate"/>
      </w:r>
      <w:r w:rsidR="004835FE" w:rsidRPr="004835FE">
        <w:rPr>
          <w:vertAlign w:val="superscript"/>
        </w:rPr>
        <w:t>20</w:t>
      </w:r>
      <w:r>
        <w:fldChar w:fldCharType="end"/>
      </w:r>
      <w:r>
        <w:t xml:space="preserve"> </w:t>
      </w:r>
    </w:p>
    <w:p w14:paraId="19F54EF8" w14:textId="2CDA02BA" w:rsidR="00AC2C75" w:rsidRDefault="00210E75" w:rsidP="1FB59598">
      <w:pPr>
        <w:rPr>
          <w:rStyle w:val="Hyperlink"/>
          <w:color w:val="auto"/>
          <w:u w:val="none"/>
        </w:rPr>
      </w:pPr>
      <w:r w:rsidRPr="00EA2673">
        <w:rPr>
          <w:rStyle w:val="Hyperlink"/>
          <w:color w:val="auto"/>
          <w:u w:val="none"/>
        </w:rPr>
        <w:tab/>
      </w:r>
      <w:r w:rsidRPr="00EA2673">
        <w:rPr>
          <w:rStyle w:val="Hyperlink"/>
          <w:color w:val="auto"/>
          <w:u w:val="none"/>
        </w:rPr>
        <w:tab/>
      </w:r>
      <w:r w:rsidR="00B76092">
        <w:rPr>
          <w:rStyle w:val="Hyperlink"/>
          <w:color w:val="auto"/>
          <w:u w:val="none"/>
        </w:rPr>
        <w:t>W</w:t>
      </w:r>
      <w:r w:rsidRPr="00EA2673">
        <w:rPr>
          <w:rStyle w:val="Hyperlink"/>
          <w:color w:val="auto"/>
          <w:u w:val="none"/>
        </w:rPr>
        <w:t xml:space="preserve">e created summary estimates of the sum of monthly changes in ED visits within NCA4 regions </w:t>
      </w:r>
      <w:r w:rsidRPr="00EA2673">
        <w:t>(</w:t>
      </w:r>
      <w:r w:rsidRPr="00EA2673">
        <w:rPr>
          <w:b/>
          <w:bCs/>
          <w:color w:val="0432FF"/>
        </w:rPr>
        <w:t>Fig</w:t>
      </w:r>
      <w:r>
        <w:rPr>
          <w:b/>
          <w:bCs/>
          <w:color w:val="0432FF"/>
        </w:rPr>
        <w:t>2</w:t>
      </w:r>
      <w:r w:rsidRPr="00EA2673">
        <w:rPr>
          <w:b/>
          <w:bCs/>
          <w:color w:val="0432FF"/>
        </w:rPr>
        <w:t>. Panel f</w:t>
      </w:r>
      <w:r w:rsidRPr="00EA2673">
        <w:rPr>
          <w:rStyle w:val="Hyperlink"/>
          <w:color w:val="auto"/>
          <w:u w:val="none"/>
        </w:rPr>
        <w:t xml:space="preserve">.). We sampled daily estimates of the difference between present and future ED visit within each combination of month, county, and SSP, then summed to the region and SSP level. Thus, for month, by season, or for a full year, we created estimates of the new ED visits that would occur under mid-century temperatures, all else being equal. To calculate the estimated change in ED visits, </w:t>
      </w:r>
      <w:r>
        <w:rPr>
          <w:rStyle w:val="Hyperlink"/>
          <w:color w:val="auto"/>
          <w:u w:val="none"/>
        </w:rPr>
        <w:t>we compared averages of total ED visits per year.</w:t>
      </w:r>
      <w:r w:rsidRPr="00EA2673">
        <w:rPr>
          <w:rStyle w:val="Hyperlink"/>
          <w:color w:val="auto"/>
          <w:u w:val="none"/>
        </w:rPr>
        <w:t xml:space="preserve"> </w:t>
      </w:r>
    </w:p>
    <w:p w14:paraId="653F49FB" w14:textId="4496E0EA" w:rsidR="00210E75" w:rsidRDefault="00B76092" w:rsidP="1FB59598">
      <w:r>
        <w:tab/>
      </w:r>
      <w:r>
        <w:tab/>
      </w:r>
      <w:r w:rsidR="00AC2C75" w:rsidRPr="00B76092">
        <w:t xml:space="preserve">Finally, we estimated how much more often surges in healthcare utilization would occur under future </w:t>
      </w:r>
      <w:r w:rsidR="00D2614D">
        <w:t>climate</w:t>
      </w:r>
      <w:r w:rsidR="00AC2C75" w:rsidRPr="00B76092">
        <w:t xml:space="preserve"> scenarios. Specifically, we estimated the number of additional days on which the number of ED visits exceeded the </w:t>
      </w:r>
      <w:r w:rsidR="00AC2C75" w:rsidRPr="00B76092" w:rsidDel="00F57072">
        <w:t>county</w:t>
      </w:r>
      <w:r w:rsidR="00AC2C75" w:rsidRPr="00B76092">
        <w:t xml:space="preserve"> and year</w:t>
      </w:r>
      <w:r w:rsidR="00AC2C75" w:rsidRPr="00B76092" w:rsidDel="00F57072">
        <w:t>-specific</w:t>
      </w:r>
      <w:r w:rsidR="00AC2C75" w:rsidRPr="00B76092">
        <w:t xml:space="preserve"> 95</w:t>
      </w:r>
      <w:r w:rsidR="00AC2C75" w:rsidRPr="00B76092">
        <w:rPr>
          <w:vertAlign w:val="superscript"/>
        </w:rPr>
        <w:t>th</w:t>
      </w:r>
      <w:r w:rsidR="00AC2C75" w:rsidRPr="00B76092">
        <w:t xml:space="preserve"> percentile of the distribution of daily ED visit counts By definition, during the present-day period (2010 through 2021) there are 18 high healthcare utilization days that exceed the threshold defined by the 95</w:t>
      </w:r>
      <w:r w:rsidR="00AC2C75" w:rsidRPr="00B76092">
        <w:rPr>
          <w:vertAlign w:val="superscript"/>
        </w:rPr>
        <w:t>th</w:t>
      </w:r>
      <w:r w:rsidR="00AC2C75" w:rsidRPr="00B76092">
        <w:t xml:space="preserve"> percentile of daily ED visits per county and year. </w:t>
      </w:r>
      <w:r w:rsidR="00AC2C75" w:rsidRPr="00B76092">
        <w:rPr>
          <w:rStyle w:val="Hyperlink"/>
          <w:color w:val="auto"/>
          <w:u w:val="none"/>
        </w:rPr>
        <w:t>These ‘high utilization’ days help estimate the increased burden on the healthcare system due to an increased frequency of extremely hot temperatures.</w:t>
      </w:r>
    </w:p>
    <w:p w14:paraId="758C9C34" w14:textId="54BEC153" w:rsidR="00E80E4F" w:rsidRPr="00EA2673" w:rsidRDefault="00210E75" w:rsidP="00E80E4F">
      <w:pPr>
        <w:pStyle w:val="Heading1"/>
        <w:numPr>
          <w:ilvl w:val="0"/>
          <w:numId w:val="0"/>
        </w:numPr>
        <w:spacing w:after="160" w:line="259" w:lineRule="auto"/>
        <w:jc w:val="left"/>
      </w:pPr>
      <w:r>
        <w:t>RESULTS</w:t>
      </w:r>
    </w:p>
    <w:p w14:paraId="054A315E" w14:textId="5EA8ED64" w:rsidR="00E80E4F" w:rsidRPr="002B14D0" w:rsidRDefault="001C589D" w:rsidP="00E80E4F">
      <w:pPr>
        <w:rPr>
          <w:highlight w:val="yellow"/>
        </w:rPr>
      </w:pPr>
      <w:r>
        <w:tab/>
      </w:r>
      <w:r>
        <w:tab/>
      </w:r>
      <w:r w:rsidR="00281003">
        <w:t>Across the</w:t>
      </w:r>
      <w:r w:rsidR="6FDEED4E">
        <w:t xml:space="preserve"> </w:t>
      </w:r>
      <w:r w:rsidR="7D753C19">
        <w:t>US</w:t>
      </w:r>
      <w:r w:rsidR="6FDEED4E">
        <w:t xml:space="preserve">, </w:t>
      </w:r>
      <w:r w:rsidR="08777E59">
        <w:t>increasing</w:t>
      </w:r>
      <w:r w:rsidR="6FDEED4E">
        <w:t xml:space="preserve"> daily </w:t>
      </w:r>
      <w:r w:rsidR="00F62F8C">
        <w:t>maximum</w:t>
      </w:r>
      <w:r w:rsidR="6FDEED4E">
        <w:t xml:space="preserve"> temperatures</w:t>
      </w:r>
      <w:r w:rsidR="00E959B9">
        <w:t xml:space="preserve"> was </w:t>
      </w:r>
      <w:r w:rsidR="00AC3EF4">
        <w:t xml:space="preserve">largely </w:t>
      </w:r>
      <w:r w:rsidR="00DC7B65">
        <w:t xml:space="preserve">monotonically </w:t>
      </w:r>
      <w:r w:rsidR="00E959B9">
        <w:t>associated with increased relative risk of ED visits</w:t>
      </w:r>
      <w:r w:rsidR="00DC7B65">
        <w:t xml:space="preserve">, </w:t>
      </w:r>
      <w:r w:rsidR="0029600C">
        <w:t>i.e., not</w:t>
      </w:r>
      <w:r w:rsidR="00DC7B65">
        <w:t xml:space="preserve"> “U-shaped”</w:t>
      </w:r>
      <w:r w:rsidR="00E959B9">
        <w:t xml:space="preserve"> </w:t>
      </w:r>
      <w:r w:rsidR="2F84FEF2" w:rsidRPr="00EA2673">
        <w:rPr>
          <w:b/>
          <w:bCs/>
        </w:rPr>
        <w:t>(</w:t>
      </w:r>
      <w:r w:rsidR="2F84FEF2">
        <w:rPr>
          <w:b/>
          <w:bCs/>
          <w:color w:val="0432FF"/>
        </w:rPr>
        <w:t>Figure</w:t>
      </w:r>
      <w:r w:rsidR="2F84FEF2" w:rsidRPr="00EA2673">
        <w:rPr>
          <w:b/>
          <w:bCs/>
          <w:color w:val="0432FF"/>
        </w:rPr>
        <w:t xml:space="preserve"> 3</w:t>
      </w:r>
      <w:r w:rsidR="2F84FEF2" w:rsidRPr="00EA2673">
        <w:rPr>
          <w:b/>
          <w:bCs/>
        </w:rPr>
        <w:t>)</w:t>
      </w:r>
      <w:r w:rsidR="2F84FEF2" w:rsidRPr="00EA2673">
        <w:t>.</w:t>
      </w:r>
      <w:r w:rsidR="00F45EEC">
        <w:t xml:space="preserve"> </w:t>
      </w:r>
      <w:r w:rsidR="00201895">
        <w:t>O</w:t>
      </w:r>
      <w:r w:rsidR="00AC3EF4">
        <w:t xml:space="preserve">nly the </w:t>
      </w:r>
      <w:r w:rsidR="00BA157D" w:rsidRPr="00F71670">
        <w:t>Southern Great Plains</w:t>
      </w:r>
      <w:r w:rsidR="00BA157D">
        <w:t xml:space="preserve"> </w:t>
      </w:r>
      <w:r w:rsidR="00BA157D" w:rsidRPr="00F71670">
        <w:t>and Southeast</w:t>
      </w:r>
      <w:r w:rsidR="00AC3EF4">
        <w:t xml:space="preserve"> </w:t>
      </w:r>
      <w:r w:rsidR="003C5404">
        <w:t xml:space="preserve">had exposure-response </w:t>
      </w:r>
      <w:r w:rsidR="00201895">
        <w:t>relationships which were elevated for high present-day temperatures but decreased slightly</w:t>
      </w:r>
      <w:r w:rsidR="003C5404">
        <w:t xml:space="preserve"> </w:t>
      </w:r>
      <w:r w:rsidR="006E4240">
        <w:t>for projected</w:t>
      </w:r>
      <w:r w:rsidR="00201895">
        <w:t xml:space="preserve"> future</w:t>
      </w:r>
      <w:r w:rsidR="006E4240">
        <w:t xml:space="preserve"> temperature extremes</w:t>
      </w:r>
      <w:r w:rsidR="00792554">
        <w:t>.</w:t>
      </w:r>
      <w:r w:rsidR="003C5404">
        <w:t xml:space="preserve"> </w:t>
      </w:r>
      <w:r w:rsidR="096081A9" w:rsidRPr="00EA2673">
        <w:t xml:space="preserve">We observed similar </w:t>
      </w:r>
      <w:r w:rsidR="2F84FEF2" w:rsidRPr="00EA2673">
        <w:t xml:space="preserve">results </w:t>
      </w:r>
      <w:r w:rsidR="053F1DC4">
        <w:t>at</w:t>
      </w:r>
      <w:r w:rsidR="2F84FEF2" w:rsidRPr="00EA2673">
        <w:t xml:space="preserve"> various exposure lag times</w:t>
      </w:r>
      <w:r w:rsidR="1D70CC95">
        <w:t xml:space="preserve"> </w:t>
      </w:r>
      <w:r w:rsidR="2CA4E239">
        <w:t xml:space="preserve">typically used when examining changes in </w:t>
      </w:r>
      <w:r w:rsidR="4723889C" w:rsidRPr="007554CC">
        <w:t>rates</w:t>
      </w:r>
      <w:r w:rsidR="2CA4E239" w:rsidRPr="007554CC">
        <w:t xml:space="preserve"> </w:t>
      </w:r>
      <w:r w:rsidR="2CA4E239">
        <w:t>of ED visits due to extreme temperature</w:t>
      </w:r>
      <w:r w:rsidR="2F84FEF2" w:rsidRPr="00EA2673">
        <w:t xml:space="preserve"> (3 to 10 days, </w:t>
      </w:r>
      <w:r w:rsidR="2F84FEF2">
        <w:rPr>
          <w:b/>
          <w:bCs/>
          <w:color w:val="0432FF"/>
        </w:rPr>
        <w:t>Figure</w:t>
      </w:r>
      <w:r w:rsidR="2F84FEF2" w:rsidRPr="00EA2673">
        <w:rPr>
          <w:b/>
          <w:bCs/>
          <w:color w:val="0432FF"/>
        </w:rPr>
        <w:t xml:space="preserve"> S</w:t>
      </w:r>
      <w:r w:rsidR="2F84FEF2">
        <w:rPr>
          <w:b/>
          <w:bCs/>
          <w:color w:val="0432FF"/>
        </w:rPr>
        <w:t>1</w:t>
      </w:r>
      <w:r w:rsidR="2F84FEF2" w:rsidRPr="00EA2673">
        <w:rPr>
          <w:b/>
          <w:bCs/>
          <w:color w:val="0432FF"/>
        </w:rPr>
        <w:t>, S</w:t>
      </w:r>
      <w:r w:rsidR="2F84FEF2">
        <w:rPr>
          <w:b/>
          <w:bCs/>
          <w:color w:val="0432FF"/>
        </w:rPr>
        <w:t>2</w:t>
      </w:r>
      <w:r w:rsidR="2F84FEF2" w:rsidRPr="00EA2673">
        <w:t xml:space="preserve">). </w:t>
      </w:r>
      <w:r w:rsidR="053F1DC4">
        <w:t xml:space="preserve"> </w:t>
      </w:r>
      <w:r w:rsidR="2F84FEF2" w:rsidRPr="00EA2673">
        <w:t xml:space="preserve"> </w:t>
      </w:r>
    </w:p>
    <w:p w14:paraId="6A70E64E" w14:textId="7062A165" w:rsidR="00E80E4F" w:rsidRPr="00931ECF" w:rsidRDefault="549E205D" w:rsidP="00E33508">
      <w:pPr>
        <w:tabs>
          <w:tab w:val="clear" w:pos="260"/>
        </w:tabs>
        <w:spacing w:after="160"/>
        <w:ind w:firstLine="720"/>
      </w:pPr>
      <w:r>
        <w:t>T</w:t>
      </w:r>
      <w:r w:rsidR="2067C1E1">
        <w:t xml:space="preserve">he highest </w:t>
      </w:r>
      <w:r w:rsidR="1D19F947">
        <w:t xml:space="preserve">warming </w:t>
      </w:r>
      <w:r w:rsidR="2067C1E1">
        <w:t>scenario</w:t>
      </w:r>
      <w:r w:rsidR="002B14D0">
        <w:t xml:space="preserve"> resulted in </w:t>
      </w:r>
      <w:r w:rsidR="002B14D0" w:rsidRPr="00EA2673">
        <w:t>projected increase</w:t>
      </w:r>
      <w:r w:rsidR="007E296A">
        <w:t>s</w:t>
      </w:r>
      <w:r w:rsidR="002B14D0" w:rsidRPr="00EA2673">
        <w:t xml:space="preserve"> in </w:t>
      </w:r>
      <w:r w:rsidR="007E296A">
        <w:t xml:space="preserve">median </w:t>
      </w:r>
      <w:r w:rsidR="002B14D0" w:rsidRPr="00EA2673">
        <w:t xml:space="preserve">temperature </w:t>
      </w:r>
      <w:r w:rsidR="002B14D0">
        <w:t xml:space="preserve">from </w:t>
      </w:r>
      <w:r w:rsidR="002B14D0" w:rsidRPr="00F71670">
        <w:t xml:space="preserve">1.6 to 3.3 °C </w:t>
      </w:r>
      <w:r w:rsidR="007E296A">
        <w:t>in summer</w:t>
      </w:r>
      <w:r w:rsidR="002B14D0" w:rsidRPr="00F71670">
        <w:t xml:space="preserve"> and from 1.2 to 2.0 °</w:t>
      </w:r>
      <w:proofErr w:type="gramStart"/>
      <w:r w:rsidR="002B14D0" w:rsidRPr="00F71670">
        <w:t xml:space="preserve">C </w:t>
      </w:r>
      <w:r w:rsidR="002B14D0" w:rsidRPr="00EA2673">
        <w:t xml:space="preserve"> </w:t>
      </w:r>
      <w:r w:rsidR="007E296A" w:rsidRPr="00F71670">
        <w:t>in</w:t>
      </w:r>
      <w:proofErr w:type="gramEnd"/>
      <w:r w:rsidR="007E296A" w:rsidRPr="00F71670">
        <w:t xml:space="preserve"> winter</w:t>
      </w:r>
      <w:r w:rsidR="007E296A">
        <w:t xml:space="preserve"> </w:t>
      </w:r>
      <w:r w:rsidR="002B14D0" w:rsidRPr="00EA2673">
        <w:t>(</w:t>
      </w:r>
      <w:r w:rsidR="002B14D0">
        <w:rPr>
          <w:b/>
          <w:bCs/>
          <w:color w:val="0432FF"/>
        </w:rPr>
        <w:t>Table</w:t>
      </w:r>
      <w:r w:rsidR="002B14D0" w:rsidRPr="00EA2673">
        <w:rPr>
          <w:b/>
          <w:bCs/>
          <w:color w:val="0432FF"/>
        </w:rPr>
        <w:t xml:space="preserve"> S</w:t>
      </w:r>
      <w:r w:rsidR="002B14D0">
        <w:rPr>
          <w:b/>
          <w:bCs/>
          <w:color w:val="0432FF"/>
        </w:rPr>
        <w:t>1</w:t>
      </w:r>
      <w:r w:rsidR="002B14D0" w:rsidRPr="00EA2673">
        <w:t xml:space="preserve">). </w:t>
      </w:r>
      <w:r w:rsidR="002B14D0">
        <w:t xml:space="preserve">These increases </w:t>
      </w:r>
      <w:r>
        <w:t xml:space="preserve">resulted in a 1.3% increase </w:t>
      </w:r>
      <w:r w:rsidR="41A2DE7F">
        <w:t>in annual</w:t>
      </w:r>
      <w:r w:rsidR="267E33EA">
        <w:t xml:space="preserve"> </w:t>
      </w:r>
      <w:r w:rsidR="685FA488">
        <w:t xml:space="preserve">ED visits </w:t>
      </w:r>
      <w:r w:rsidR="37FDB567">
        <w:t xml:space="preserve">relative to </w:t>
      </w:r>
      <w:r w:rsidR="1C300D37">
        <w:t xml:space="preserve">the present </w:t>
      </w:r>
      <w:r w:rsidR="34BB663F">
        <w:t xml:space="preserve">day </w:t>
      </w:r>
      <w:r w:rsidR="49A0C5FC">
        <w:t xml:space="preserve">across the US </w:t>
      </w:r>
      <w:r w:rsidR="2F84FEF2">
        <w:t>(</w:t>
      </w:r>
      <w:r w:rsidR="2F84FEF2" w:rsidRPr="1FB59598">
        <w:rPr>
          <w:b/>
          <w:bCs/>
          <w:color w:val="0432FF"/>
        </w:rPr>
        <w:t>Table 1</w:t>
      </w:r>
      <w:r w:rsidR="2F84FEF2">
        <w:t>)</w:t>
      </w:r>
      <w:r w:rsidR="008A507D">
        <w:t xml:space="preserve">, a which </w:t>
      </w:r>
      <w:r w:rsidR="2A50097E">
        <w:t xml:space="preserve">figure </w:t>
      </w:r>
      <w:r w:rsidR="2F84FEF2">
        <w:t>translates to</w:t>
      </w:r>
      <w:r w:rsidR="00D6281E">
        <w:t xml:space="preserve"> </w:t>
      </w:r>
      <w:r w:rsidR="009655C2">
        <w:t xml:space="preserve">roughly </w:t>
      </w:r>
      <w:r w:rsidR="008A507D">
        <w:t>86,</w:t>
      </w:r>
      <w:r w:rsidR="00D6281E">
        <w:t xml:space="preserve">000 </w:t>
      </w:r>
      <w:r w:rsidR="2F84FEF2">
        <w:t>additional ED visits</w:t>
      </w:r>
      <w:r w:rsidR="21E414EE">
        <w:t xml:space="preserve"> annually</w:t>
      </w:r>
      <w:r w:rsidR="008A507D">
        <w:t xml:space="preserve"> </w:t>
      </w:r>
      <w:r w:rsidR="00D6281E">
        <w:t>across the US</w:t>
      </w:r>
      <w:r w:rsidR="002015A1">
        <w:t xml:space="preserve"> among </w:t>
      </w:r>
      <w:r w:rsidR="00F639F8">
        <w:t xml:space="preserve">the </w:t>
      </w:r>
      <w:r w:rsidR="002A3B56">
        <w:t xml:space="preserve">commercially insured </w:t>
      </w:r>
      <w:r w:rsidR="00F639F8">
        <w:t>study population</w:t>
      </w:r>
      <w:r w:rsidR="2F84FEF2">
        <w:t xml:space="preserve">. </w:t>
      </w:r>
      <w:r w:rsidR="442646EA">
        <w:t>T</w:t>
      </w:r>
      <w:r w:rsidR="2F84FEF2">
        <w:t xml:space="preserve">he </w:t>
      </w:r>
      <w:r w:rsidR="4734EF42">
        <w:t xml:space="preserve">largest </w:t>
      </w:r>
      <w:r w:rsidR="7E6FEAC4">
        <w:t>percent</w:t>
      </w:r>
      <w:r w:rsidR="23CA151F">
        <w:t>age</w:t>
      </w:r>
      <w:r w:rsidR="7E6FEAC4">
        <w:t xml:space="preserve"> </w:t>
      </w:r>
      <w:r w:rsidR="2F84FEF2">
        <w:t>increase</w:t>
      </w:r>
      <w:r w:rsidR="60F1480E">
        <w:t>s</w:t>
      </w:r>
      <w:r w:rsidR="2F84FEF2">
        <w:t xml:space="preserve"> were in </w:t>
      </w:r>
      <w:r w:rsidR="30AB99D7">
        <w:t>regions that experience rela</w:t>
      </w:r>
      <w:r w:rsidR="15A6A2C3">
        <w:t xml:space="preserve">tively </w:t>
      </w:r>
      <w:r w:rsidR="30AB99D7">
        <w:t xml:space="preserve">cool climates today: the </w:t>
      </w:r>
      <w:r w:rsidR="7815DF13">
        <w:t>Northeast</w:t>
      </w:r>
      <w:r w:rsidR="2F84FEF2">
        <w:t xml:space="preserve"> (+1.</w:t>
      </w:r>
      <w:r w:rsidR="0F9E7757">
        <w:t>6</w:t>
      </w:r>
      <w:r w:rsidR="2F84FEF2">
        <w:t xml:space="preserve">%), </w:t>
      </w:r>
      <w:r w:rsidR="0F9E7757">
        <w:t xml:space="preserve">Midwest </w:t>
      </w:r>
      <w:r w:rsidR="2F84FEF2">
        <w:t>(+1.</w:t>
      </w:r>
      <w:r w:rsidR="42768EBF">
        <w:t>4</w:t>
      </w:r>
      <w:r w:rsidR="2F84FEF2">
        <w:t xml:space="preserve">%), and </w:t>
      </w:r>
      <w:r w:rsidR="0F9E7757">
        <w:t>Nort</w:t>
      </w:r>
      <w:r w:rsidR="4D17AF8B">
        <w:t>h</w:t>
      </w:r>
      <w:r w:rsidR="0F9E7757">
        <w:t>west</w:t>
      </w:r>
      <w:r w:rsidR="2F84FEF2">
        <w:t xml:space="preserve"> (+1.</w:t>
      </w:r>
      <w:r w:rsidR="42768EBF">
        <w:t>5</w:t>
      </w:r>
      <w:r w:rsidR="2F84FEF2">
        <w:t>%).</w:t>
      </w:r>
      <w:r w:rsidR="00A87244">
        <w:t xml:space="preserve"> </w:t>
      </w:r>
      <w:r w:rsidR="5783BFFB">
        <w:t xml:space="preserve">An analogous pattern of </w:t>
      </w:r>
      <w:r w:rsidR="442646EA">
        <w:t xml:space="preserve">results </w:t>
      </w:r>
      <w:r w:rsidR="5783BFFB">
        <w:t>was observed under</w:t>
      </w:r>
      <w:r w:rsidR="442646EA">
        <w:t xml:space="preserve"> lower</w:t>
      </w:r>
      <w:r w:rsidR="37AB2683">
        <w:t>-warming</w:t>
      </w:r>
      <w:r w:rsidR="442646EA">
        <w:t xml:space="preserve"> </w:t>
      </w:r>
      <w:r w:rsidR="5783BFFB">
        <w:t xml:space="preserve">scenarios </w:t>
      </w:r>
      <w:r w:rsidR="2F84FEF2">
        <w:t>(</w:t>
      </w:r>
      <w:r w:rsidR="2F84FEF2" w:rsidRPr="1FB59598">
        <w:rPr>
          <w:b/>
          <w:bCs/>
          <w:color w:val="0432FF"/>
        </w:rPr>
        <w:t>Table S</w:t>
      </w:r>
      <w:r w:rsidR="00BF5C8C">
        <w:rPr>
          <w:b/>
          <w:bCs/>
          <w:color w:val="0432FF"/>
        </w:rPr>
        <w:t>2</w:t>
      </w:r>
      <w:r w:rsidR="2F84FEF2">
        <w:t xml:space="preserve">). </w:t>
      </w:r>
      <w:r w:rsidR="03213FE9">
        <w:t>The severity of i</w:t>
      </w:r>
      <w:r w:rsidR="6013F3EA">
        <w:t>ncrease</w:t>
      </w:r>
      <w:r w:rsidR="3394E653">
        <w:t>s</w:t>
      </w:r>
      <w:r w:rsidR="1F0CD7AD">
        <w:t xml:space="preserve"> in ED visit</w:t>
      </w:r>
      <w:r w:rsidR="18DF3E3B">
        <w:t xml:space="preserve">s </w:t>
      </w:r>
      <w:r w:rsidR="1F0CD7AD">
        <w:t xml:space="preserve">varied by month and region </w:t>
      </w:r>
      <w:r w:rsidR="2F84FEF2" w:rsidRPr="00EA2673">
        <w:lastRenderedPageBreak/>
        <w:t>(</w:t>
      </w:r>
      <w:r w:rsidR="2F84FEF2">
        <w:rPr>
          <w:b/>
          <w:bCs/>
          <w:color w:val="0432FF"/>
        </w:rPr>
        <w:t>Figure</w:t>
      </w:r>
      <w:r w:rsidR="2F84FEF2" w:rsidRPr="00EA2673">
        <w:rPr>
          <w:b/>
          <w:bCs/>
          <w:color w:val="0432FF"/>
        </w:rPr>
        <w:t xml:space="preserve"> </w:t>
      </w:r>
      <w:r w:rsidR="00E33508">
        <w:rPr>
          <w:b/>
          <w:bCs/>
          <w:color w:val="0432FF"/>
        </w:rPr>
        <w:t>S3</w:t>
      </w:r>
      <w:r w:rsidR="2F84FEF2">
        <w:rPr>
          <w:b/>
          <w:bCs/>
        </w:rPr>
        <w:t>).</w:t>
      </w:r>
      <w:r w:rsidR="2F84FEF2" w:rsidRPr="00EA2673">
        <w:t xml:space="preserve"> </w:t>
      </w:r>
      <w:r w:rsidR="2F84FEF2">
        <w:t>I</w:t>
      </w:r>
      <w:r w:rsidR="2F84FEF2" w:rsidRPr="00EA2673">
        <w:t xml:space="preserve">n </w:t>
      </w:r>
      <w:r w:rsidR="604293B9">
        <w:t xml:space="preserve">the Midwest, Northwest, and </w:t>
      </w:r>
      <w:r w:rsidR="7815DF13">
        <w:t>Northeast</w:t>
      </w:r>
      <w:r w:rsidR="6D4F46DF">
        <w:t xml:space="preserve">, the largest projected impacts of </w:t>
      </w:r>
      <w:r w:rsidR="47DED1C5">
        <w:t xml:space="preserve">warming </w:t>
      </w:r>
      <w:r w:rsidR="2916B5CD">
        <w:t>temperatures on</w:t>
      </w:r>
      <w:r w:rsidR="18DF3E3B">
        <w:t xml:space="preserve"> </w:t>
      </w:r>
      <w:r w:rsidR="2916B5CD">
        <w:t>ED visits occurred in the summer</w:t>
      </w:r>
      <w:r w:rsidR="6013F3EA">
        <w:t xml:space="preserve"> months (June through August)</w:t>
      </w:r>
      <w:r w:rsidR="2916B5CD">
        <w:t>.</w:t>
      </w:r>
      <w:r w:rsidR="2F84FEF2" w:rsidRPr="00EA2673">
        <w:t xml:space="preserve"> </w:t>
      </w:r>
      <w:r w:rsidR="427EE30C">
        <w:t>Conversely</w:t>
      </w:r>
      <w:r w:rsidR="3CED83E7">
        <w:t>, in t</w:t>
      </w:r>
      <w:r w:rsidR="2F84FEF2" w:rsidRPr="00EA2673">
        <w:t xml:space="preserve">he </w:t>
      </w:r>
      <w:r w:rsidR="2F84FEF2">
        <w:t xml:space="preserve">Northern and </w:t>
      </w:r>
      <w:r w:rsidR="2F84FEF2" w:rsidRPr="00EA2673">
        <w:t>Southern Great Plains</w:t>
      </w:r>
      <w:r w:rsidR="2F84FEF2">
        <w:t xml:space="preserve"> and the Southwest</w:t>
      </w:r>
      <w:r w:rsidR="3CED83E7">
        <w:t xml:space="preserve">, the largest projected </w:t>
      </w:r>
      <w:r w:rsidR="2F84FEF2">
        <w:t>increases i</w:t>
      </w:r>
      <w:r w:rsidR="18DF3E3B">
        <w:t>n total</w:t>
      </w:r>
      <w:r w:rsidR="2F84FEF2">
        <w:t xml:space="preserve"> ED visits</w:t>
      </w:r>
      <w:r w:rsidR="3CED83E7">
        <w:t xml:space="preserve"> occurred</w:t>
      </w:r>
      <w:r w:rsidR="2F84FEF2">
        <w:t xml:space="preserve"> in the </w:t>
      </w:r>
      <w:r w:rsidR="3CED83E7">
        <w:t>spring</w:t>
      </w:r>
      <w:r w:rsidR="6013F3EA">
        <w:t xml:space="preserve"> (</w:t>
      </w:r>
      <w:r w:rsidR="3542E2F2">
        <w:t>March through May)</w:t>
      </w:r>
      <w:r w:rsidR="3CED83E7">
        <w:t xml:space="preserve"> and fall</w:t>
      </w:r>
      <w:r w:rsidR="3542E2F2">
        <w:t xml:space="preserve"> (September through November)</w:t>
      </w:r>
      <w:r w:rsidR="2F84FEF2">
        <w:t xml:space="preserve">. </w:t>
      </w:r>
      <w:r w:rsidR="3CED83E7">
        <w:t xml:space="preserve">In the Southeast, the impact of projected warming was </w:t>
      </w:r>
      <w:r w:rsidR="2F84FEF2">
        <w:t xml:space="preserve">relatively </w:t>
      </w:r>
      <w:r w:rsidR="07043080">
        <w:t xml:space="preserve">constant </w:t>
      </w:r>
      <w:r w:rsidR="2F84FEF2">
        <w:t>throughout the year.</w:t>
      </w:r>
      <w:r w:rsidR="00792554">
        <w:t xml:space="preserve"> </w:t>
      </w:r>
    </w:p>
    <w:p w14:paraId="08401B8D" w14:textId="530C679B" w:rsidR="00E80E4F" w:rsidRPr="006A7405" w:rsidRDefault="003E3C52">
      <w:r>
        <w:tab/>
      </w:r>
      <w:r>
        <w:tab/>
      </w:r>
      <w:r w:rsidR="2F84FEF2">
        <w:t xml:space="preserve">Under future projected scenarios, </w:t>
      </w:r>
      <w:r w:rsidR="15B0744B">
        <w:t xml:space="preserve">in each year </w:t>
      </w:r>
      <w:r w:rsidR="7B2D7FAC">
        <w:t xml:space="preserve">there </w:t>
      </w:r>
      <w:r w:rsidR="007A63B8">
        <w:t>were</w:t>
      </w:r>
      <w:r w:rsidR="7B2D7FAC">
        <w:t xml:space="preserve"> </w:t>
      </w:r>
      <w:r w:rsidR="2F84FEF2">
        <w:t>many more</w:t>
      </w:r>
      <w:r w:rsidR="10B4843F">
        <w:t xml:space="preserve"> days of</w:t>
      </w:r>
      <w:r w:rsidR="000900B2">
        <w:t xml:space="preserve"> </w:t>
      </w:r>
      <w:r w:rsidR="7B0DFA0F">
        <w:t>high</w:t>
      </w:r>
      <w:r w:rsidR="10B4843F">
        <w:t xml:space="preserve"> healthcare</w:t>
      </w:r>
      <w:r w:rsidR="7B0DFA0F">
        <w:t xml:space="preserve"> utilization</w:t>
      </w:r>
      <w:r w:rsidR="7B0DFA0F" w:rsidDel="00E80E4F">
        <w:t xml:space="preserve"> </w:t>
      </w:r>
      <w:r w:rsidR="76DA1C94">
        <w:t xml:space="preserve">that </w:t>
      </w:r>
      <w:r w:rsidR="7C695FCA">
        <w:t>exceed</w:t>
      </w:r>
      <w:r w:rsidR="007A63B8">
        <w:t xml:space="preserve">ed present-day </w:t>
      </w:r>
      <w:r w:rsidR="7C695FCA" w:rsidRPr="00D157AD">
        <w:t>thresholds</w:t>
      </w:r>
      <w:r w:rsidR="00D157AD" w:rsidRPr="00D157AD">
        <w:t xml:space="preserve"> (</w:t>
      </w:r>
      <w:r w:rsidR="00D157AD" w:rsidRPr="00D157AD">
        <w:rPr>
          <w:b/>
          <w:bCs/>
          <w:color w:val="0432FF"/>
        </w:rPr>
        <w:t>Figure 4</w:t>
      </w:r>
      <w:r w:rsidR="00D157AD" w:rsidRPr="00D157AD">
        <w:t>)</w:t>
      </w:r>
      <w:r w:rsidR="7B0DFA0F" w:rsidRPr="00D157AD" w:rsidDel="00E80E4F">
        <w:t>.</w:t>
      </w:r>
      <w:r w:rsidR="7B0DFA0F" w:rsidDel="00E80E4F">
        <w:t xml:space="preserve"> </w:t>
      </w:r>
      <w:r w:rsidR="011731AD">
        <w:t xml:space="preserve">Under </w:t>
      </w:r>
      <w:r w:rsidR="46A3A928">
        <w:t xml:space="preserve">the highest </w:t>
      </w:r>
      <w:r w:rsidR="50045E31">
        <w:t xml:space="preserve">warming </w:t>
      </w:r>
      <w:r w:rsidR="46A3A928">
        <w:t>scenario</w:t>
      </w:r>
      <w:r w:rsidR="2F84FEF2">
        <w:t xml:space="preserve">, </w:t>
      </w:r>
      <w:r w:rsidR="731ACB0B">
        <w:t>54</w:t>
      </w:r>
      <w:r w:rsidR="011731AD">
        <w:t>%</w:t>
      </w:r>
      <w:r w:rsidR="731ACB0B">
        <w:t xml:space="preserve"> to 69% of all </w:t>
      </w:r>
      <w:r w:rsidR="011731AD">
        <w:t xml:space="preserve">study </w:t>
      </w:r>
      <w:r w:rsidR="731ACB0B">
        <w:t xml:space="preserve">counties </w:t>
      </w:r>
      <w:r w:rsidR="548487F1">
        <w:t>exhibited a greater than 50% increase in</w:t>
      </w:r>
      <w:r w:rsidR="731ACB0B">
        <w:t xml:space="preserve"> high utilization</w:t>
      </w:r>
      <w:r w:rsidR="3D2B91A5">
        <w:t xml:space="preserve"> days (</w:t>
      </w:r>
      <w:r w:rsidR="387740FF">
        <w:t xml:space="preserve">more than 27 </w:t>
      </w:r>
      <w:r w:rsidR="3D2B91A5">
        <w:t xml:space="preserve">days), </w:t>
      </w:r>
      <w:r w:rsidR="0F5B2496">
        <w:t>23</w:t>
      </w:r>
      <w:r w:rsidR="011731AD">
        <w:t>%</w:t>
      </w:r>
      <w:r w:rsidR="0F5B2496">
        <w:t xml:space="preserve"> to 38% </w:t>
      </w:r>
      <w:r w:rsidR="5514494C">
        <w:t>saw the number of days over their current threshold double (</w:t>
      </w:r>
      <w:r w:rsidR="77463A5A">
        <w:t xml:space="preserve">more than </w:t>
      </w:r>
      <w:r w:rsidR="0F5B2496">
        <w:t xml:space="preserve">36 days), and </w:t>
      </w:r>
      <w:r w:rsidR="7BC7E889">
        <w:t>11</w:t>
      </w:r>
      <w:r w:rsidR="011731AD">
        <w:t>%</w:t>
      </w:r>
      <w:r w:rsidR="29D49C6B">
        <w:t xml:space="preserve"> to </w:t>
      </w:r>
      <w:r w:rsidR="7BC7E889">
        <w:t>17</w:t>
      </w:r>
      <w:r w:rsidR="29D49C6B">
        <w:t xml:space="preserve">% of counties experienced </w:t>
      </w:r>
      <w:r w:rsidR="7BC7E889">
        <w:t>45 or more</w:t>
      </w:r>
      <w:r w:rsidR="29D49C6B">
        <w:t xml:space="preserve"> high utilization days (a 1</w:t>
      </w:r>
      <w:r w:rsidR="7BC7E889">
        <w:t>5</w:t>
      </w:r>
      <w:r w:rsidR="29D49C6B">
        <w:t>0% increase).</w:t>
      </w:r>
      <w:r w:rsidR="007A63B8">
        <w:t xml:space="preserve"> The Northeast </w:t>
      </w:r>
      <w:r w:rsidR="00592B70">
        <w:t>region had the highest increase in high utilization days, while the Northern Great Plains had the smallest increase</w:t>
      </w:r>
      <w:r w:rsidR="3EEF511A">
        <w:t xml:space="preserve">. </w:t>
      </w:r>
      <w:r w:rsidR="7BC7E889" w:rsidDel="00E80E4F">
        <w:t xml:space="preserve"> </w:t>
      </w:r>
      <w:r w:rsidR="1AC579FE">
        <w:t xml:space="preserve">This pattern of results was similar but of a lesser magnitude </w:t>
      </w:r>
      <w:r w:rsidR="77693819">
        <w:t>for the lower</w:t>
      </w:r>
      <w:r w:rsidR="616EE0D8">
        <w:t>-warming</w:t>
      </w:r>
      <w:r w:rsidR="00CC34FA">
        <w:t xml:space="preserve"> scenarios </w:t>
      </w:r>
      <w:r w:rsidR="00CC34FA" w:rsidRPr="00B70D29">
        <w:t>(</w:t>
      </w:r>
      <w:r w:rsidR="00CC34FA" w:rsidRPr="00B70D29">
        <w:rPr>
          <w:b/>
          <w:bCs/>
          <w:color w:val="0432FF"/>
        </w:rPr>
        <w:t>Table S</w:t>
      </w:r>
      <w:r w:rsidR="00BF5C8C" w:rsidRPr="00B70D29">
        <w:rPr>
          <w:b/>
          <w:bCs/>
          <w:color w:val="0432FF"/>
        </w:rPr>
        <w:t>3</w:t>
      </w:r>
      <w:r w:rsidR="00CC34FA" w:rsidRPr="00B70D29">
        <w:t>)</w:t>
      </w:r>
      <w:r w:rsidR="00CC34FA">
        <w:t>.</w:t>
      </w:r>
    </w:p>
    <w:p w14:paraId="1E6DA234" w14:textId="278EFFEE" w:rsidR="00E80E4F" w:rsidRDefault="00210E75" w:rsidP="00E80E4F">
      <w:pPr>
        <w:pStyle w:val="Heading1"/>
        <w:numPr>
          <w:ilvl w:val="0"/>
          <w:numId w:val="0"/>
        </w:numPr>
      </w:pPr>
      <w:r>
        <w:t>DISCUSSION</w:t>
      </w:r>
      <w:r w:rsidR="00E80E4F">
        <w:tab/>
      </w:r>
    </w:p>
    <w:p w14:paraId="6EF45E48" w14:textId="48155CC2" w:rsidR="00E80E4F" w:rsidRDefault="00E80E4F" w:rsidP="1FB59598">
      <w:r>
        <w:tab/>
      </w:r>
      <w:r w:rsidR="00BA6813">
        <w:tab/>
      </w:r>
      <w:r w:rsidR="00DA34B3">
        <w:t>Among</w:t>
      </w:r>
      <w:r w:rsidR="3FCB6273">
        <w:t xml:space="preserve"> </w:t>
      </w:r>
      <w:r w:rsidR="00445A8D">
        <w:t xml:space="preserve">more than </w:t>
      </w:r>
      <w:r w:rsidR="3FCB6273">
        <w:t xml:space="preserve">21 million </w:t>
      </w:r>
      <w:r w:rsidR="00C94DD8">
        <w:t>people</w:t>
      </w:r>
      <w:r w:rsidR="6A904AE7">
        <w:t xml:space="preserve"> </w:t>
      </w:r>
      <w:r w:rsidR="4F1DC0A4">
        <w:t xml:space="preserve">with commercial health insurance </w:t>
      </w:r>
      <w:r w:rsidR="136D3B0C">
        <w:t xml:space="preserve">across the </w:t>
      </w:r>
      <w:r w:rsidR="62402003">
        <w:t xml:space="preserve">lower 48 </w:t>
      </w:r>
      <w:r w:rsidR="136D3B0C">
        <w:t>US</w:t>
      </w:r>
      <w:r w:rsidR="6A904AE7">
        <w:t xml:space="preserve"> </w:t>
      </w:r>
      <w:r w:rsidR="50DFE78B">
        <w:t>states</w:t>
      </w:r>
      <w:r w:rsidR="607F50C2">
        <w:t xml:space="preserve">, </w:t>
      </w:r>
      <w:r w:rsidR="10AAFE42">
        <w:t xml:space="preserve">we </w:t>
      </w:r>
      <w:r w:rsidR="007E041F">
        <w:t>observed</w:t>
      </w:r>
      <w:r w:rsidR="10AAFE42">
        <w:t xml:space="preserve"> </w:t>
      </w:r>
      <w:r w:rsidR="6B4E7429">
        <w:t xml:space="preserve">a positive </w:t>
      </w:r>
      <w:r w:rsidR="4E84FA98">
        <w:t xml:space="preserve">and monotonic </w:t>
      </w:r>
      <w:r w:rsidR="6B4E7429">
        <w:t xml:space="preserve">association between daily </w:t>
      </w:r>
      <w:r w:rsidR="0700095B">
        <w:t xml:space="preserve">all-cause </w:t>
      </w:r>
      <w:r w:rsidR="43072AEA" w:rsidRPr="43675F6E">
        <w:t>ED visit</w:t>
      </w:r>
      <w:r w:rsidR="706694F6" w:rsidRPr="43675F6E">
        <w:t xml:space="preserve"> rate</w:t>
      </w:r>
      <w:r w:rsidR="0700095B">
        <w:t>s</w:t>
      </w:r>
      <w:r w:rsidR="66BFA4F0">
        <w:t xml:space="preserve"> </w:t>
      </w:r>
      <w:r w:rsidR="025ABF21">
        <w:t>and daily temperatures</w:t>
      </w:r>
      <w:r w:rsidR="00382D21">
        <w:t>, not “U-shaped” as for heat and mortality</w:t>
      </w:r>
      <w:r w:rsidR="52506EFB">
        <w:t>.</w:t>
      </w:r>
      <w:r w:rsidR="007E041F">
        <w:t xml:space="preserve"> W</w:t>
      </w:r>
      <w:r w:rsidR="7AAC6B3E" w:rsidRPr="00EA2673">
        <w:t>e</w:t>
      </w:r>
      <w:r w:rsidR="2F84FEF2" w:rsidRPr="00EA2673">
        <w:t xml:space="preserve"> </w:t>
      </w:r>
      <w:r w:rsidR="00FF1BE4">
        <w:t>subsequently project</w:t>
      </w:r>
      <w:r w:rsidR="00697DBD">
        <w:t>ed</w:t>
      </w:r>
      <w:r w:rsidR="00FF1BE4">
        <w:t xml:space="preserve"> </w:t>
      </w:r>
      <w:r w:rsidR="0183CFB9">
        <w:t>that</w:t>
      </w:r>
      <w:r w:rsidR="00812B49">
        <w:t xml:space="preserve"> </w:t>
      </w:r>
      <w:r w:rsidR="00697DBD">
        <w:t xml:space="preserve">increases in </w:t>
      </w:r>
      <w:r w:rsidR="0183CFB9">
        <w:t xml:space="preserve">temperature </w:t>
      </w:r>
      <w:r w:rsidR="00697DBD">
        <w:t>in midcentury resulted in</w:t>
      </w:r>
      <w:r w:rsidR="0183CFB9">
        <w:t xml:space="preserve"> substantial</w:t>
      </w:r>
      <w:r w:rsidR="00697DBD">
        <w:t xml:space="preserve"> increases in</w:t>
      </w:r>
      <w:r w:rsidR="0183CFB9">
        <w:t xml:space="preserve"> </w:t>
      </w:r>
      <w:r w:rsidR="001809F0">
        <w:t xml:space="preserve">annual </w:t>
      </w:r>
      <w:r w:rsidR="00FF1BE4">
        <w:t>ED visits</w:t>
      </w:r>
      <w:r w:rsidR="001809F0">
        <w:t>, 1.3% in the highest warming scenario</w:t>
      </w:r>
      <w:r w:rsidR="00382D21">
        <w:t xml:space="preserve">. </w:t>
      </w:r>
      <w:r w:rsidR="00713B92">
        <w:t>For context, t</w:t>
      </w:r>
      <w:r w:rsidR="001809F0">
        <w:t xml:space="preserve">his </w:t>
      </w:r>
      <w:r w:rsidR="00E07056">
        <w:t>increase</w:t>
      </w:r>
      <w:r w:rsidR="001809F0">
        <w:t xml:space="preserve"> is</w:t>
      </w:r>
      <w:r w:rsidR="006C19F1">
        <w:t xml:space="preserve"> similar </w:t>
      </w:r>
      <w:r w:rsidR="00E07056" w:rsidRPr="00D04BF7">
        <w:t>i</w:t>
      </w:r>
      <w:r w:rsidR="006C19F1">
        <w:t xml:space="preserve">n magnitude to the </w:t>
      </w:r>
      <w:r w:rsidR="00E07056" w:rsidRPr="00D04BF7">
        <w:t>overall</w:t>
      </w:r>
      <w:r w:rsidR="000C0A3D">
        <w:t xml:space="preserve"> increase in the</w:t>
      </w:r>
      <w:r w:rsidR="00E07056" w:rsidRPr="00D04BF7">
        <w:t xml:space="preserve"> US ED visit rate from 1997 to 2007</w:t>
      </w:r>
      <w:r w:rsidR="006C19F1">
        <w:t xml:space="preserve"> (</w:t>
      </w:r>
      <w:r w:rsidR="000C0A3D">
        <w:t>a 1.2% increase</w:t>
      </w:r>
      <w:r w:rsidR="00EB5E57">
        <w:t>,</w:t>
      </w:r>
      <w:r w:rsidR="000C0A3D">
        <w:t xml:space="preserve"> from</w:t>
      </w:r>
      <w:r w:rsidR="006C19F1">
        <w:t xml:space="preserve"> 352.8 to 390.5</w:t>
      </w:r>
      <w:r w:rsidR="00501BCA">
        <w:t xml:space="preserve"> visits</w:t>
      </w:r>
      <w:r w:rsidR="006C19F1">
        <w:t xml:space="preserve"> per 1,000 persons</w:t>
      </w:r>
      <w:r w:rsidR="00501BCA">
        <w:t xml:space="preserve"> per year</w:t>
      </w:r>
      <w:r w:rsidR="006C19F1">
        <w:t>)</w:t>
      </w:r>
      <w:r w:rsidR="00E07056">
        <w:t>.</w:t>
      </w:r>
      <w:r w:rsidR="00E07056" w:rsidRPr="00430886">
        <w:rPr>
          <w:highlight w:val="yellow"/>
        </w:rPr>
        <w:fldChar w:fldCharType="begin"/>
      </w:r>
      <w:r w:rsidR="004835FE">
        <w:rPr>
          <w:highlight w:val="yellow"/>
        </w:rPr>
        <w:instrText xml:space="preserve"> ADDIN ZOTERO_ITEM CSL_CITATION {"citationID":"QHeXwe6N","properties":{"formattedCitation":"\\super 40\\nosupersub{}","plainCitation":"40","noteIndex":0},"citationItems":[{"id":1920,"uris":["http://zotero.org/users/9240079/items/YSCWA3MU"],"itemData":{"id":1920,"type":"article-journal","abstract":"The potential effects of increasing numbers of uninsured and underinsured persons on US emergency departments (EDs) is a concern for the health care safety net.To describe the changes in ED visits that occurred from 1997 through 2007 in the adult and pediatric US populations by sociodemographic group, designation of safety-net ED, and trends in ambulatory care–sensitive conditions.Publicly available ED visit data from the National Hospital Ambulatory Medical Care Survey (NHAMCS) from 1997 through 2007 were stratified by age, sex, race, ethnicity, insurance status, safety-net hospital classification, triage category, and disposition. Codes from the International Classification of Diseases, Ninth Revision (ICD-9), were used to extract visits related to ambulatory care–sensitive conditions. Visit rates were calculated using annual US Census estimates.Total annual visits to US EDs and ED visit rates for population subgroups.Between 1997 and 2007, ED visit rates increased from 352.8 to 390.5 per 1000 persons (rate difference, 37.7; 95% confidence interval [CI], −51.1 to 126.5; P = .001 for trend); the increase in total annual ED visits was almost double of what would be expected from population growth. Adults with Medicaid accounted for most of the increase in ED visits; the visit rate increased from 693.9 to 947.2 visits per 1000 enrollees between 1999 and 2007 (rate difference, 253.3; 95% CI, 41.1 to 465.5; P = .001 for trend). Although ED visit rates for adults with ambulatory care–sensitive conditions remained stable, ED visit rates among adults with Medicaid increased from 66.4 in 1999 to 83.9 in 2007 (rate difference, 17.5; 95% CI, −5.8 to 40.8; P = .007 for trend). The number of facilities qualifying as safety-net EDs increased from 1770 in 2000 to 2489 in 2007.These findings indicate that ED visit rates have increased from 1997 to 2007 and that EDs are increasingly serving as the safety net for medically underserved patients, particularly adults with Medicaid.","container-title":"JAMA","DOI":"10.1001/jama.2010.1112","ISSN":"0098-7484","issue":"6","journalAbbreviation":"JAMA","page":"664-670","source":"Silverchair","title":"Trends and Characteristics of US Emergency Department Visits, 1997-2007","volume":"304","author":[{"family":"Tang","given":"Ning"},{"family":"Stein","given":"John"},{"family":"Hsia","given":"Renee Y."},{"family":"Maselli","given":"Judith H."},{"family":"Gonzales","given":"Ralph"}],"issued":{"date-parts":[["2010",8,11]]}}}],"schema":"https://github.com/citation-style-language/schema/raw/master/csl-citation.json"} </w:instrText>
      </w:r>
      <w:r w:rsidR="00E07056" w:rsidRPr="00430886">
        <w:rPr>
          <w:highlight w:val="yellow"/>
        </w:rPr>
        <w:fldChar w:fldCharType="separate"/>
      </w:r>
      <w:r w:rsidR="004835FE" w:rsidRPr="004835FE">
        <w:rPr>
          <w:vertAlign w:val="superscript"/>
        </w:rPr>
        <w:t>40</w:t>
      </w:r>
      <w:r w:rsidR="00E07056" w:rsidRPr="00430886">
        <w:rPr>
          <w:highlight w:val="yellow"/>
        </w:rPr>
        <w:fldChar w:fldCharType="end"/>
      </w:r>
      <w:r w:rsidR="00E07056" w:rsidRPr="00D04BF7">
        <w:t xml:space="preserve"> </w:t>
      </w:r>
      <w:r w:rsidR="000570F5">
        <w:t>Finally</w:t>
      </w:r>
      <w:r w:rsidR="3B310BBB">
        <w:t xml:space="preserve"> between half and two-thirds of</w:t>
      </w:r>
      <w:r w:rsidR="11ACD3B9">
        <w:t xml:space="preserve"> counties </w:t>
      </w:r>
      <w:r w:rsidR="00501BCA">
        <w:t xml:space="preserve">were projected to experience </w:t>
      </w:r>
      <w:r w:rsidR="00EC5344">
        <w:t>at least a 50%</w:t>
      </w:r>
      <w:r w:rsidR="29BF454A">
        <w:t xml:space="preserve"> increase in</w:t>
      </w:r>
      <w:r w:rsidR="6ED916E7">
        <w:t xml:space="preserve"> high ED utilization days</w:t>
      </w:r>
      <w:r w:rsidR="003E23FA">
        <w:t xml:space="preserve"> by midcentury</w:t>
      </w:r>
      <w:r w:rsidR="71C4BD2B">
        <w:t xml:space="preserve">, </w:t>
      </w:r>
      <w:r w:rsidR="00EC5344">
        <w:t xml:space="preserve">with impacts </w:t>
      </w:r>
      <w:r w:rsidR="71C4BD2B">
        <w:t xml:space="preserve">concentrated </w:t>
      </w:r>
      <w:r w:rsidR="2F84FEF2">
        <w:t xml:space="preserve">in </w:t>
      </w:r>
      <w:r w:rsidR="404D1FE6">
        <w:t xml:space="preserve">cooler </w:t>
      </w:r>
      <w:r w:rsidR="2F84FEF2">
        <w:t xml:space="preserve">northern regions. </w:t>
      </w:r>
    </w:p>
    <w:p w14:paraId="1DBE88D1" w14:textId="03AA3A5E" w:rsidR="00450D20" w:rsidRDefault="00E80E4F" w:rsidP="1FB59598">
      <w:r>
        <w:tab/>
      </w:r>
      <w:r>
        <w:tab/>
      </w:r>
      <w:r w:rsidR="09B8D1C6">
        <w:t xml:space="preserve">The present </w:t>
      </w:r>
      <w:r w:rsidR="2C22DCBF">
        <w:t xml:space="preserve">paper </w:t>
      </w:r>
      <w:r w:rsidR="09B8D1C6">
        <w:t>add</w:t>
      </w:r>
      <w:r w:rsidR="2D0E0A91">
        <w:t>s</w:t>
      </w:r>
      <w:r w:rsidR="09B8D1C6">
        <w:t xml:space="preserve"> to</w:t>
      </w:r>
      <w:r w:rsidR="2F84FEF2">
        <w:t xml:space="preserve"> a small </w:t>
      </w:r>
      <w:r w:rsidR="01C19AF2">
        <w:t>number</w:t>
      </w:r>
      <w:r w:rsidR="72FB4E30">
        <w:t xml:space="preserve"> of studies</w:t>
      </w:r>
      <w:r w:rsidR="0057135D">
        <w:t xml:space="preserve"> on</w:t>
      </w:r>
      <w:r w:rsidR="00777D46">
        <w:t xml:space="preserve"> the exposure-response relationship between</w:t>
      </w:r>
      <w:r w:rsidR="0057135D">
        <w:t xml:space="preserve"> heat and non-fatal health impacts</w:t>
      </w:r>
      <w:r w:rsidR="2F84FEF2">
        <w:t xml:space="preserve">. </w:t>
      </w:r>
      <w:r w:rsidR="006F457B">
        <w:t>M</w:t>
      </w:r>
      <w:r w:rsidR="2F84FEF2">
        <w:t xml:space="preserve">ost similar </w:t>
      </w:r>
      <w:r w:rsidR="34113E90">
        <w:t>to ours</w:t>
      </w:r>
      <w:r w:rsidR="2F84FEF2">
        <w:t xml:space="preserve"> is </w:t>
      </w:r>
      <w:r w:rsidR="00886006">
        <w:t>an</w:t>
      </w:r>
      <w:r w:rsidR="2F84FEF2">
        <w:t xml:space="preserve"> </w:t>
      </w:r>
      <w:r w:rsidR="006F457B">
        <w:t>investigation of</w:t>
      </w:r>
      <w:r w:rsidR="2F84FEF2">
        <w:t xml:space="preserve"> </w:t>
      </w:r>
      <w:r w:rsidR="103C5F0E">
        <w:t>current</w:t>
      </w:r>
      <w:r w:rsidR="2F84FEF2">
        <w:t xml:space="preserve"> and future </w:t>
      </w:r>
      <w:r w:rsidR="006F457B">
        <w:t xml:space="preserve">ED visits for </w:t>
      </w:r>
      <w:r w:rsidR="2F84FEF2">
        <w:t xml:space="preserve">hyperthermia in 136 </w:t>
      </w:r>
      <w:r w:rsidR="72490010">
        <w:t xml:space="preserve">US </w:t>
      </w:r>
      <w:r w:rsidR="2F84FEF2">
        <w:t>urban area</w:t>
      </w:r>
      <w:r w:rsidR="008942A1">
        <w:t>s.</w:t>
      </w:r>
      <w:r w:rsidRPr="00E6599D">
        <w:rPr>
          <w:highlight w:val="yellow"/>
        </w:rPr>
        <w:fldChar w:fldCharType="begin"/>
      </w:r>
      <w:r w:rsidR="004835FE">
        <w:rPr>
          <w:highlight w:val="yellow"/>
        </w:rPr>
        <w:instrText xml:space="preserve"> ADDIN ZOTERO_ITEM CSL_CITATION {"citationID":"WPaRQBqt","properties":{"formattedCitation":"\\super 41\\nosupersub{}","plainCitation":"41","noteIndex":0},"citationItems":[{"id":2093,"uris":["http://zotero.org/users/9240079/items/IZGMVAK8"],"itemData":{"id":2093,"type":"article-journal","abstract":"The U.S. Global Climate Change Research Program has identified climate change as a growing public health threat. We investigated the potential effects of changes in ambient daily maximum temperature on hyperthermia and cardiovascular emergency department (ED) visits using records for patients age 64 and younger from a private insurance database for the May–September period for 2005–2012. We found a strong positive relationship between daily maximum temperatures and ED visits for hyperthermia but not for cardiovascular conditions. Using the fitted relationship from 136 metropolitan areas, we calculated the number and rate of hyperthermia ED visits for climates representative of year 1995 (baseline period), as well as years 2050 and 2090 (future periods), for two climate change scenarios based on outcomes from five global climate models. Without considering potential adaptation or population growth and movement, we calculate that climate change alone will result in an additional 21,000–28,000 hyperthermia ED visits for May to September, with associated treatment costs between \\6 million and \\52 million (2015 U.S. dollars) by 2050; this increases to approximately 28,000–65,000 additional hyperthermia ED visits with treatment costs between \\9 million and \\118 million (2015 U.S. dollars) by 2090. The range in projected additional hyperthermia visits reflects the difference between alternative climate scenarios, and the additional range in valuation reflects different assumptions about per-case valuation.","container-title":"GeoHealth","DOI":"10.1002/2018GH000129","ISSN":"2471-1403","issue":"6","language":"en","license":"©2018. The Authors.","note":"_eprint: https://onlinelibrary.wiley.com/doi/pdf/10.1002/2018GH000129","page":"182-194","source":"Wiley Online Library","title":"Emergency Department Visits and Ambient Temperature: Evaluating the Connection and Projecting Future Outcomes","title-short":"Emergency Department Visits and Ambient Temperature","volume":"2","author":[{"family":"Lay","given":"C. R."},{"family":"Mills","given":"D."},{"family":"Belova","given":"A."},{"family":"Sarofim","given":"M. C."},{"family":"Kinney","given":"P. L."},{"family":"Vaidyanathan","given":"A."},{"family":"Jones","given":"R."},{"family":"Hall","given":"R."},{"family":"Saha","given":"S."}],"issued":{"date-parts":[["2018"]]}}}],"schema":"https://github.com/citation-style-language/schema/raw/master/csl-citation.json"} </w:instrText>
      </w:r>
      <w:r w:rsidRPr="00E6599D">
        <w:rPr>
          <w:highlight w:val="yellow"/>
        </w:rPr>
        <w:fldChar w:fldCharType="separate"/>
      </w:r>
      <w:r w:rsidR="004835FE" w:rsidRPr="004835FE">
        <w:rPr>
          <w:vertAlign w:val="superscript"/>
        </w:rPr>
        <w:t>41</w:t>
      </w:r>
      <w:r w:rsidRPr="00E6599D">
        <w:rPr>
          <w:highlight w:val="yellow"/>
        </w:rPr>
        <w:fldChar w:fldCharType="end"/>
      </w:r>
      <w:r w:rsidR="008942A1">
        <w:t xml:space="preserve"> T</w:t>
      </w:r>
      <w:r w:rsidR="2F84FEF2">
        <w:t>h</w:t>
      </w:r>
      <w:r w:rsidR="46EB0FC5">
        <w:t>at</w:t>
      </w:r>
      <w:r w:rsidR="2F84FEF2">
        <w:t xml:space="preserve"> study found largely monotonic</w:t>
      </w:r>
      <w:r w:rsidR="2F84FEF2" w:rsidRPr="004C3909">
        <w:t xml:space="preserve"> increases in May</w:t>
      </w:r>
      <w:r w:rsidR="4E64A17B" w:rsidRPr="004C3909">
        <w:t>-</w:t>
      </w:r>
      <w:r w:rsidR="2F84FEF2" w:rsidRPr="004C3909">
        <w:t xml:space="preserve">September hyperthermia ED visit </w:t>
      </w:r>
      <w:r w:rsidR="4723889C" w:rsidRPr="004C3909">
        <w:t>rates</w:t>
      </w:r>
      <w:r w:rsidR="2F84FEF2" w:rsidRPr="004C3909">
        <w:t xml:space="preserve"> for adults </w:t>
      </w:r>
      <w:r w:rsidR="00886006">
        <w:t xml:space="preserve">18 to </w:t>
      </w:r>
      <w:r w:rsidR="2F84FEF2" w:rsidRPr="004C3909">
        <w:t xml:space="preserve">64 </w:t>
      </w:r>
      <w:r w:rsidR="00592B70">
        <w:t>that translated to a projected increase in</w:t>
      </w:r>
      <w:r w:rsidR="2F84FEF2" w:rsidRPr="004C3909">
        <w:t xml:space="preserve"> ED visit </w:t>
      </w:r>
      <w:r w:rsidR="4723889C" w:rsidRPr="004C3909">
        <w:t>rates</w:t>
      </w:r>
      <w:r w:rsidR="00592B70">
        <w:t xml:space="preserve"> </w:t>
      </w:r>
      <w:r w:rsidR="00194E44">
        <w:t xml:space="preserve">for </w:t>
      </w:r>
      <w:r w:rsidR="00194E44" w:rsidRPr="004C3909">
        <w:t>hyperthermia</w:t>
      </w:r>
      <w:r w:rsidR="2F84FEF2">
        <w:t>.</w:t>
      </w:r>
      <w:r w:rsidR="4BBE6819">
        <w:t xml:space="preserve"> </w:t>
      </w:r>
      <w:r w:rsidR="2F84FEF2">
        <w:t xml:space="preserve">Hess et. al., (2014) used state-level ED records to show a </w:t>
      </w:r>
      <w:r w:rsidR="3DED23B6">
        <w:t xml:space="preserve">linearly </w:t>
      </w:r>
      <w:r w:rsidR="2F84FEF2">
        <w:t>increasing relationship between average annual temperature anomaly and annual ED visits for heat-related illness</w:t>
      </w:r>
      <w:r w:rsidR="008942A1">
        <w:t>.</w:t>
      </w:r>
      <w:r w:rsidRPr="00E6599D">
        <w:rPr>
          <w:highlight w:val="yellow"/>
        </w:rPr>
        <w:fldChar w:fldCharType="begin"/>
      </w:r>
      <w:r w:rsidR="004835FE">
        <w:rPr>
          <w:highlight w:val="yellow"/>
        </w:rPr>
        <w:instrText xml:space="preserve"> ADDIN ZOTERO_ITEM CSL_CITATION {"citationID":"WBngKw0a","properties":{"formattedCitation":"\\super 42\\nosupersub{}","plainCitation":"42","noteIndex":0},"citationItems":[{"id":1155,"uris":["http://zotero.org/users/9240079/items/FGU2XW79"],"itemData":{"id":1155,"type":"article-journal","container-title":"Environmental Health Perspectives","DOI":"10.1289/ehp.1306796","ISSN":"0091-6765, 1552-9924","issue":"11","language":"en","page":"1209-1215","source":"DOI.org (Crossref)","title":"Summertime Acute Heat Illness in U.S. Emergency Departments from 2006 through 2010: Analysis of a Nationally Representative Sample","title-short":"Summertime Acute Heat Illness in U.S. Emergency Departments from 2006 through 2010","volume":"122","author":[{"family":"Hess","given":"Jeremy J."},{"family":"Saha","given":"Shubhayu"},{"family":"Luber","given":"George"}],"issued":{"date-parts":[["2014",11]]}}}],"schema":"https://github.com/citation-style-language/schema/raw/master/csl-citation.json"} </w:instrText>
      </w:r>
      <w:r w:rsidRPr="00E6599D">
        <w:rPr>
          <w:highlight w:val="yellow"/>
        </w:rPr>
        <w:fldChar w:fldCharType="separate"/>
      </w:r>
      <w:r w:rsidR="004835FE" w:rsidRPr="004835FE">
        <w:rPr>
          <w:vertAlign w:val="superscript"/>
        </w:rPr>
        <w:t>42</w:t>
      </w:r>
      <w:r w:rsidRPr="00E6599D">
        <w:rPr>
          <w:highlight w:val="yellow"/>
        </w:rPr>
        <w:fldChar w:fldCharType="end"/>
      </w:r>
      <w:r w:rsidR="2F84FEF2" w:rsidRPr="00EA2673">
        <w:t xml:space="preserve"> </w:t>
      </w:r>
      <w:r w:rsidR="7968BA23" w:rsidRPr="00EA2673">
        <w:t>F</w:t>
      </w:r>
      <w:r w:rsidR="6C16B05F" w:rsidRPr="00EA2673">
        <w:t>iner geographic</w:t>
      </w:r>
      <w:r w:rsidR="2F84FEF2" w:rsidRPr="00EA2673">
        <w:t xml:space="preserve"> scale</w:t>
      </w:r>
      <w:r w:rsidR="302E405E" w:rsidRPr="00EA2673">
        <w:t xml:space="preserve"> </w:t>
      </w:r>
      <w:r w:rsidR="59AAED6F" w:rsidRPr="00EA2673">
        <w:t>s</w:t>
      </w:r>
      <w:r w:rsidR="5E657568" w:rsidRPr="00EA2673">
        <w:t>tudies</w:t>
      </w:r>
      <w:r w:rsidR="2F84FEF2" w:rsidRPr="00EA2673">
        <w:t xml:space="preserve"> have also </w:t>
      </w:r>
      <w:r w:rsidR="7AB06D31" w:rsidRPr="00EA2673">
        <w:t>demonstrated</w:t>
      </w:r>
      <w:r w:rsidR="2F84FEF2" w:rsidRPr="00EA2673">
        <w:t xml:space="preserve"> monotonic or “J-shaped” associations between</w:t>
      </w:r>
      <w:r w:rsidR="00FC0BB5">
        <w:t xml:space="preserve"> increased</w:t>
      </w:r>
      <w:r w:rsidR="2F84FEF2" w:rsidRPr="00EA2673">
        <w:t xml:space="preserve"> temperature (with lags of 3 to 7 days) and non-fatal health impacts: i</w:t>
      </w:r>
      <w:r w:rsidR="2F84FEF2">
        <w:t xml:space="preserve">n Shanghai and Pudong </w:t>
      </w:r>
      <w:r w:rsidR="2F84FEF2">
        <w:lastRenderedPageBreak/>
        <w:t xml:space="preserve">New Area, </w:t>
      </w:r>
      <w:r w:rsidR="2F84FEF2" w:rsidRPr="008942A1">
        <w:t>China</w:t>
      </w:r>
      <w:r w:rsidRPr="008942A1">
        <w:fldChar w:fldCharType="begin"/>
      </w:r>
      <w:r w:rsidR="00271EEF" w:rsidRPr="008942A1">
        <w:instrText xml:space="preserve"> ADDIN ZOTERO_ITEM CSL_CITATION {"citationID":"lVAYVwhs","properties":{"formattedCitation":"\\super 25,26\\nosupersub{}","plainCitation":"25,26","noteIndex":0},"citationItems":[{"id":2062,"uris":["http://zotero.org/users/9240079/items/8YZPLDTL"],"itemData":{"id":2062,"type":"article-journal","abstract":"Many studies have examined the association between ambient temperature and mortality. However, less evidence is available on the temperature effects on gender- and age-specific emergency department visits, especially in developing countries. In this study, we examined the short-term effects of daily ambient temperature on emergency department visits (ED visits) in Shanghai.","container-title":"Environmental Health","DOI":"10.1186/1476-069X-13-100","ISSN":"1476-069X","issue":"1","journalAbbreviation":"Environ Health","language":"en","page":"100","source":"Springer Link","title":"Effect of ambient temperature on emergency department visits in Shanghai, China: a time series study","title-short":"Effect of ambient temperature on emergency department visits in Shanghai, China","volume":"13","author":[{"family":"Zhang","given":"Yue"},{"family":"Yan","given":"Chenyang"},{"family":"Kan","given":"Haidong"},{"family":"Cao","given":"Junshan"},{"family":"Peng","given":"Li"},{"family":"Xu","given":"Jianming"},{"family":"Wang","given":"Weibing"}],"issued":{"date-parts":[["2014",11,25]]}}},{"id":2078,"uris":["http://zotero.org/users/9240079/items/WHQ8Y4MJ"],"itemData":{"id":2078,"type":"article-journal","abstract":"In July 2013, an extended heat episode with extreme high temperature covered Pudong New Area, the largest district in Shanghai. The current study estimates the impacts of temperature and heat waves on emergency department visits (EDV) and emergency ambulance dispatches (EAD) using time-series approaches in Pudong, from 2011 to 2013.","container-title":"Environmental Health","DOI":"10.1186/1476-069X-13-76","ISSN":"1476-069X","issue":"1","journalAbbreviation":"Environ Health","language":"en","page":"76","source":"Springer Link","title":"Effects of temperature and heat waves on emergency department visits and emergency ambulance dispatches in Pudong New Area, China: a time series analysis","title-short":"Effects of temperature and heat waves on emergency department visits and emergency ambulance dispatches in Pudong New Area, China","volume":"13","author":[{"family":"Sun","given":"Xiaoming"},{"family":"Sun","given":"Qiao"},{"family":"Yang","given":"Minjuan"},{"family":"Zhou","given":"Xianfeng"},{"family":"Li","given":"Xiaopan"},{"family":"Yu","given":"Aiqing"},{"family":"Geng","given":"Fuhai"},{"family":"Guo","given":"Yuming"}],"issued":{"date-parts":[["2014",10,2]]}}}],"schema":"https://github.com/citation-style-language/schema/raw/master/csl-citation.json"} </w:instrText>
      </w:r>
      <w:r w:rsidRPr="008942A1">
        <w:fldChar w:fldCharType="separate"/>
      </w:r>
      <w:r w:rsidR="00271EEF" w:rsidRPr="008942A1">
        <w:rPr>
          <w:vertAlign w:val="superscript"/>
        </w:rPr>
        <w:t>25,26</w:t>
      </w:r>
      <w:r w:rsidRPr="008942A1">
        <w:fldChar w:fldCharType="end"/>
      </w:r>
      <w:r w:rsidR="2F84FEF2" w:rsidRPr="008942A1">
        <w:t xml:space="preserve">  and in </w:t>
      </w:r>
      <w:r w:rsidR="355BEBEE" w:rsidRPr="008942A1">
        <w:t xml:space="preserve">the US in </w:t>
      </w:r>
      <w:r w:rsidR="2F84FEF2" w:rsidRPr="008942A1">
        <w:t xml:space="preserve">California, Rhode Island, </w:t>
      </w:r>
      <w:r w:rsidR="0527EE8A" w:rsidRPr="008942A1">
        <w:t xml:space="preserve">Massachusetts, </w:t>
      </w:r>
      <w:r w:rsidR="2F84FEF2" w:rsidRPr="008942A1">
        <w:t>and North Carolina</w:t>
      </w:r>
      <w:r w:rsidRPr="008942A1">
        <w:fldChar w:fldCharType="begin"/>
      </w:r>
      <w:r w:rsidR="004835FE">
        <w:instrText xml:space="preserve"> ADDIN ZOTERO_ITEM CSL_CITATION {"citationID":"GDhiNEYJ","properties":{"formattedCitation":"\\super 27,28,43,44\\nosupersub{}","plainCitation":"27,28,43,44","noteIndex":0},"citationItems":[{"id":2080,"uris":["http://zotero.org/users/9240079/items/LL7Q4LBK"],"itemData":{"id":2080,"type":"article","abstract":"Increased temperature-related mortality is predicted to be one of the largest contributors to future economic damages from climate change globally, with declines in cold-related deaths in some regions outweighed by increases in heat-related deaths in others. Changes in temperature could also affect non-fatal health outcomes, whose aggregate societal burden is large, yet much less is known about how temperature affects the overall level and distribution of morbidity. Using georeferenced data on emergency department visits, mortality, and daily temperatures across California from 2006-2017, we show that the effect of temperature on mortality differs substantially from its effect on ED visits: mortality increases under extreme heat and cold, whereas ED visits increase under extreme heat but decline under extreme cold. These differential responses fundamentally shape the burden of future climate change: we predict that mortality in California will decrease by 0.32% due to changes in temperatures by mid-century, with declining cold deaths outweighing increasing heat deaths, but that ED visits will increase by 0.46% over the same period in the state, representing a total of 1.9 million excess visits. Our findings suggest that projected impacts of future warming on mortality, including benefits in many areas, might be a poor guide for morbidity impacts.","collection-title":"Working Paper Series","DOI":"10.3386/w32195","genre":"Working Paper","note":"DOI: 10.3386/w32195","number":"32195","publisher":"National Bureau of Economic Research","source":"National Bureau of Economic Research","title":"Temperature Extremes Impact Mortality and Morbidity Differently","URL":"https://www.nber.org/papers/w32195","author":[{"family":"Gould","given":"Carlos F."},{"family":"Heft-Neal","given":"Sam"},{"family":"Heaney","given":"Alexandra K."},{"family":"Bendavid","given":"Eran"},{"family":"Callahan","given":"Christopher W."},{"family":"Kiang","given":"Mathew"},{"family":"Graff Zivin","given":"Joshua S."},{"family":"Burke","given":"Marshall"}],"accessed":{"date-parts":[["2024",7,29]]},"issued":{"date-parts":[["2024",3]]}}},{"id":2070,"uris":["http://zotero.org/users/9240079/items/8T953PKC"],"itemData":{"id":2070,"type":"article-journal","abstract":"Background:Climate change is expected to cause increases in heat-related mortality, especially among the elderly and very young. However, additional studies are needed to clarify the effects of heat on morbidity across all age groups and across a wider range of temperatures.Objectives:We aimed to estimate the impact of current and projected future temperatures on morbidity and mortality in Rhode Island.Methods:We used Poisson regression models to estimate the association between daily maximum temperature and rates of all-cause and heat-related emergency department (ED) admissions and all-cause mortality. We then used downscaled Coupled Model Intercomparison Project Phase 5 (CMIP5; a standardized set of climate change model simulations) projections to estimate the excess morbidity and mortality that would be observed if this population were exposed to the temperatures projected for 2046–2053 and 2092–2099 under two representative concentration pathways (RCP): RCP 8.5 and 4.5.Results:Between 2005 and 2012, an increase in maximum daily temperature from 75 to 85°F was associated with 1.3% and 23.9% higher rates of all-cause and heat-related ED visits, respectively. The corresponding effect estimate for all-cause mortality from 1999 through 2011 was 4.0%. The association with all-cause ED admissions was strongest for those &lt; 18 or ≥ 65 years of age, whereas the association with heat-related ED admissions was most pronounced among 18- to 64-year-olds. If this Rhode Island population were exposed to temperatures projected under RCP 8.5 for 2092–2099, we estimate that there would be 1.2% (range, 0.6–1.6%) and 24.4% (range, 6.9–41.8%) more all-cause and heat-related ED admissions, respectively, and 1.6% (range, 0.8–2.1%) more deaths annually between April and October.Conclusions:With all other factors held constant, our findings suggest that the current population of Rhode Island would experience substantially higher morbidity and mortality if maximum daily temperatures increase further as projected.Citation:Kingsley SL, Eliot MN, Gold J, Vanderslice RR, Wellenius GA. 2016. Current and projected heat-related morbidity and mortality in Rhode Island. Environ Health Perspect 124:460–467; http://dx.doi.org/10.1289/ehp.1408826","container-title":"Environmental Health Perspectives","DOI":"10.1289/ehp.1408826","issue":"4","note":"publisher: Environmental Health Perspectives","page":"460-467","source":"ehp.niehs.nih.gov (Atypon)","title":"Current and Projected Heat-Related Morbidity and Mortality in Rhode Island","volume":"124","author":[{"family":"Kingsley","given":"Samantha L."},{"family":"Eliot","given":"Melissa N."},{"family":"Gold","given":"Julia"},{"family":"Vanderslice","given":"Robert R."},{"family":"Wellenius","given":"Gregory A."}],"issued":{"date-parts":[["2016",4]]}}},{"id":1902,"uris":["http://zotero.org/users/9240079/items/DC3ZXJSE"],"itemData":{"id":1902,"type":"article-journal","abstract":"Background: \n          Climate change is expected to result in more heat-related, but potentially fewer cold-related, emergency department visits and deaths. The net effect of projected changes in temperature on morbidity and mortality remains incompletely understood. We estimated the change in temperature-related morbidity and mortality at two sites in southern New England, United States, through the end of the 21st century.\n          Methods: \n          We used distributed lag Poisson regression models to estimate the present-day associations between daily mean temperature and all-cause emergency department visits and deaths in Rhode Island and in Boston, Massachusetts. We estimated the change in temperature-related visits and deaths in 2045–2054 and 2085–2094 (relative to 2001–2010) under two greenhouse gas emissions scenarios (RCP4.5 and RCP8.5) using downscaled projections from an ensemble of over 40 climate models, assuming all other factors remain constant.\n          Results: \n          We observed U-shaped relationships between temperature and morbidity and mortality in Rhode Island, with minima at 10.9°C and 22.5°C, respectively. We estimated that, if this population were exposed to the future temperatures projected under RCP8.5 for 2085–2094, there would be 5,976 (95% eCI = 1,630, 11,379) more emergency department visits but 218 (95% eCI = −551, 43) fewer deaths annually. Results were similar in Boston and similar but less pronounced in the 2050s and under RCP4.5.\n          Conclusions: \n          We estimated that in the absence of further adaptation, if the current southern New England population were exposed to the higher temperatures projected for future decades, temperature-related emergency department visits would increase but temperature-related deaths would not.","container-title":"Epidemiology","DOI":"10.1097/EDE.0000000000000825","ISSN":"1044-3983","issue":"4","language":"en-US","page":"473","source":"journals.lww.com","title":"Projected Changes in Temperature-related Morbidity and Mortality in Southern New England","volume":"29","author":[{"family":"Weinberger","given":"Kate R."},{"family":"Kirwa","given":"Kipruto"},{"family":"Eliot","given":"Melissa N."},{"family":"Gold","given":"Julia"},{"family":"Suh","given":"Helen H."},{"family":"Wellenius","given":"Gregory A."}],"issued":{"date-parts":[["2018",7]]}}},{"id":2120,"uris":["http://zotero.org/users/9240079/items/T7M9DPRR"],"itemData":{"id":2120,"type":"article-journal","abstract":"Purpose\nTo estimate the association between environmental temperatures and the occurrence of emergency department visits for heat-related illness in North Carolina, a large Southern state with 85 rural and 15 urban counties; approximately half the state's population resides in urban counties.\nMethods\nCounty-level daily emergency department visit counts and daily mean temperatures for the period 1/1/2007–12/31/2008 were merged to form a time-series data structure. Incidence rates were calculated by sex, age group, region, day of week, and month. Incidence rate ratios were estimated using categorical and linear spline Poisson regression models and heterogeneity of the temperature-emergency department visit association was assessed using product interaction terms in the Poisson models.\nResults\nIn 2007–2008, there were 2539 emergency department visits with heat-related illness as the primary diagnosis. Incidence rates were highest among young adult males (19–44 year age group), in rural counties, and in the Sandhills region. Incidence rates increased exponentially with temperatures over 15.6°C (60°F). The overall incidence rate ratio for each 1°C increase over 15.6°C in daily mean temperature was 1.43 (95%CI: 1.41, 1.45); temperature effects were greater for males than females, for 45–64 year olds, and for residents of rural counties than residents of urban counties.\nConclusions\nAs heat response plans are developed, they should incorporate findings on climate effects for both mortality and morbidity. While forecast-triggered heat health warning systems are essential to mitigate the effects of extreme heat events, public health preparedness plans should not ignore the effects of more persistently observed high environmental temperatures like those that occur throughout the warm season in North Carolina.","container-title":"Environmental Research","DOI":"10.1016/j.envres.2013.03.009","ISSN":"0013-9351","journalAbbreviation":"Environmental Research","page":"35-42","source":"ScienceDirect","title":"Ambient temperature and emergency department visits for heat-related illness in North Carolina, 2007–2008","volume":"124","author":[{"family":"Lippmann","given":"Steven J."},{"family":"Fuhrmann","given":"Christopher M."},{"family":"Waller","given":"Anna E."},{"family":"Richardson","given":"David B."}],"issued":{"date-parts":[["2013",7,1]]}}}],"schema":"https://github.com/citation-style-language/schema/raw/master/csl-citation.json"} </w:instrText>
      </w:r>
      <w:r w:rsidRPr="008942A1">
        <w:fldChar w:fldCharType="separate"/>
      </w:r>
      <w:r w:rsidR="004835FE" w:rsidRPr="004835FE">
        <w:rPr>
          <w:vertAlign w:val="superscript"/>
        </w:rPr>
        <w:t>27,28,43,44</w:t>
      </w:r>
      <w:r w:rsidRPr="008942A1">
        <w:fldChar w:fldCharType="end"/>
      </w:r>
      <w:r w:rsidR="2F84FEF2">
        <w:t xml:space="preserve"> </w:t>
      </w:r>
      <w:r w:rsidR="00505BB7">
        <w:t xml:space="preserve">Different from our result was a study across 12 cities in </w:t>
      </w:r>
      <w:r w:rsidR="4436B402">
        <w:t>C</w:t>
      </w:r>
      <w:r w:rsidR="00505BB7">
        <w:t>hina that</w:t>
      </w:r>
      <w:r w:rsidR="02AE9C09">
        <w:t xml:space="preserve"> used </w:t>
      </w:r>
      <w:r w:rsidR="00505BB7">
        <w:t xml:space="preserve">a </w:t>
      </w:r>
      <w:r w:rsidR="2F84FEF2">
        <w:t xml:space="preserve">lag </w:t>
      </w:r>
      <w:r w:rsidR="50C12503">
        <w:t>perio</w:t>
      </w:r>
      <w:r w:rsidR="008E17FC">
        <w:t>d of 32 days</w:t>
      </w:r>
      <w:r w:rsidR="2F84FEF2">
        <w:t xml:space="preserve"> </w:t>
      </w:r>
      <w:r w:rsidR="00505BB7">
        <w:t xml:space="preserve">and </w:t>
      </w:r>
      <w:r w:rsidR="2F84FEF2">
        <w:t>show</w:t>
      </w:r>
      <w:r w:rsidR="02AE9C09">
        <w:t>ed</w:t>
      </w:r>
      <w:r w:rsidR="2F84FEF2">
        <w:t xml:space="preserve"> a “U-shaped” </w:t>
      </w:r>
      <w:r w:rsidR="00DA2B38">
        <w:t>exposure-response relationship</w:t>
      </w:r>
      <w:r w:rsidR="00EB5E57">
        <w:t xml:space="preserve"> between heat and ED visits.</w:t>
      </w:r>
      <w:r w:rsidR="00C53E39">
        <w:fldChar w:fldCharType="begin"/>
      </w:r>
      <w:r w:rsidR="00505BB7">
        <w:instrText xml:space="preserve"> ADDIN ZOTERO_ITEM CSL_CITATION {"citationID":"SsWNdlCu","properties":{"formattedCitation":"\\super 30\\nosupersub{}","plainCitation":"30","noteIndex":0},"citationItems":[{"id":2066,"uris":["http://zotero.org/users/9240079/items/JKXXVDA9"],"itemData":{"id":2066,"type":"article-journal","abstract":"Background\nThe association between ambient temperature and mortality has been well documented worldwide. However, limited data are available on nonfatal health outcomes, such as emergency department visits (EDVs), particularly from China.\nObjectives\nTo examine the temperature-EDV association in 12 Chinese cities; and to assess the modification effects by region, gender and age.\nMethods\nDaily meteorological data and non-accidental EDVs were collected during 2011–2014. Poisson regression with distributed lag non-linear model was applied to examine the temperature-lag-EDV association in each city. The effect estimates were pooled using multivariate meta-analysis at the national and regional level. Stratified analyses were performed by gender and age-groups. Sensitivity analyses adjusting for air pollution and relative humidity were conducted.\nResults\nA total of 4,443,127 EDVs were collected from the 12 cities. Both cold and hot temperatures were associated with increased risk of EDVs, with minimum-mortality temperature located at 64th percentile of temperature. The effect of cold temperature appeared on day 2 and persisted until day 30, causing a cumulative relative risk (RR) of 1.80 (1.54, 2.11). The effect of hot temperature appeared immediately and lasted until day 3, with a cumulative RR of 1.15 (1.03, 1.29). The effect of temperature on EDVs was similar in male and female but was attenuated with increasing age. The effect of cold temperature on EDVs was greater in southern areas of the country whereas the hot effect was greater in northern cities. The association was robust to a large range of sensitivity analyses.\nConclusions\nIn China, there is a U-shaped association between temperature and risk of EDVs that is independent of air pollution and humidity. The temperature-EDV association varies with latitude and age-groups but is not affected by gender. Forecasting models for hospital emergency departments may be improved if temperature is included as an independent predictor.","container-title":"Environmental Pollution","DOI":"10.1016/j.envpol.2017.02.010","ISSN":"0269-7491","journalAbbreviation":"Environmental Pollution","page":"310-316","source":"ScienceDirect","title":"Ambient temperature and emergency department visits: Time-series analysis in 12 Chinese cities","title-short":"Ambient temperature and emergency department visits","volume":"224","author":[{"family":"Zhao","given":"Qi"},{"family":"Zhang","given":"Yongming"},{"family":"Zhang","given":"Wenyi"},{"family":"Li","given":"Shanshan"},{"family":"Chen","given":"Gongbo"},{"family":"Wu","given":"Yanbin"},{"family":"Qiu","given":"Chen"},{"family":"Ying","given":"Kejing"},{"family":"Tang","given":"Huaping"},{"family":"Huang","given":"Jian-an"},{"family":"Williams","given":"Gail"},{"family":"Huxley","given":"Rachel"},{"family":"Guo","given":"Yuming"}],"issued":{"date-parts":[["2017",5,1]]}}}],"schema":"https://github.com/citation-style-language/schema/raw/master/csl-citation.json"} </w:instrText>
      </w:r>
      <w:r w:rsidR="00C53E39">
        <w:fldChar w:fldCharType="separate"/>
      </w:r>
      <w:r w:rsidR="00505BB7" w:rsidRPr="00505BB7">
        <w:rPr>
          <w:vertAlign w:val="superscript"/>
        </w:rPr>
        <w:t>30</w:t>
      </w:r>
      <w:r w:rsidR="00C53E39">
        <w:fldChar w:fldCharType="end"/>
      </w:r>
      <w:r w:rsidR="008942A1">
        <w:t xml:space="preserve"> </w:t>
      </w:r>
      <w:r w:rsidR="00B42438">
        <w:t>The appropriate length of the</w:t>
      </w:r>
      <w:r w:rsidR="1E2D177D">
        <w:t xml:space="preserve"> </w:t>
      </w:r>
      <w:r w:rsidR="2F84FEF2">
        <w:t>lag tim</w:t>
      </w:r>
      <w:r w:rsidR="00B42438">
        <w:t xml:space="preserve">e </w:t>
      </w:r>
      <w:r w:rsidR="2F84FEF2">
        <w:t xml:space="preserve">for calculating </w:t>
      </w:r>
      <w:r w:rsidR="00A32F9C">
        <w:t>non-fatal health impacts of heat</w:t>
      </w:r>
      <w:r w:rsidR="00B42438">
        <w:t xml:space="preserve"> (as compared to fatal impacts)</w:t>
      </w:r>
      <w:r w:rsidR="0E588B4B">
        <w:t xml:space="preserve"> </w:t>
      </w:r>
      <w:r w:rsidR="10521040">
        <w:t xml:space="preserve">is </w:t>
      </w:r>
      <w:r w:rsidR="0E588B4B">
        <w:t>an open question</w:t>
      </w:r>
      <w:r w:rsidR="00DA2B38">
        <w:t xml:space="preserve">, </w:t>
      </w:r>
      <w:r w:rsidR="70B78DF3">
        <w:t xml:space="preserve">especially given the potential for future heatwaves with </w:t>
      </w:r>
      <w:r w:rsidR="38807D53">
        <w:t xml:space="preserve">multiple </w:t>
      </w:r>
      <w:r w:rsidR="6341A747">
        <w:t xml:space="preserve">consecutive </w:t>
      </w:r>
      <w:r w:rsidR="00A32F9C">
        <w:t>extreme heat</w:t>
      </w:r>
      <w:r w:rsidR="34A031A0">
        <w:t xml:space="preserve"> day</w:t>
      </w:r>
      <w:r w:rsidR="70B78DF3">
        <w:t>s</w:t>
      </w:r>
      <w:r w:rsidR="02AE9C09">
        <w:t>.</w:t>
      </w:r>
      <w:r w:rsidR="00594B0D">
        <w:fldChar w:fldCharType="begin"/>
      </w:r>
      <w:r w:rsidR="004835FE">
        <w:instrText xml:space="preserve"> ADDIN ZOTERO_ITEM CSL_CITATION {"citationID":"N1ib9LBJ","properties":{"formattedCitation":"\\super 45,46\\nosupersub{}","plainCitation":"45,46","noteIndex":0},"citationItems":[{"id":2300,"uris":["http://zotero.org/users/9240079/items/CF5Z6S4V"],"itemData":{"id":2300,"type":"article-journal","abstract":"Many United States (US) cities are experiencing urban heat islands (UHIs) and climate change-driven temperature increases. Extreme heat increases cardiovascular disease (CVD) risk, yet little is known about how this association varies with UHI intensity (UHII) within and between cities. We aimed to identify the urban populations most at-risk of and burdened by heat-related CVD morbidity in UHI-affected areas compared to unaffected areas. ZIP code-level daily counts of CVD hospitalizations among Medicare enrollees, aged 65–114, were obtained for 120 US metropolitan statistical areas (MSAs) between 2000 and 2017. Mean ambient temperature exposure was estimated by interpolating daily weather station observations. ZIP codes were classified as low and high UHII using the first and fourth quartiles of an existing surface UHII metric, weighted to each have 25% of all CVD hospitalizations. MSA-specific associations between ambient temperature and CVD hospitalization were estimated using quasi-Poisson regression with distributed lag non-linear models and pooled via multivariate meta-analyses. Across the US, extreme heat (MSA-specific 99th percentile, on average 28.6 °C) increased the risk of CVD hospitalization by 1.5% (95% CI: 0.4%, 2.6%), with considerable variation among MSAs. Extreme heat-related CVD hospitalization risk in high UHII areas (2.4% [95% CI: 0.4%, 4.3%]) exceeded that in low UHII areas (1.0% [95% CI: −0.8%, 2.8%]), with upwards of a 10% difference in some MSAs. During the 18-year study period, there were an estimated 37,028 (95% CI: 35,741, 37,988) heat-attributable CVD admissions. High UHII areas accounted for 35% of the total heat-related CVD burden, while low UHII areas accounted for 4%. High UHII disproportionately impacted already heat-vulnerable populations; females, individuals aged 75–114, and those with chronic conditions living in high UHII areas experienced the largest heat-related CVD impacts. Overall, extreme heat increased cardiovascular morbidity risk and burden in older urban populations, with UHIs exacerbating these impacts among those with existing vulnerabilities.","container-title":"Environment International","DOI":"10.1016/j.envint.2023.108005","ISSN":"0160-4120","journalAbbreviation":"Environment International","page":"108005","source":"ScienceDirect","title":"Urban heat island impacts on heat-related cardiovascular morbidity: A time series analysis of older adults in US metropolitan areas","title-short":"Urban heat island impacts on heat-related cardiovascular morbidity","volume":"178","author":[{"family":"Cleland","given":"Stephanie E."},{"family":"Steinhardt","given":"William"},{"family":"Neas","given":"Lucas M."},{"family":"Jason West","given":"J."},{"family":"Rappold","given":"Ana G."}],"issued":{"date-parts":[["2023",8,1]]}}},{"id":2302,"uris":["http://zotero.org/users/9240079/items/MKX2U9JU"],"itemData":{"id":2302,"type":"article-journal","abstract":"Aims\nPrevious studies have related heat waves to morbidity and mortality of cardiovascular diseases; however, potential mechanisms remained limited. Our aims were to investigate the short-term effects of heat waves on a series of clinical/subclinical indicators associated with cardiovascular health.\nMethods\nOur study used 80,574 health examination records from the Health Management Center of Nanjing Zhongda Hospital during the warm seasons of 2019–2021, including 62,128 participants. A total of 11 recognized indicators of cardiovascular risk or injury were assessed. Air pollution and meteorological data were obtained from the Nanjing Ecological Environment Bureau and the China Meteorological Data Network, respectively. Heat waves were defined as a daily average temperature over the 95th percentile for three or more consecutive days from May to September. We used a combination of linear mixed effects models and distributed lag nonlinear models to assess the lagged effects of heat waves on clinical and subclinical cardiovascular indicators. Stratified analyses based on individuals' characteristics, including gender, age, body mass index (BMI), diabetes, and hypertension, were also performed.\nResults\nHeat waves were related to significant changes in most indicators, with the magnitude of effects generally peaking at a lag of 0 to 3 days. Moreover, the cumulative percentage changes over lag 0–7 days were –0.82 % to –2.55 % in blood pressure, 1.32 % in heart rate, 0.20 % to 2.66 % in systemic inflammation markers, 0.36 % in a blood viscosity parameter, 9.36 % in homocysteine, and 1.35 % to 3.25 % in injuring myocardial enzymes. Interestingly, females and males showed distinct susceptibilities in different indicators. Stronger effects were also found in participants aged 50 years or over, individuals with abnormal BMI status, and patients with diabetes.\nConclusion\nShort-term exposure to heat waves could significantly alter clinical/subclinical cardiovascular indicator profiles, including blood pressure changes, increased heart rate, acute systemic inflammation, elevated blood viscosity, and myocardial injury.","container-title":"Environment International","DOI":"10.1016/j.envint.2023.108358","ISSN":"0160-4120","journalAbbreviation":"Environment International","page":"108358","source":"ScienceDirect","title":"Short-term effects of heatwaves on clinical and subclinical cardiovascular indicators in Chinese adults: A distributed lag analysis","title-short":"Short-term effects of heatwaves on clinical and subclinical cardiovascular indicators in Chinese adults","volume":"183","author":[{"family":"Cheng","given":"Bei-Jing"},{"family":"Li","given":"Hui"},{"family":"Meng","given":"Ke"},{"family":"Li","given":"Tian-Lin"},{"family":"Meng","given":"Xing-Chen"},{"family":"Wang","given":"Jia"},{"family":"Wang","given":"Chun"},{"family":"Jiang","given":"Nan"},{"family":"Sun","given":"Ming-Jun"},{"family":"Yang","given":"Lin</w:instrText>
      </w:r>
      <w:r w:rsidR="004835FE">
        <w:rPr>
          <w:rFonts w:ascii="Cambria Math" w:hAnsi="Cambria Math" w:cs="Cambria Math"/>
        </w:rPr>
        <w:instrText>‑</w:instrText>
      </w:r>
      <w:r w:rsidR="004835FE">
        <w:instrText xml:space="preserve">Sheng"},{"family":"Zhu","given":"Xin-Yi"},{"family":"Liu","given":"Ran"}],"issued":{"date-parts":[["2024",1,1]]}}}],"schema":"https://github.com/citation-style-language/schema/raw/master/csl-citation.json"} </w:instrText>
      </w:r>
      <w:r w:rsidR="00594B0D">
        <w:fldChar w:fldCharType="separate"/>
      </w:r>
      <w:r w:rsidR="004835FE" w:rsidRPr="004835FE">
        <w:rPr>
          <w:vertAlign w:val="superscript"/>
        </w:rPr>
        <w:t>45,46</w:t>
      </w:r>
      <w:r w:rsidR="00594B0D">
        <w:fldChar w:fldCharType="end"/>
      </w:r>
      <w:r w:rsidR="2F84FEF2" w:rsidRPr="00C127D9">
        <w:t xml:space="preserve"> </w:t>
      </w:r>
    </w:p>
    <w:p w14:paraId="24C8021E" w14:textId="092C9EF1" w:rsidR="00E80E4F" w:rsidRDefault="00E80E4F" w:rsidP="1FB59598">
      <w:r>
        <w:tab/>
      </w:r>
      <w:r>
        <w:tab/>
      </w:r>
      <w:r w:rsidR="00E322E7">
        <w:t>W</w:t>
      </w:r>
      <w:r w:rsidR="2F84FEF2" w:rsidRPr="00EA2673">
        <w:t xml:space="preserve">e can </w:t>
      </w:r>
      <w:r w:rsidR="00E322E7">
        <w:t>also</w:t>
      </w:r>
      <w:r w:rsidR="57B788BD" w:rsidRPr="00EA2673">
        <w:t xml:space="preserve"> situate </w:t>
      </w:r>
      <w:r w:rsidR="2F84FEF2" w:rsidRPr="00EA2673">
        <w:t xml:space="preserve">our results </w:t>
      </w:r>
      <w:r w:rsidR="17AFF08E" w:rsidRPr="00EA2673">
        <w:t>in the context of</w:t>
      </w:r>
      <w:r w:rsidR="00D10BA7">
        <w:t xml:space="preserve"> </w:t>
      </w:r>
      <w:r w:rsidR="004E727C">
        <w:t>heat-and-health research</w:t>
      </w:r>
      <w:r w:rsidR="00777D46">
        <w:t xml:space="preserve"> for mortality</w:t>
      </w:r>
      <w:r w:rsidR="008B0DF0">
        <w:t xml:space="preserve"> and for ED visit surges</w:t>
      </w:r>
      <w:r w:rsidR="2F84FEF2" w:rsidRPr="00EA2673">
        <w:t>. Our findings</w:t>
      </w:r>
      <w:r w:rsidR="000570F5">
        <w:t xml:space="preserve"> with ED visits are similar</w:t>
      </w:r>
      <w:r w:rsidR="2F84FEF2" w:rsidRPr="00EA2673">
        <w:t xml:space="preserve"> </w:t>
      </w:r>
      <w:r w:rsidR="000570F5">
        <w:t>to research on heat and mortality</w:t>
      </w:r>
      <w:r w:rsidR="28FAB35F">
        <w:t xml:space="preserve"> that </w:t>
      </w:r>
      <w:r w:rsidR="2F84FEF2" w:rsidRPr="00EA2673">
        <w:t>show higher mortality impacts</w:t>
      </w:r>
      <w:r w:rsidR="2F84FEF2">
        <w:t xml:space="preserve"> </w:t>
      </w:r>
      <w:r w:rsidR="717C2FD6">
        <w:t xml:space="preserve">in </w:t>
      </w:r>
      <w:r w:rsidR="054B5F48">
        <w:t>high-</w:t>
      </w:r>
      <w:r w:rsidR="2F84FEF2">
        <w:t>latitude</w:t>
      </w:r>
      <w:r w:rsidR="77A0F49C">
        <w:t xml:space="preserve"> locations</w:t>
      </w:r>
      <w:r w:rsidR="2F84FEF2">
        <w:t xml:space="preserve"> </w:t>
      </w:r>
      <w:r w:rsidR="669AE4F2">
        <w:t xml:space="preserve">where </w:t>
      </w:r>
      <w:r w:rsidR="2F84FEF2">
        <w:t>infrastructure to adapt to extremely hot days</w:t>
      </w:r>
      <w:r w:rsidR="5BB5A8C3">
        <w:t xml:space="preserve"> may be lacking</w:t>
      </w:r>
      <w:r w:rsidR="008942A1">
        <w:t>.</w:t>
      </w:r>
      <w:r w:rsidRPr="00430886">
        <w:rPr>
          <w:highlight w:val="yellow"/>
        </w:rPr>
        <w:fldChar w:fldCharType="begin"/>
      </w:r>
      <w:r w:rsidR="00006D12" w:rsidRPr="00430886">
        <w:rPr>
          <w:highlight w:val="yellow"/>
        </w:rPr>
        <w:instrText xml:space="preserve"> ADDIN ZOTERO_ITEM CSL_CITATION {"citationID":"Dg00jTlR","properties":{"formattedCitation":"\\super 2\\nosupersub{}","plainCitation":"2","noteIndex":0},"citationItems":[{"id":2023,"uris":["http://zotero.org/users/9240079/items/9AWW42AU"],"itemData":{"id":2023,"type":"article-journal","container-title":"The Lancet","DOI":"10.1016/S0140-6736(14)62114-0","ISSN":"0140-6736, 1474-547X","issue":"9991","journalAbbreviation":"The Lancet","language":"English","note":"publisher: Elsevier\nPMID: 26003380","page":"369-375","source":"www.thelancet.com","title":"Mortality risk attributable to high and low ambient temperature: a multicountry observational study","title-short":"Mortality risk attributable to high and low ambient temperature","volume":"386","author":[{"family":"Gasparrini","given":"Antonio"},{"family":"Guo","given":"Yuming"},{"family":"Hashizume","given":"Masahiro"},{"family":"Lavigne","given":"Eric"},{"family":"Zanobetti","given":"Antonella"},{"family":"Schwartz","given":"Joel"},{"family":"Tobias","given":"Aurelio"},{"family":"Tong","given":"Shilu"},{"family":"Rocklöv","given":"Joacim"},{"family":"Forsberg","given":"Bertil"},{"family":"Leone","given":"Michela"},{"family":"Sario","given":"Manuela De"},{"family":"Bell","given":"Michelle L."},{"family":"Guo","given":"Yue-Liang Leon"},{"family":"Wu","given":"Chang-fu"},{"family":"Kan","given":"Haidong"},{"family":"Yi","given":"Seung-Muk"},{"family":"Coelho","given":"Micheline de Sousa Zanotti Stagliorio"},{"family":"Saldiva","given":"Paulo Hilario Nascimento"},{"family":"Honda","given":"Yasushi"},{"family":"Kim","given":"Ho"},{"family":"Armstrong","given":"Ben"}],"issued":{"date-parts":[["2015",7,25]]}}}],"schema":"https://github.com/citation-style-language/schema/raw/master/csl-citation.json"} </w:instrText>
      </w:r>
      <w:r w:rsidRPr="00430886">
        <w:rPr>
          <w:highlight w:val="yellow"/>
        </w:rPr>
        <w:fldChar w:fldCharType="separate"/>
      </w:r>
      <w:r w:rsidR="00271EEF" w:rsidRPr="00271EEF">
        <w:rPr>
          <w:vertAlign w:val="superscript"/>
        </w:rPr>
        <w:t>2</w:t>
      </w:r>
      <w:r w:rsidRPr="00430886">
        <w:rPr>
          <w:highlight w:val="yellow"/>
        </w:rPr>
        <w:fldChar w:fldCharType="end"/>
      </w:r>
      <w:r w:rsidR="2F84FEF2">
        <w:t xml:space="preserve"> </w:t>
      </w:r>
      <w:r w:rsidR="00F5457E">
        <w:t xml:space="preserve">The impact on ED visit surges due to extreme heat </w:t>
      </w:r>
      <w:r w:rsidR="00F5457E" w:rsidRPr="00EA2673">
        <w:t xml:space="preserve">(&gt; 35 </w:t>
      </w:r>
      <w:r w:rsidR="00F5457E">
        <w:t xml:space="preserve">°C) was also quantified in </w:t>
      </w:r>
      <w:r w:rsidR="008B0DF0">
        <w:t>Brisbane, Australia</w:t>
      </w:r>
      <w:r w:rsidR="00F5457E">
        <w:t>; by</w:t>
      </w:r>
      <w:r w:rsidR="001015EF">
        <w:t xml:space="preserve"> 2030, days of extreme heat were projected to increase ED visit usage by up 200%</w:t>
      </w:r>
      <w:r w:rsidR="2F84FEF2">
        <w:t xml:space="preserve"> </w:t>
      </w:r>
      <w:r w:rsidR="001015EF">
        <w:t>above present-day levels</w:t>
      </w:r>
      <w:r w:rsidR="008942A1">
        <w:t>.</w:t>
      </w:r>
      <w:r w:rsidR="00231584" w:rsidRPr="00231584">
        <w:t xml:space="preserve"> </w:t>
      </w:r>
      <w:r w:rsidRPr="001015EF">
        <w:rPr>
          <w:highlight w:val="yellow"/>
        </w:rPr>
        <w:fldChar w:fldCharType="begin"/>
      </w:r>
      <w:r w:rsidR="00231584">
        <w:rPr>
          <w:highlight w:val="yellow"/>
        </w:rPr>
        <w:instrText xml:space="preserve"> ADDIN ZOTERO_ITEM CSL_CITATION {"citationID":"pc3zG4jE","properties":{"formattedCitation":"\\super 47,48\\nosupersub{}","plainCitation":"47,48","noteIndex":0},"citationItems":[{"id":2134,"uris":["http://zotero.org/users/9240079/items/B4CYMSCB"],"itemData":{"id":2134,"type":"article-journal","abstract":"OBJECTIVES: Extreme heat events (EHEs) are associated with excess healthcare utilization but specific impacts on emergency department (ED) operations and throughput are unknown. In 2021, the Pacific Northwest experienced an unprecedented heat dome that resulted in substantial regional morbidity and mortality. The aim of this study was to examine its impact on ED utilization, unplanned hospitalization, and hospital operations in a large academic healthcare system.\nMETHODS: Retrospective electronic medical records from three Seattle-area hospitals were used to compare healthcare utilization during the EHE compared to a pre-event reference period within the same month. Interrupted time series analysis was used to evaluate the association between EHE exposure and ED visits and hospitalizations. Metrics of ED crowding for the EHE were compared to the reference period using Student's t-tests and chi-squared tests. Additionally, multivariable Poisson regression was used to identify risk factors for heat-related illness and hospital admission.\nRESULTS: Interrupted time series analysis showed an increase of 21.7 ED visits per day (95% confidence interval [CI] = 14.7, 28.6) and 9.9 unplanned hospitalizations per day (95% CI = 8.3, 11.5) during the EHE, as compared to the reference period. ED crowding and process measures also displayed significant increases, becoming the most pronounced by day 3 of the EHE; the EHE was associated with delays in ED length of stay of 1.0 h (95% CI = 0.4, 1.6) compared to the reference period. Higher incidence rate ratios for heat-related illness were observed for patients who were older (incidence rate ratio [IRR] = 1.02; 95% CI = 1.01,1.03), female (IRR = 1.47; 95% CI = 1.06, 2.04), or who had pre-existing diabetes (IRR = 3.19; 95% CI = 1.47, 6.94).\nCONCLUSIONS: The 2021 heat dome was associated with a significant increase in healthcare utilization including ED visits and unplanned hospitalizations. Substantial impacts on ED and hospital throughput were also noted. These findings contribute to the understanding of the role extreme heat events play on impacting patient outcomes and healthcare system function.","container-title":"Journal of the American College of Emergency Physicians Open","DOI":"10.1002/emp2.13098","ISSN":"2688-1152","issue":"1","journalAbbreviation":"J Am Coll Emerg Physicians Open","language":"eng","note":"PMID: 38250197\nPMCID: PMC10799240","page":"e13098","source":"PubMed","title":"Impacts of the 2021 heat dome on emergency department visits, hospitalizations, and health system operations in three hospitals in Seattle, Washington","volume":"5","author":[{"family":"Wettstein","given":"Zachary S."},{"family":"Hall","given":"Jane"},{"family":"Buck","given":"Cameron"},{"family":"Mitchell","given":"Steven H."},{"family":"Hess","given":"Jeremy J."}],"issued":{"date-parts":[["2024",2]]}}},{"id":2136,"uris":["http://zotero.org/users/9240079/items/IFG3VTPF"],"itemData":{"id":2136,"type":"article-journal","abstract":"The direct and indirect health effects of increasingly warmer temperatures are likely to further burden the already overcrowded hospital emergency departments (EDs). Using current trends and estimates in conjunction with future population growth and climate change scenarios, we show that the increased number of hot days in the future can have a considerable impact on EDs, adding to their workload and costs. The excess number of visits in 2030 is projected to range between 98–336 and 42–127 for younger and older groups, respectively. The excess costs in 2012–13 prices are estimated to range between AU$51,000–184,000 (0–64) and AU$27,000–84,000 (65+). By 2060, these estimates will increase to 229–2300 and 145–1188 at a cost of between AU$120,000–1,200,000 and AU$96,000–786,000 for the respective age groups. Improvements in climate change mitigation and adaptation measures are likely to generate synergistic health co-benefits and reduce the impact on frontline health services.","container-title":"Scientific Reports","DOI":"10.1038/srep12860","ISSN":"2045-2322","journalAbbreviation":"Sci Rep","note":"PMID: 26245139\nPMCID: PMC4526860","page":"12860","source":"PubMed Central","title":"Projecting excess emergency department visits and associated costs in Brisbane, Australia, under population growth and climate change scenarios","volume":"5","author":[{"family":"Toloo","given":"Ghasem (Sam)"},{"family":"Hu","given":"Wenbiao"},{"family":"FitzGerald","given":"Gerry"},{"family":"Aitken","given":"Peter"},{"family":"Tong","given":"Shilu"}],"issued":{"date-parts":[["2015",8,6]]}}}],"schema":"https://github.com/citation-style-language/schema/raw/master/csl-citation.json"} </w:instrText>
      </w:r>
      <w:r w:rsidRPr="001015EF">
        <w:rPr>
          <w:highlight w:val="yellow"/>
        </w:rPr>
        <w:fldChar w:fldCharType="separate"/>
      </w:r>
      <w:r w:rsidR="00231584" w:rsidRPr="00231584">
        <w:rPr>
          <w:vertAlign w:val="superscript"/>
        </w:rPr>
        <w:t>47,48</w:t>
      </w:r>
      <w:r w:rsidRPr="001015EF">
        <w:rPr>
          <w:highlight w:val="yellow"/>
        </w:rPr>
        <w:fldChar w:fldCharType="end"/>
      </w:r>
      <w:r w:rsidR="2F84FEF2" w:rsidRPr="00A0364F">
        <w:t xml:space="preserve"> </w:t>
      </w:r>
    </w:p>
    <w:p w14:paraId="74FBCB66" w14:textId="3335FF77" w:rsidR="009652BF" w:rsidRDefault="00E80E4F" w:rsidP="1FB59598">
      <w:r>
        <w:tab/>
      </w:r>
      <w:r>
        <w:tab/>
      </w:r>
      <w:r w:rsidR="00A13FD1">
        <w:t xml:space="preserve">To enable this work, we </w:t>
      </w:r>
      <w:r w:rsidR="00F26EE1">
        <w:t>modified</w:t>
      </w:r>
      <w:r w:rsidR="00A13FD1">
        <w:t xml:space="preserve"> </w:t>
      </w:r>
      <w:r w:rsidR="005D6A03">
        <w:t xml:space="preserve">an </w:t>
      </w:r>
      <w:r w:rsidR="00A13FD1">
        <w:t>existing</w:t>
      </w:r>
      <w:r w:rsidR="61758DDB">
        <w:t xml:space="preserve"> method </w:t>
      </w:r>
      <w:r w:rsidR="00A13FD1">
        <w:t>for</w:t>
      </w:r>
      <w:r w:rsidR="61758DDB">
        <w:t xml:space="preserve"> </w:t>
      </w:r>
      <w:r w:rsidR="50CCB74F">
        <w:t>project</w:t>
      </w:r>
      <w:r w:rsidR="00A13FD1">
        <w:t>ing</w:t>
      </w:r>
      <w:r w:rsidR="50CCB74F">
        <w:t xml:space="preserve"> the </w:t>
      </w:r>
      <w:r w:rsidR="61758DDB">
        <w:t xml:space="preserve">future </w:t>
      </w:r>
      <w:r w:rsidR="26598C9C">
        <w:t xml:space="preserve">morbidity consequences of </w:t>
      </w:r>
      <w:r w:rsidR="61758DDB">
        <w:t>increased temperature.</w:t>
      </w:r>
      <w:r w:rsidR="00A13FD1" w:rsidRPr="00AA4FA1">
        <w:fldChar w:fldCharType="begin"/>
      </w:r>
      <w:r w:rsidR="004835FE">
        <w:instrText xml:space="preserve"> ADDIN ZOTERO_ITEM CSL_CITATION {"citationID":"4U7JEMe6","properties":{"formattedCitation":"\\super 38\\nosupersub{}","plainCitation":"38","noteIndex":0},"citationItems":[{"id":2072,"uris":["http://zotero.org/users/9240079/items/IIUGB23M"],"itemData":{"id":2072,"type":"article-journal","abstract":"Reliable estimates of future health impacts due to climate change are needed to inform and contribute to the design of efficient adaptation and mitigation strategies. However, projecting health burdens associated to specific environmental stressors is a challenging task because of the complex risk patterns and inherent uncertainty of future climate scenarios. These assessments involve multidisciplinary knowledge, requiring expertise in epidemiology, statistics, and climate science, among other subjects. Here, we present a methodologic framework to estimate future health impacts under climate change scenarios based on a defined set of assumptions and advanced statistical techniques developed in time-series analysis in environmental epidemiology. The proposed methodology is illustrated through a step-by-step hands-on tutorial structured in well-defined sections that cover the main methodological steps and essential elements. Each section provides a thorough description of each step, along with a discussion on available analytical options and the rationale on the choices made in the proposed framework. The illustration is complemented with a practical example of study using real-world data and a series of R scripts included as Supplementary Digital Content; https://links.lww.com/EDE/B504, which facilitates its replication and extension on other environmental stressors, outcomes, study settings, and projection scenarios. Users should critically assess the potential modeling alternatives and modify the framework and R code to adapt them to their research on health impact projections.","container-title":"Epidemiology","DOI":"10.1097/EDE.0000000000000982","ISSN":"1044-3983","issue":"3","language":"en-US","page":"321","source":"journals.lww.com","title":"Hands-on Tutorial on a Modeling Framework for Projections of Climate Change Impacts on Health","volume":"30","author":[{"family":"Vicedo-Cabrera","given":"Ana M."},{"family":"Sera","given":"Francesco"},{"family":"Gasparrini","given":"Antonio"}],"issued":{"date-parts":[["2019",5]]}}}],"schema":"https://github.com/citation-style-language/schema/raw/master/csl-citation.json"} </w:instrText>
      </w:r>
      <w:r w:rsidR="00A13FD1" w:rsidRPr="00AA4FA1">
        <w:fldChar w:fldCharType="separate"/>
      </w:r>
      <w:r w:rsidR="004835FE" w:rsidRPr="004835FE">
        <w:rPr>
          <w:vertAlign w:val="superscript"/>
        </w:rPr>
        <w:t>38</w:t>
      </w:r>
      <w:r w:rsidR="00A13FD1" w:rsidRPr="00AA4FA1">
        <w:fldChar w:fldCharType="end"/>
      </w:r>
      <w:r w:rsidR="61758DDB">
        <w:t xml:space="preserve"> </w:t>
      </w:r>
      <w:r w:rsidR="00C639F9">
        <w:t xml:space="preserve">The commonly-used approach </w:t>
      </w:r>
      <w:r w:rsidR="5D59B55A">
        <w:t>estimat</w:t>
      </w:r>
      <w:r w:rsidR="18A1BAF1">
        <w:t>e</w:t>
      </w:r>
      <w:r w:rsidR="00C639F9">
        <w:t>s</w:t>
      </w:r>
      <w:r w:rsidR="5D59B55A">
        <w:t xml:space="preserve"> </w:t>
      </w:r>
      <w:r w:rsidR="3338C476">
        <w:t>the</w:t>
      </w:r>
      <w:r w:rsidR="3338C476" w:rsidRPr="00AA4FA1">
        <w:t xml:space="preserve"> </w:t>
      </w:r>
      <w:r w:rsidR="18A1BAF1">
        <w:t>increase</w:t>
      </w:r>
      <w:r w:rsidR="00430886">
        <w:t xml:space="preserve"> </w:t>
      </w:r>
      <w:r w:rsidR="3B7EC85A">
        <w:t>in the</w:t>
      </w:r>
      <w:r w:rsidR="18A1BAF1">
        <w:t xml:space="preserve"> </w:t>
      </w:r>
      <w:r w:rsidR="3338C476" w:rsidRPr="1FB59598">
        <w:rPr>
          <w:i/>
          <w:iCs/>
        </w:rPr>
        <w:t xml:space="preserve">fraction </w:t>
      </w:r>
      <w:r w:rsidR="3338C476" w:rsidRPr="009C215B">
        <w:t>of</w:t>
      </w:r>
      <w:r w:rsidR="18A1BAF1">
        <w:t xml:space="preserve"> </w:t>
      </w:r>
      <w:r w:rsidR="7D777060">
        <w:t xml:space="preserve">observed </w:t>
      </w:r>
      <w:r w:rsidR="703A668C">
        <w:t>cases</w:t>
      </w:r>
      <w:r w:rsidR="00E654B4">
        <w:t xml:space="preserve"> </w:t>
      </w:r>
      <w:r w:rsidR="3338C476" w:rsidRPr="00AA4FA1">
        <w:t xml:space="preserve">that </w:t>
      </w:r>
      <w:r w:rsidR="3338C476" w:rsidRPr="1FB59598">
        <w:rPr>
          <w:i/>
          <w:iCs/>
        </w:rPr>
        <w:t xml:space="preserve">would have </w:t>
      </w:r>
      <w:r w:rsidR="5D59B55A" w:rsidRPr="1FB59598">
        <w:rPr>
          <w:i/>
          <w:iCs/>
        </w:rPr>
        <w:t>been attributed</w:t>
      </w:r>
      <w:r w:rsidR="5E42E5FD">
        <w:t xml:space="preserve"> </w:t>
      </w:r>
      <w:r w:rsidR="5E42E5FD" w:rsidRPr="1FB59598">
        <w:rPr>
          <w:i/>
          <w:iCs/>
        </w:rPr>
        <w:t>to</w:t>
      </w:r>
      <w:r w:rsidR="5E42E5FD">
        <w:t xml:space="preserve"> </w:t>
      </w:r>
      <w:r w:rsidR="3338C476" w:rsidRPr="1FB59598">
        <w:rPr>
          <w:i/>
          <w:iCs/>
        </w:rPr>
        <w:t>temperature</w:t>
      </w:r>
      <w:r w:rsidR="3338C476" w:rsidRPr="00AA4FA1">
        <w:t xml:space="preserve"> </w:t>
      </w:r>
      <w:r w:rsidR="18FB21D2">
        <w:t xml:space="preserve">had </w:t>
      </w:r>
      <w:r w:rsidR="3338C476" w:rsidRPr="00AA4FA1">
        <w:t>temperatures been warmer</w:t>
      </w:r>
      <w:r w:rsidR="3DDCB22E">
        <w:t>.</w:t>
      </w:r>
      <w:r w:rsidR="00326376" w:rsidRPr="00AA4FA1">
        <w:fldChar w:fldCharType="begin"/>
      </w:r>
      <w:r w:rsidR="00326376">
        <w:instrText xml:space="preserve"> ADDIN ZOTERO_ITEM CSL_CITATION {"citationID":"KMdevews","properties":{"formattedCitation":"\\super 1\\uc0\\u8211{}7\\nosupersub{}","plainCitation":"1–7","noteIndex":0},"citationItems":[{"id":1156,"uris":["http://zotero.org/users/9240079/items/4C2XS39Q"],"itemData":{"id":1156,"type":"article-journal","container-title":"American Journal of Epidemiology","DOI":"10.1093/aje/155.1.80","ISSN":"00029262","issue":"1","language":"en","page":"80-87","source":"DOI.org (Crossref)","title":"Temperature and Mortality in 11 Cities of the Eastern United States","volume":"155","author":[{"family":"Curriero","given":"F. C."},{"family":"Heiner","given":"K. S."},{"family":"Samet","given":"J. M."},{"family":"Zeger","given":"Scott L."},{"family":"Strug","given":"Lisa"},{"family":"Patz","given":"Jonathan A."}],"issued":{"date-parts":[["2002",1,1]]}}},{"id":2023,"uris":["http://zotero.org/users/9240079/items/9AWW42AU"],"itemData":{"id":2023,"type":"article-journal","container-title":"The Lancet","DOI":"10.1016/S0140-6736(14)62114-0","ISSN":"0140-6736, 1474-547X","issue":"9991","journalAbbreviation":"The Lancet","language":"English","note":"publisher: Elsevier\nPMID: 26003380","page":"369-375","source":"www.thelancet.com","title":"Mortality risk attributable to high and low ambient temperature: a multicountry observational study","title-short":"Mortality risk attributable to high and low ambient temperature","volume":"386","author":[{"family":"Gasparrini","given":"Antonio"},{"family":"Guo","given":"Yuming"},{"family":"Hashizume","given":"Masahiro"},{"family":"Lavigne","given":"Eric"},{"family":"Zanobetti","given":"Antonella"},{"family":"Schwartz","given":"Joel"},{"family":"Tobias","given":"Aurelio"},{"family":"Tong","given":"Shilu"},{"family":"Rocklöv","given":"Joacim"},{"family":"Forsberg","given":"Bertil"},{"family":"Leone","given":"Michela"},{"family":"Sario","given":"Manuela De"},{"family":"Bell","given":"Michelle L."},{"family":"Guo","given":"Yue-Liang Leon"},{"family":"Wu","given":"Chang-fu"},{"family":"Kan","given":"Haidong"},{"family":"Yi","given":"Seung-Muk"},{"family":"Coelho","given":"Micheline de Sousa Zanotti Stagliorio"},{"family":"Saldiva","given":"Paulo Hilario Nascimento"},{"family":"Honda","given":"Yasushi"},{"family":"Kim","given":"Ho"},{"family":"Armstrong","given":"Ben"}],"issued":{"date-parts":[["2015",7,25]]}}},{"id":2031,"uris":["http://zotero.org/users/9240079/items/4MUJL2AV"],"itemData":{"id":2031,"type":"article-journal","abstract":"Background\nPrevious studies examining temperature–mortality associations in China focused on a single city or a small number of cities. A multi-city study covering different climatic zones is necessary to better understand regional differences in temperature risk on mortality in China.\nMethods\nSixty-six communities from 7 regions across China were included in this study. We first used a Distributed Lag Non-linear Model (DLNM) to estimate community-specific effects of temperature on non-accidental mortality during 2006–2011. A multivariate meta-analysis was then applied to pool the estimates of community-specific effects.\nResults\nA U-shaped curve was observed between temperature and mortality at the national level in China, indicating both low and high temperatures were associated with increased mortality risk. The overall threshold was at about the 75th percentile of the pooled temperature distribution. The relative risk was 1.61 (95% CI: 1.48–1.74) for extremely cold temperature (1st percentile of temperature), and 1.21 (95% CI: 1.10–1.34) for extreme hot temperature (99th percentile of temperature) at lag0–21 days. The temperature–mortality relationship is different for different regions. Compared with north China, south China had a higher minimum mortality temperature (MMT), and there was a larger cold effect in the more southern parts of China and a more pronounced hot effect in more northern parts.\nConclusions\nBoth cold and hot temperatures increase mortality risk in China, and the relationship varies geographically. Our findings suggest that public health policies for climate change adaptation should be tailored to the local climate conditions.","container-title":"Environmental Research","DOI":"10.1016/j.envres.2014.11.016","ISSN":"0013-9351","journalAbbreviation":"Environmental Research","page":"72-77","source":"ScienceDirect","title":"The temperature–mortality relationship in China: An analysis from 66 Chinese communities","title-short":"The temperature–mortality relationship in China","volume":"137","author":[{"family":"Ma","given":"Wenjun"},{"family":"Wang","given":"Lijun"},{"family":"Lin","given":"Hualiang"},{"family":"Liu","given":"Tao"},{"family":"Zhang","given":"Yonghui"},{"family":"Rutherford","given":"Shannon"},{"family":"Luo","given":"Yuan"},{"family":"Zeng","given":"Weilin"},{"family":"Zhang","given":"Yewu"},{"family":"Wang","given":"Xiaofeng"},{"family":"Gu","given":"Xin"},{"family":"Chu","given":"Cordia"},{"family":"Xiao","given":"Jianpeng"},{"family":"Zhou","given":"Maigeng"}],"issued":{"date-parts":[["2015",2,1]]}}},{"id":2033,"uris":["http://zotero.org/users/9240079/items/DM5RET8H"],"itemData":{"id":2033,"type":"article-journal","abstract":"Background: \n          Elevated temperature has been associated with increased mortality. Few epidemiologic studies, however, have considered air pollutants as potential confounders or effect modifiers. None has focused on California, where the climate is generally mild and pollution levels tend to be high—an ideal setting to examine the independent effect of temperature from air pollution.\n          Methods: \n          We examined the association between mean daily apparent temperature and nonaccidental mortality in 9 counties throughout California from May to September 1999–2003. Data were obtained from the National Climatic Data Center (temperature and relative humidity), the California Department of Health Services (mortality), and the California Air Resources Board (particulate matter, ozone, carbon monoxide, and nitrogen dioxide). We conducted a time-stratified case-crossover study, with a time-series analysis as a sensitivity analysis, adjusting for day of the week using both methods and adjusting for time trend in the time-series analysis. We first obtained county-specific estimates and then combined them using meta-analytic methods.\n          Results: \n          A total of 248,019 deaths were included. Each 10° (Fahrenheit) increase in same-day mean apparent temperature corresponded to a 2.3% increase in mortality (95% confidence interval = 1.0%–3.6%) in the case-crossover analysis for all 9 counties combined, with nearly identical results produced from the time-series analysis. No air pollutant examined was found to be a significant confounder or effect modifier.\n          Conclusions: \n          Even without extremes in apparent temperature, we observed an association between temperature and mortality in California that was independent of air pollution.","container-title":"Epidemiology","DOI":"10.1097/EDE.0b013e31815c1da7","ISSN":"1044-3983","issue":"1","language":"en-US","page":"138","source":"journals.lww.com","title":"Characterizing Temperature and Mortality in Nine California Counties","volume":"19","author":[{"family":"Basu","given":"Rupa"},{"family":"Feng","given":"Wen-Ying"},{"family":"Ostro","given":"Bart D."}],"issued":{"date-parts":[["2008",1]]}}},{"id":2035,"uris":["http://zotero.org/users/9240079/items/IYIR86AU"],"itemData":{"id":2035,"type":"article-journal","abstract":"Objectives\nEvidence is limited on the relative contribution of different temperature exposures (i.e., heat, cold and significant temperature variability) to mortality. This study aims to examine mortality risk and associated mortality burden from heat, cold, and temperature variability in Australia.\nMethods\nWe collected daily time-series data on all-cause deaths and weather variables for the five most populous Australian cities (Sydney, Melbourne, Brisbane, Adelaide, and Perth), from 2000 to 2009. Temperature variability was calculated from the standard deviation of hourly temperatures between two adjacent days. Three-stage analysis was used. We firstly used quasi-Poisson regression models to model the associations of mortality with heat (mean temperature) during the warm season, with cold (mean temperature) during the cold season, and with temperature variability all year round, while controlling for long-term trend and seasonality, day of week, and population change over time. We then estimated the effects of different non-optimum temperatures using the simplified log-linear regression model. Finally, we computed and compared the fraction (%) of deaths attributable to different non-optimum temperatures.\nResults\nThe greatest percentage increase in mortality was for cold (2.0%, 95% confidence interval (CI): 1.4%, 2.6%), followed by heat (1.2%, 95% CI: 0.7%, 1.7%), and temperature variability (0.5%, 95% CI: 0.3%, 0.7%). There was no clear temporal pattern in mortality risk associated with any temperature exposure in Australia. Heat, cold and temperature variability together resulted in 42,414 deaths during the study period, accounting for about 6.0% of all deaths. Most of attributable deaths were due to cold (61.4%), and noticeably, contribution from temperature variability (28.0%) was greater than that from heat (10.6%).\nConclusions\nExposure to either cold or heat or a large variation in temperature was associated with increased mortality risk in Australia, but population adaptation appeared to have not occurred in most cities studied. Most of the temperature-induced deaths were attributable to cold, and contributions from temperature variability were greater than that from heat. Our findings highlight that, in addition to heat and cold, temperature variability needs to be considered in assessing and projecting the health impacts of climate change.","container-title":"Science of The Total Environment","DOI":"10.1016/j.scitotenv.2018.10.186","ISSN":"0048-9697","journalAbbreviation":"Science of The Total Environment","page":"2558-2565","source":"ScienceDirect","title":"Impacts of heat, cold, and temperature variability on mortality in Australia, 2000–2009","volume":"651","author":[{"family":"Cheng","given":"Jian"},{"family":"Xu","given":"Zhiwei"},{"family":"Bambrick","given":"Hilary"},{"family":"Su","given":"Hong"},{"family":"Tong","given":"Shilu"},{"family":"Hu","given":"Wenbiao"}],"issued":{"date-parts":[["2019",2,15]]}}},{"id":1783,"uris":["http://zotero.org/users/9240079/items/CKRQ6KCX"],"itemData":{"id":1783,"type":"article-journal","abstract":"We conducted the study described in this paper to investigate the impact of ambient temperature on mortality in the Netherlands during 1979-1997, the impact of heat waves and cold spells on mortality in particular, and the possibility of any heat wave- or cold spell-induced forward displacement of mortality. We found a V-like relationship between mortality and temperature, with an optimum temperature value (e.g., average temperature with lowest mortality rate) of 16.5 degrees C for total mortality, cardiovascular mortality, respiratory mortality, and mortality among those [Greater and equal to] 65 year of age. For mortality due to malignant neoplasms and mortality in the youngest age group, the optimum temperatures were 15.5 degrees C and 14.5 degrees C, respectively. For temperatures above the optimum, mortality increased by 0.47, 1.86, 12.82, and 2.72% for malignant neoplasms, cardiovascular disease, respiratory diseases, and total mortality, respectively, for each degree Celsius increase above the optimum in the preceding month. For temperatures below the optimum, mortality increased 0.22, 1.69, 5.15, and 1.37%, respectively, for each degree Celsius decrease below the optimum in the preceding month. Mortality increased significantly during all of the heat waves studied, and the elderly were most effected by extreme heat. The heat waves led to increases in mortality due to all of the selected causes, especially respiratory mortality. Average total excess mortality during the heat waves studied was 12.1%, or 39.8 deaths/day. The average excess mortality during the cold spells was 12.8% or 46.6 deaths/day, which was mostly attributable to the increase in cardiovascular mortality and mortality among the elderly. The results concerning the forward displacement of deaths due to heat waves were not conclusive. We found no cold-induced forward displacement of deaths.","container-title":"Environmental Health Perspectives","ISSN":"0091-6765","issue":"5","journalAbbreviation":"Environ Health Perspect","note":"PMID: 11401757\nPMCID: PMC1240305","page":"463-470","source":"PubMed Central","title":"The impact of heat waves and cold spells on mortality rates in the Dutch population.","volume":"109","author":[{"family":"Huynen","given":"M M"},{"family":"Martens","given":"P"},{"family":"Schram","given":"D"},{"family":"Weijenberg","given":"M P"},{"family":"Kunst","given":"A E"}],"issued":{"date-parts":[["2001",5]]}}},{"id":2041,"uris":["http://zotero.org/users/9240079/items/UFLJKCMD"],"itemData":{"id":2041,"type":"article-journal","abstract":"Background: \n          Studies have examined the effects of temperature on mortality in a single city, country, or region. However, less evidence is available on the variation in the associations between temperature and mortality in multiple countries, analyzed simultaneously.\n          Methods: \n          We obtained daily data on temperature and mortality in 306 communities from 12 countries/regions (Australia, Brazil, Thailand, China, Taiwan, Korea, Japan, Italy, Spain, United Kingdom, United States, and Canada). Two-stage analyses were used to assess the nonlinear and delayed relation between temperature and mortality. In the first stage, a Poisson regression allowing overdispersion with distributed lag nonlinear model was used to estimate the community-specific temperature-mortality relation. In the second stage, a multivariate meta-analysis was used to pool the nonlinear and delayed effects of ambient temperature at the national level, in each country.\n          Results: \n          The temperatures associated with the lowest mortality were around the 75th percentile of temperature in all the countries/regions, ranging from 66th (Taiwan) to 80th (UK) percentiles. The estimated effects of cold and hot temperatures on mortality varied by community and country. Meta-analysis results show that both cold and hot temperatures increased the risk of mortality in all the countries/regions. Cold effects were delayed and lasted for many days, whereas heat effects appeared quickly and did not last long.\n          Conclusions: \n          People have some ability to adapt to their local climate type, but both cold and hot temperatures are still associated with increased risk of mortality. Public health strategies to alleviate the impact of ambient temperatures are important, in particular in the context of climate change.","container-title":"Epidemiology","DOI":"10.1097/EDE.0000000000000165","ISSN":"1044-3983","issue":"6","language":"en-US","page":"781","source":"journals.lww.com","title":"Global Variation in the Effects of Ambient Temperature on Mortality: A Systematic Evaluation","title-short":"Global Variation in the Effects of Ambient Temperature on Mortality","volume":"25","author":[{"family":"Guo","given":"Yuming"},{"family":"Gasparrini","given":"Antonio"},{"family":"Armstrong","given":"Ben"},{"family":"Li","given":"Shanshan"},{"family":"Tawatsupa","given":"Benjawan"},{"family":"Tobias","given":"Aurelio"},{"family":"Lavigne","given":"Eric"},{"family":"Sousa Zanotti Stagliorio Coelho","given":"Micheline","non-dropping-particle":"de"},{"family":"Leone","given":"Michela"},{"family":"Pan","given":"Xiaochuan"},{"family":"Tong","given":"Shilu"},{"family":"Tian","given":"Linwei"},{"family":"Kim","given":"Ho"},{"family":"Hashizume","given":"Masahiro"},{"family":"Honda","given":"Yasushi"},{"family":"Guo","given":"Yue-Liang Leon"},{"family":"Wu","given":"Chang-Fu"},{"family":"Punnasiri","given":"Kornwipa"},{"family":"Yi","given":"Seung-Muk"},{"family":"Michelozzi","given":"Paola"},{"family":"Saldiva","given":"Paulo Hilario Nascimento"},{"family":"Williams","given":"Gail"}],"issued":{"date-parts":[["2014",11]]}}}],"schema":"https://github.com/citation-style-language/schema/raw/master/csl-citation.json"} </w:instrText>
      </w:r>
      <w:r w:rsidR="00326376" w:rsidRPr="00AA4FA1">
        <w:fldChar w:fldCharType="separate"/>
      </w:r>
      <w:r w:rsidR="1C8D973B" w:rsidRPr="000356ED">
        <w:rPr>
          <w:vertAlign w:val="superscript"/>
        </w:rPr>
        <w:t>1–7</w:t>
      </w:r>
      <w:r w:rsidR="00326376" w:rsidRPr="00AA4FA1">
        <w:fldChar w:fldCharType="end"/>
      </w:r>
      <w:r w:rsidR="3338C476">
        <w:t xml:space="preserve"> </w:t>
      </w:r>
      <w:r w:rsidR="2624C119">
        <w:t xml:space="preserve">By </w:t>
      </w:r>
      <w:r w:rsidR="105ADAC1">
        <w:t>contrast</w:t>
      </w:r>
      <w:r w:rsidR="3DDCB22E">
        <w:t xml:space="preserve">, </w:t>
      </w:r>
      <w:r w:rsidR="133B06A0">
        <w:t>our</w:t>
      </w:r>
      <w:r w:rsidR="1F5AACB2">
        <w:t xml:space="preserve"> </w:t>
      </w:r>
      <w:r w:rsidR="2FA898DD" w:rsidRPr="00AA4FA1">
        <w:t>interest i</w:t>
      </w:r>
      <w:r w:rsidR="607FFE9F">
        <w:t>s</w:t>
      </w:r>
      <w:r w:rsidR="2FA898DD" w:rsidRPr="00AA4FA1">
        <w:t xml:space="preserve"> </w:t>
      </w:r>
      <w:r w:rsidR="105ADAC1">
        <w:t>estimati</w:t>
      </w:r>
      <w:r w:rsidR="5CF4B312">
        <w:t>ng</w:t>
      </w:r>
      <w:r w:rsidR="007A4CA6">
        <w:t xml:space="preserve"> the</w:t>
      </w:r>
      <w:r w:rsidR="2FA898DD" w:rsidRPr="00AA4FA1">
        <w:t xml:space="preserve"> </w:t>
      </w:r>
      <w:r w:rsidR="2FA898DD" w:rsidRPr="1FB59598">
        <w:rPr>
          <w:i/>
          <w:iCs/>
        </w:rPr>
        <w:t>additional</w:t>
      </w:r>
      <w:r w:rsidR="2FA898DD" w:rsidRPr="00AA4FA1">
        <w:t xml:space="preserve"> ED visits</w:t>
      </w:r>
      <w:r w:rsidR="007A4CA6">
        <w:t xml:space="preserve"> </w:t>
      </w:r>
      <w:r w:rsidR="2FA898DD" w:rsidRPr="00AA4FA1">
        <w:t xml:space="preserve">that </w:t>
      </w:r>
      <w:r w:rsidR="18A1BAF1">
        <w:t xml:space="preserve">would </w:t>
      </w:r>
      <w:r w:rsidR="2FA898DD" w:rsidRPr="00F167CB">
        <w:t>occur</w:t>
      </w:r>
      <w:r w:rsidR="2FA898DD" w:rsidRPr="00AA4FA1">
        <w:t xml:space="preserve"> under </w:t>
      </w:r>
      <w:r w:rsidR="5E42E5FD">
        <w:t xml:space="preserve">warmer </w:t>
      </w:r>
      <w:r w:rsidR="2FA898DD" w:rsidRPr="00AA4FA1">
        <w:t>temperature</w:t>
      </w:r>
      <w:r w:rsidR="6C01790C">
        <w:t>s</w:t>
      </w:r>
      <w:r w:rsidR="2FA898DD">
        <w:t xml:space="preserve">, </w:t>
      </w:r>
      <w:r w:rsidR="007A4CA6">
        <w:t>a value which encompasses not only the increased fraction of observed cases but also new cases that did not occur in the historical record.</w:t>
      </w:r>
      <w:r w:rsidR="2F84FEF2" w:rsidRPr="00AA4FA1">
        <w:t xml:space="preserve"> </w:t>
      </w:r>
      <w:r w:rsidR="009652BF">
        <w:t xml:space="preserve">The key </w:t>
      </w:r>
      <w:r w:rsidR="007C6218">
        <w:t>modification to the existing method</w:t>
      </w:r>
      <w:r w:rsidR="009652BF">
        <w:t xml:space="preserve"> was extending the boundary knots of the present-day temperature basis to include the range of future projected temperatures, and then constructing matrices of lagged temperature exposure for the present-day and future periods from this extended basis – an approach adapted from similar eco</w:t>
      </w:r>
      <w:r w:rsidR="00895FCE">
        <w:t>n</w:t>
      </w:r>
      <w:r w:rsidR="009652BF">
        <w:t>omic literature.</w:t>
      </w:r>
      <w:r w:rsidR="009652BF" w:rsidRPr="00AA4FA1">
        <w:fldChar w:fldCharType="begin"/>
      </w:r>
      <w:r w:rsidR="009652BF">
        <w:instrText xml:space="preserve"> ADDIN ZOTERO_ITEM CSL_CITATION {"citationID":"UqDB1kfz","properties":{"formattedCitation":"\\super 27\\nosupersub{}","plainCitation":"27","noteIndex":0},"citationItems":[{"id":2080,"uris":["http://zotero.org/users/9240079/items/LL7Q4LBK"],"itemData":{"id":2080,"type":"article","abstract":"Increased temperature-related mortality is predicted to be one of the largest contributors to future economic damages from climate change globally, with declines in cold-related deaths in some regions outweighed by increases in heat-related deaths in others. Changes in temperature could also affect non-fatal health outcomes, whose aggregate societal burden is large, yet much less is known about how temperature affects the overall level and distribution of morbidity. Using georeferenced data on emergency department visits, mortality, and daily temperatures across California from 2006-2017, we show that the effect of temperature on mortality differs substantially from its effect on ED visits: mortality increases under extreme heat and cold, whereas ED visits increase under extreme heat but decline under extreme cold. These differential responses fundamentally shape the burden of future climate change: we predict that mortality in California will decrease by 0.32% due to changes in temperatures by mid-century, with declining cold deaths outweighing increasing heat deaths, but that ED visits will increase by 0.46% over the same period in the state, representing a total of 1.9 million excess visits. Our findings suggest that projected impacts of future warming on mortality, including benefits in many areas, might be a poor guide for morbidity impacts.","collection-title":"Working Paper Series","DOI":"10.3386/w32195","genre":"Working Paper","note":"DOI: 10.3386/w32195","number":"32195","publisher":"National Bureau of Economic Research","source":"National Bureau of Economic Research","title":"Temperature Extremes Impact Mortality and Morbidity Differently","URL":"https://www.nber.org/papers/w32195","author":[{"family":"Gould","given":"Carlos F."},{"family":"Heft-Neal","given":"Sam"},{"family":"Heaney","given":"Alexandra K."},{"family":"Bendavid","given":"Eran"},{"family":"Callahan","given":"Christopher W."},{"family":"Kiang","given":"Mathew"},{"family":"Graff Zivin","given":"Joshua S."},{"family":"Burke","given":"Marshall"}],"accessed":{"date-parts":[["2024",7,29]]},"issued":{"date-parts":[["2024",3]]}}}],"schema":"https://github.com/citation-style-language/schema/raw/master/csl-citation.json"} </w:instrText>
      </w:r>
      <w:r w:rsidR="009652BF" w:rsidRPr="00AA4FA1">
        <w:fldChar w:fldCharType="separate"/>
      </w:r>
      <w:r w:rsidR="009652BF" w:rsidRPr="00271EEF">
        <w:rPr>
          <w:vertAlign w:val="superscript"/>
        </w:rPr>
        <w:t>27</w:t>
      </w:r>
      <w:r w:rsidR="009652BF" w:rsidRPr="00AA4FA1">
        <w:fldChar w:fldCharType="end"/>
      </w:r>
    </w:p>
    <w:p w14:paraId="28060554" w14:textId="666E2E49" w:rsidR="00E80E4F" w:rsidRPr="00A75335" w:rsidRDefault="009F43BF" w:rsidP="1FB59598">
      <w:r>
        <w:tab/>
      </w:r>
      <w:r>
        <w:tab/>
      </w:r>
      <w:r w:rsidR="2F84FEF2" w:rsidRPr="00AA4FA1">
        <w:t>Th</w:t>
      </w:r>
      <w:r w:rsidR="16A3E13C">
        <w:t xml:space="preserve">e </w:t>
      </w:r>
      <w:r w:rsidR="2F84FEF2" w:rsidRPr="00AA4FA1">
        <w:t>benefit</w:t>
      </w:r>
      <w:r w:rsidR="00895FCE">
        <w:t>s</w:t>
      </w:r>
      <w:r w:rsidR="72438AF7" w:rsidRPr="00AA4FA1">
        <w:t xml:space="preserve"> of </w:t>
      </w:r>
      <w:r>
        <w:t>our modified</w:t>
      </w:r>
      <w:r w:rsidR="72438AF7" w:rsidRPr="00AA4FA1">
        <w:t xml:space="preserve"> approach </w:t>
      </w:r>
      <w:r w:rsidR="00895FCE">
        <w:t>are</w:t>
      </w:r>
      <w:r w:rsidR="72438AF7" w:rsidRPr="00AA4FA1">
        <w:t xml:space="preserve"> two-fold</w:t>
      </w:r>
      <w:r w:rsidR="7093874A">
        <w:t>. First</w:t>
      </w:r>
      <w:r w:rsidR="70642139">
        <w:t>,</w:t>
      </w:r>
      <w:r w:rsidR="7093874A">
        <w:t xml:space="preserve"> </w:t>
      </w:r>
      <w:r w:rsidR="6191C376">
        <w:t xml:space="preserve">our </w:t>
      </w:r>
      <w:r w:rsidR="2F84FEF2" w:rsidRPr="00AA4FA1">
        <w:t xml:space="preserve">exposure-response functions </w:t>
      </w:r>
      <w:r>
        <w:t>for future exposures now include both</w:t>
      </w:r>
      <w:r w:rsidR="104D00D0">
        <w:t xml:space="preserve"> </w:t>
      </w:r>
      <w:r w:rsidR="2F84FEF2" w:rsidRPr="00AA4FA1">
        <w:t>non-linearities and lagged effects. Although studies of temperature and mortality have shown that the strongest associations between heat and health occur on the day of exposure</w:t>
      </w:r>
      <w:r w:rsidR="1A068C4E">
        <w:t>,</w:t>
      </w:r>
      <w:r w:rsidR="00E80E4F" w:rsidRPr="00AA4FA1">
        <w:fldChar w:fldCharType="begin"/>
      </w:r>
      <w:r w:rsidR="004835FE">
        <w:instrText xml:space="preserve"> ADDIN ZOTERO_ITEM CSL_CITATION {"citationID":"bsI5UuY7","properties":{"formattedCitation":"\\super 49\\nosupersub{}","plainCitation":"49","noteIndex":0},"citationItems":[{"id":1714,"uris":["http://zotero.org/users/9240079/items/HGUPVB9T"],"itemData":{"id":1714,"type":"article-journal","abstract":"Background\nHeat waves have been linked with an increase in mortality, but the associated risk has been only partly characterized.\n\nMethods\nWe examined this association by decomposing the risk for temperature into a “main effect” due to independent effects of daily high temperatures, and an “added” effect due to sustained duration of heat during waves, using data from 108 communities in USA during 1987-2000. We adopted different definitions of heat-wave days based on combinations of temperature thresholds and days of duration. The main effect was estimated through distributed lag non-linear functions of temperature, which account for non-linear delayed effects and short-time harvesting. We defined the main effect as the relative risk between the median city-specific temperature during heat-wave days and the 75th percentile of the year-round distribution. The added effect was defined first using a simple indicator, and then a function of consecutive heat-wave days. City-specific main and added effects were pooled through univariate and multivariate meta-analytic techniques.\n\nResults\nThe added wave effect was small (0.2%-2.8% excess relative risk, depending on wave definition) compared with the main effect (4.9%-8.0%), and was apparent only after 4 consecutive heat wave days.\n\nConclusions\nMost of the excess risk with heat waves in the USA can be simply summarized as the independent effects of individual days’ temperatures. A smaller added effect arises in heat waves lasting more than 4 days.","container-title":"Epidemiology (Cambridge, Mass.)","DOI":"10.1097/EDE.0b013e3181fdcd99","ISSN":"1044-3983","issue":"1","journalAbbreviation":"Epidemiology","note":"PMID: 21150355\nPMCID: PMC3324776","page":"68-73","source":"PubMed Central","title":"The impact of heat waves on mortality","volume":"22","author":[{"family":"Gasparrini","given":"Antonio"},{"family":"Armstrong","given":"Ben"}],"issued":{"date-parts":[["2011",1]]}}}],"schema":"https://github.com/citation-style-language/schema/raw/master/csl-citation.json"} </w:instrText>
      </w:r>
      <w:r w:rsidR="00E80E4F" w:rsidRPr="00AA4FA1">
        <w:fldChar w:fldCharType="separate"/>
      </w:r>
      <w:r w:rsidR="004835FE" w:rsidRPr="004835FE">
        <w:rPr>
          <w:vertAlign w:val="superscript"/>
        </w:rPr>
        <w:t>49</w:t>
      </w:r>
      <w:r w:rsidR="00E80E4F" w:rsidRPr="00AA4FA1">
        <w:fldChar w:fldCharType="end"/>
      </w:r>
      <w:r w:rsidR="2F84FEF2" w:rsidRPr="00AA4FA1">
        <w:t xml:space="preserve"> in </w:t>
      </w:r>
      <w:r w:rsidR="70960983" w:rsidRPr="00AA4FA1">
        <w:t xml:space="preserve">warmer future </w:t>
      </w:r>
      <w:r w:rsidR="6F0FECA0" w:rsidRPr="00AA4FA1">
        <w:t xml:space="preserve">climates </w:t>
      </w:r>
      <w:r w:rsidR="2F84FEF2" w:rsidRPr="00AA4FA1">
        <w:t xml:space="preserve">where </w:t>
      </w:r>
      <w:r w:rsidR="73A06F3C">
        <w:t>contemporaneous</w:t>
      </w:r>
      <w:r w:rsidR="2F84FEF2" w:rsidRPr="00AA4FA1">
        <w:t xml:space="preserve"> and lagged </w:t>
      </w:r>
      <w:r w:rsidR="04F94542" w:rsidRPr="00AA4FA1">
        <w:t xml:space="preserve">temperatures </w:t>
      </w:r>
      <w:r w:rsidR="24182984">
        <w:t xml:space="preserve">can exceed </w:t>
      </w:r>
      <w:r w:rsidR="2F84FEF2" w:rsidRPr="00AA4FA1">
        <w:t>historical percentiles, lagged exposure</w:t>
      </w:r>
      <w:r w:rsidR="7093874A">
        <w:t>s</w:t>
      </w:r>
      <w:r w:rsidR="2F84FEF2" w:rsidRPr="00AA4FA1">
        <w:t xml:space="preserve"> </w:t>
      </w:r>
      <w:r w:rsidR="11A24C6A">
        <w:t xml:space="preserve">could </w:t>
      </w:r>
      <w:r w:rsidR="735A5386">
        <w:t>potentially exert larger adverse health impacts</w:t>
      </w:r>
      <w:r w:rsidR="2F84FEF2" w:rsidRPr="00AA4FA1">
        <w:t xml:space="preserve">. </w:t>
      </w:r>
      <w:r w:rsidR="216030D1">
        <w:t>S</w:t>
      </w:r>
      <w:r w:rsidR="7093874A">
        <w:t>econd</w:t>
      </w:r>
      <w:r w:rsidR="6CEE80AC">
        <w:t>,</w:t>
      </w:r>
      <w:r w:rsidR="7093874A">
        <w:t xml:space="preserve"> </w:t>
      </w:r>
      <w:r w:rsidR="0933D67D">
        <w:t>the</w:t>
      </w:r>
      <w:r w:rsidR="6E6BEB14">
        <w:t xml:space="preserve"> </w:t>
      </w:r>
      <w:r w:rsidR="00023312">
        <w:t xml:space="preserve">method of </w:t>
      </w:r>
      <w:r w:rsidR="6E6BEB14">
        <w:t>calculati</w:t>
      </w:r>
      <w:r w:rsidR="008D5345">
        <w:t>ng</w:t>
      </w:r>
      <w:r w:rsidR="6E6BEB14">
        <w:t xml:space="preserve"> </w:t>
      </w:r>
      <w:r w:rsidR="6E6BEB14" w:rsidRPr="008843F5">
        <w:t>additional</w:t>
      </w:r>
      <w:r w:rsidR="6E6BEB14">
        <w:t xml:space="preserve"> health impacts of future temperatures</w:t>
      </w:r>
      <w:r w:rsidR="37BD4236">
        <w:t xml:space="preserve"> does not depend on the shape of the exposure response curve. </w:t>
      </w:r>
      <w:r w:rsidR="28F3D93C">
        <w:t>T</w:t>
      </w:r>
      <w:r w:rsidR="2F84FEF2" w:rsidRPr="00AA4FA1">
        <w:t xml:space="preserve">emperature-mortality studies </w:t>
      </w:r>
      <w:r w:rsidR="0F8B3C13">
        <w:t>have exploited the fact that the</w:t>
      </w:r>
      <w:r w:rsidR="2F84FEF2" w:rsidRPr="00AA4FA1">
        <w:t xml:space="preserve"> “U-shaped” exposure-response relationship’s nadir presents a natural </w:t>
      </w:r>
      <w:r w:rsidR="6E6BEB14">
        <w:t xml:space="preserve">point of comparison </w:t>
      </w:r>
      <w:r w:rsidR="426B3BEB">
        <w:t>for</w:t>
      </w:r>
      <w:r w:rsidR="6E6BEB14">
        <w:t xml:space="preserve"> the relative risks of colder </w:t>
      </w:r>
      <w:r w:rsidR="2CF9F825">
        <w:t>versus</w:t>
      </w:r>
      <w:r w:rsidR="6E6BEB14">
        <w:t xml:space="preserve"> hotter temperatures</w:t>
      </w:r>
      <w:r w:rsidR="7B86DF4E">
        <w:t>.</w:t>
      </w:r>
      <w:r w:rsidR="00E80E4F" w:rsidRPr="00AA4FA1">
        <w:fldChar w:fldCharType="begin"/>
      </w:r>
      <w:r w:rsidR="00547122">
        <w:instrText xml:space="preserve"> ADDIN ZOTERO_ITEM CSL_CITATION {"citationID":"fpZgXJUT","properties":{"formattedCitation":"\\super 1\\uc0\\u8211{}7\\nosupersub{}","plainCitation":"1–7","noteIndex":0},"citationItems":[{"id":1156,"uris":["http://zotero.org/users/9240079/items/4C2XS39Q"],"itemData":{"id":1156,"type":"article-journal","container-title":"American Journal of Epidemiology","DOI":"10.1093/aje/155.1.80","ISSN":"00029262","issue":"1","language":"en","page":"80-87","source":"DOI.org (Crossref)","title":"Temperature and Mortality in 11 Cities of the Eastern United States","volume":"155","author":[{"family":"Curriero","given":"F. C."},{"family":"Heiner","given":"K. S."},{"family":"Samet","given":"J. M."},{"family":"Zeger","given":"Scott L."},{"family":"Strug","given":"Lisa"},{"family":"Patz","given":"Jonathan A."}],"issued":{"date-parts":[["2002",1,1]]}}},{"id":2023,"uris":["http://zotero.org/users/9240079/items/9AWW42AU"],"itemData":{"id":2023,"type":"article-journal","container-title":"The Lancet","DOI":"10.1016/S0140-6736(14)62114-0","ISSN":"0140-6736, 1474-547X","issue":"9991","journalAbbreviation":"The Lancet","language":"English","note":"publisher: Elsevier\nPMID: 26003380","page":"369-375","source":"www.thelancet.com","title":"Mortality risk attributable to high and low ambient temperature: a multicountry observational study","title-short":"Mortality risk attributable to high and low ambient temperature","volume":"386","author":[{"family":"Gasparrini","given":"Antonio"},{"family":"Guo","given":"Yuming"},{"family":"Hashizume","given":"Masahiro"},{"family":"Lavigne","given":"Eric"},{"family":"Zanobetti","given":"Antonella"},{"family":"Schwartz","given":"Joel"},{"family":"Tobias","given":"Aurelio"},{"family":"Tong","given":"Shilu"},{"family":"Rocklöv","given":"Joacim"},{"family":"Forsberg","given":"Bertil"},{"family":"Leone","given":"Michela"},{"family":"Sario","given":"Manuela De"},{"family":"Bell","given":"Michelle L."},{"family":"Guo","given":"Yue-Liang Leon"},{"family":"Wu","given":"Chang-fu"},{"family":"Kan","given":"Haidong"},{"family":"Yi","given":"Seung-Muk"},{"family":"Coelho","given":"Micheline de Sousa Zanotti Stagliorio"},{"family":"Saldiva","given":"Paulo Hilario Nascimento"},{"family":"Honda","given":"Yasushi"},{"family":"Kim","given":"Ho"},{"family":"Armstrong","given":"Ben"}],"issued":{"date-parts":[["2015",7,25]]}}},{"id":2031,"uris":["http://zotero.org/users/9240079/items/4MUJL2AV"],"itemData":{"id":2031,"type":"article-journal","abstract":"Background\nPrevious studies examining temperature–mortality associations in China focused on a single city or a small number of cities. A multi-city study covering different climatic zones is necessary to better understand regional differences in temperature risk on mortality in China.\nMethods\nSixty-six communities from 7 regions across China were included in this study. We first used a Distributed Lag Non-linear Model (DLNM) to estimate community-specific effects of temperature on non-accidental mortality during 2006–2011. A multivariate meta-analysis was then applied to pool the estimates of community-specific effects.\nResults\nA U-shaped curve was observed between temperature and mortality at the national level in China, indicating both low and high temperatures were associated with increased mortality risk. The overall threshold was at about the 75th percentile of the pooled temperature distribution. The relative risk was 1.61 (95% CI: 1.48–1.74) for extremely cold temperature (1st percentile of temperature), and 1.21 (95% CI: 1.10–1.34) for extreme hot temperature (99th percentile of temperature) at lag0–21 days. The temperature–mortality relationship is different for different regions. Compared with north China, south China had a higher minimum mortality temperature (MMT), and there was a larger cold effect in the more southern parts of China and a more pronounced hot effect in more northern parts.\nConclusions\nBoth cold and hot temperatures increase mortality risk in China, and the relationship varies geographically. Our findings suggest that public health policies for climate change adaptation should be tailored to the local climate conditions.","container-title":"Environmental Research","DOI":"10.1016/j.envres.2014.11.016","ISSN":"0013-9351","journalAbbreviation":"Environmental Research","page":"72-77","source":"ScienceDirect","title":"The temperature–mortality relationship in China: An analysis from 66 Chinese communities","title-short":"The temperature–mortality relationship in China","volume":"137","author":[{"family":"Ma","given":"Wenjun"},{"family":"Wang","given":"Lijun"},{"family":"Lin","given":"Hualiang"},{"family":"Liu","given":"Tao"},{"family":"Zhang","given":"Yonghui"},{"family":"Rutherford","given":"Shannon"},{"family":"Luo","given":"Yuan"},{"family":"Zeng","given":"Weilin"},{"family":"Zhang","given":"Yewu"},{"family":"Wang","given":"Xiaofeng"},{"family":"Gu","given":"Xin"},{"family":"Chu","given":"Cordia"},{"family":"Xiao","given":"Jianpeng"},{"family":"Zhou","given":"Maigeng"}],"issued":{"date-parts":[["2015",2,1]]}}},{"id":2033,"uris":["http://zotero.org/users/9240079/items/DM5RET8H"],"itemData":{"id":2033,"type":"article-journal","abstract":"Background: \n          Elevated temperature has been associated with increased mortality. Few epidemiologic studies, however, have considered air pollutants as potential confounders or effect modifiers. None has focused on California, where the climate is generally mild and pollution levels tend to be high—an ideal setting to examine the independent effect of temperature from air pollution.\n          Methods: \n          We examined the association between mean daily apparent temperature and nonaccidental mortality in 9 counties throughout California from May to September 1999–2003. Data were obtained from the National Climatic Data Center (temperature and relative humidity), the California Department of Health Services (mortality), and the California Air Resources Board (particulate matter, ozone, carbon monoxide, and nitrogen dioxide). We conducted a time-stratified case-crossover study, with a time-series analysis as a sensitivity analysis, adjusting for day of the week using both methods and adjusting for time trend in the time-series analysis. We first obtained county-specific estimates and then combined them using meta-analytic methods.\n          Results: \n          A total of 248,019 deaths were included. Each 10° (Fahrenheit) increase in same-day mean apparent temperature corresponded to a 2.3% increase in mortality (95% confidence interval = 1.0%–3.6%) in the case-crossover analysis for all 9 counties combined, with nearly identical results produced from the time-series analysis. No air pollutant examined was found to be a significant confounder or effect modifier.\n          Conclusions: \n          Even without extremes in apparent temperature, we observed an association between temperature and mortality in California that was independent of air pollution.","container-title":"Epidemiology","DOI":"10.1097/EDE.0b013e31815c1da7","ISSN":"1044-3983","issue":"1","language":"en-US","page":"138","source":"journals.lww.com","title":"Characterizing Temperature and Mortality in Nine California Counties","volume":"19","author":[{"family":"Basu","given":"Rupa"},{"family":"Feng","given":"Wen-Ying"},{"family":"Ostro","given":"Bart D."}],"issued":{"date-parts":[["2008",1]]}}},{"id":2035,"uris":["http://zotero.org/users/9240079/items/IYIR86AU"],"itemData":{"id":2035,"type":"article-journal","abstract":"Objectives\nEvidence is limited on the relative contribution of different temperature exposures (i.e., heat, cold and significant temperature variability) to mortality. This study aims to examine mortality risk and associated mortality burden from heat, cold, and temperature variability in Australia.\nMethods\nWe collected daily time-series data on all-cause deaths and weather variables for the five most populous Australian cities (Sydney, Melbourne, Brisbane, Adelaide, and Perth), from 2000 to 2009. Temperature variability was calculated from the standard deviation of hourly temperatures between two adjacent days. Three-stage analysis was used. We firstly used quasi-Poisson regression models to model the associations of mortality with heat (mean temperature) during the warm season, with cold (mean temperature) during the cold season, and with temperature variability all year round, while controlling for long-term trend and seasonality, day of week, and population change over time. We then estimated the effects of different non-optimum temperatures using the simplified log-linear regression model. Finally, we computed and compared the fraction (%) of deaths attributable to different non-optimum temperatures.\nResults\nThe greatest percentage increase in mortality was for cold (2.0%, 95% confidence interval (CI): 1.4%, 2.6%), followed by heat (1.2%, 95% CI: 0.7%, 1.7%), and temperature variability (0.5%, 95% CI: 0.3%, 0.7%). There was no clear temporal pattern in mortality risk associated with any temperature exposure in Australia. Heat, cold and temperature variability together resulted in 42,414 deaths during the study period, accounting for about 6.0% of all deaths. Most of attributable deaths were due to cold (61.4%), and noticeably, contribution from temperature variability (28.0%) was greater than that from heat (10.6%).\nConclusions\nExposure to either cold or heat or a large variation in temperature was associated with increased mortality risk in Australia, but population adaptation appeared to have not occurred in most cities studied. Most of the temperature-induced deaths were attributable to cold, and contributions from temperature variability were greater than that from heat. Our findings highlight that, in addition to heat and cold, temperature variability needs to be considered in assessing and projecting the health impacts of climate change.","container-title":"Science of The Total Environment","DOI":"10.1016/j.scitotenv.2018.10.186","ISSN":"0048-9697","journalAbbreviation":"Science of The Total Environment","page":"2558-2565","source":"ScienceDirect","title":"Impacts of heat, cold, and temperature variability on mortality in Australia, 2000–2009","volume":"651","author":[{"family":"Cheng","given":"Jian"},{"family":"Xu","given":"Zhiwei"},{"family":"Bambrick","given":"Hilary"},{"family":"Su","given":"Hong"},{"family":"Tong","given":"Shilu"},{"family":"Hu","given":"Wenbiao"}],"issued":{"date-parts":[["2019",2,15]]}}},{"id":1783,"uris":["http://zotero.org/users/9240079/items/CKRQ6KCX"],"itemData":{"id":1783,"type":"article-journal","abstract":"We conducted the study described in this paper to investigate the impact of ambient temperature on mortality in the Netherlands during 1979-1997, the impact of heat waves and cold spells on mortality in particular, and the possibility of any heat wave- or cold spell-induced forward displacement of mortality. We found a V-like relationship between mortality and temperature, with an optimum temperature value (e.g., average temperature with lowest mortality rate) of 16.5 degrees C for total mortality, cardiovascular mortality, respiratory mortality, and mortality among those [Greater and equal to] 65 year of age. For mortality due to malignant neoplasms and mortality in the youngest age group, the optimum temperatures were 15.5 degrees C and 14.5 degrees C, respectively. For temperatures above the optimum, mortality increased by 0.47, 1.86, 12.82, and 2.72% for malignant neoplasms, cardiovascular disease, respiratory diseases, and total mortality, respectively, for each degree Celsius increase above the optimum in the preceding month. For temperatures below the optimum, mortality increased 0.22, 1.69, 5.15, and 1.37%, respectively, for each degree Celsius decrease below the optimum in the preceding month. Mortality increased significantly during all of the heat waves studied, and the elderly were most effected by extreme heat. The heat waves led to increases in mortality due to all of the selected causes, especially respiratory mortality. Average total excess mortality during the heat waves studied was 12.1%, or 39.8 deaths/day. The average excess mortality during the cold spells was 12.8% or 46.6 deaths/day, which was mostly attributable to the increase in cardiovascular mortality and mortality among the elderly. The results concerning the forward displacement of deaths due to heat waves were not conclusive. We found no cold-induced forward displacement of deaths.","container-title":"Environmental Health Perspectives","ISSN":"0091-6765","issue":"5","journalAbbreviation":"Environ Health Perspect","note":"PMID: 11401757\nPMCID: PMC1240305","page":"463-470","source":"PubMed Central","title":"The impact of heat waves and cold spells on mortality rates in the Dutch population.","volume":"109","author":[{"family":"Huynen","given":"M M"},{"family":"Martens","given":"P"},{"family":"Schram","given":"D"},{"family":"Weijenberg","given":"M P"},{"family":"Kunst","given":"A E"}],"issued":{"date-parts":[["2001",5]]}}},{"id":2041,"uris":["http://zotero.org/users/9240079/items/UFLJKCMD"],"itemData":{"id":2041,"type":"article-journal","abstract":"Background: \n          Studies have examined the effects of temperature on mortality in a single city, country, or region. However, less evidence is available on the variation in the associations between temperature and mortality in multiple countries, analyzed simultaneously.\n          Methods: \n          We obtained daily data on temperature and mortality in 306 communities from 12 countries/regions (Australia, Brazil, Thailand, China, Taiwan, Korea, Japan, Italy, Spain, United Kingdom, United States, and Canada). Two-stage analyses were used to assess the nonlinear and delayed relation between temperature and mortality. In the first stage, a Poisson regression allowing overdispersion with distributed lag nonlinear model was used to estimate the community-specific temperature-mortality relation. In the second stage, a multivariate meta-analysis was used to pool the nonlinear and delayed effects of ambient temperature at the national level, in each country.\n          Results: \n          The temperatures associated with the lowest mortality were around the 75th percentile of temperature in all the countries/regions, ranging from 66th (Taiwan) to 80th (UK) percentiles. The estimated effects of cold and hot temperatures on mortality varied by community and country. Meta-analysis results show that both cold and hot temperatures increased the risk of mortality in all the countries/regions. Cold effects were delayed and lasted for many days, whereas heat effects appeared quickly and did not last long.\n          Conclusions: \n          People have some ability to adapt to their local climate type, but both cold and hot temperatures are still associated with increased risk of mortality. Public health strategies to alleviate the impact of ambient temperatures are important, in particular in the context of climate change.","container-title":"Epidemiology","DOI":"10.1097/EDE.0000000000000165","ISSN":"1044-3983","issue":"6","language":"en-US","page":"781","source":"journals.lww.com","title":"Global Variation in the Effects of Ambient Temperature on Mortality: A Systematic Evaluation","title-short":"Global Variation in the Effects of Ambient Temperature on Mortality","volume":"25","author":[{"family":"Guo","given":"Yuming"},{"family":"Gasparrini","given":"Antonio"},{"family":"Armstrong","given":"Ben"},{"family":"Li","given":"Shanshan"},{"family":"Tawatsupa","given":"Benjawan"},{"family":"Tobias","given":"Aurelio"},{"family":"Lavigne","given":"Eric"},{"family":"Sousa Zanotti Stagliorio Coelho","given":"Micheline","non-dropping-particle":"de"},{"family":"Leone","given":"Michela"},{"family":"Pan","given":"Xiaochuan"},{"family":"Tong","given":"Shilu"},{"family":"Tian","given":"Linwei"},{"family":"Kim","given":"Ho"},{"family":"Hashizume","given":"Masahiro"},{"family":"Honda","given":"Yasushi"},{"family":"Guo","given":"Yue-Liang Leon"},{"family":"Wu","given":"Chang-Fu"},{"family":"Punnasiri","given":"Kornwipa"},{"family":"Yi","given":"Seung-Muk"},{"family":"Michelozzi","given":"Paola"},{"family":"Saldiva","given":"Paulo Hilario Nascimento"},{"family":"Williams","given":"Gail"}],"issued":{"date-parts":[["2014",11]]}}}],"schema":"https://github.com/citation-style-language/schema/raw/master/csl-citation.json"} </w:instrText>
      </w:r>
      <w:r w:rsidR="00E80E4F" w:rsidRPr="00AA4FA1">
        <w:fldChar w:fldCharType="separate"/>
      </w:r>
      <w:r w:rsidR="1C8D973B" w:rsidRPr="000356ED">
        <w:rPr>
          <w:vertAlign w:val="superscript"/>
        </w:rPr>
        <w:t>1–7</w:t>
      </w:r>
      <w:r w:rsidR="00E80E4F" w:rsidRPr="00AA4FA1">
        <w:fldChar w:fldCharType="end"/>
      </w:r>
      <w:r w:rsidR="2F84FEF2" w:rsidRPr="00AA4FA1">
        <w:t xml:space="preserve">  However, the </w:t>
      </w:r>
      <w:r w:rsidR="2550C3DA" w:rsidRPr="00AA4FA1">
        <w:t xml:space="preserve">monotonicity of </w:t>
      </w:r>
      <w:r w:rsidR="2550C3DA">
        <w:t xml:space="preserve">our estimated </w:t>
      </w:r>
      <w:r w:rsidR="2F84FEF2" w:rsidRPr="00AA4FA1">
        <w:t xml:space="preserve">exposure-response </w:t>
      </w:r>
      <w:r w:rsidR="2F84FEF2" w:rsidRPr="00AA4FA1">
        <w:lastRenderedPageBreak/>
        <w:t xml:space="preserve">curves </w:t>
      </w:r>
      <w:r w:rsidR="66A1369D">
        <w:t xml:space="preserve">render </w:t>
      </w:r>
      <w:r w:rsidR="2E53A3AB">
        <w:t xml:space="preserve">estimates of </w:t>
      </w:r>
      <w:r w:rsidR="2F84FEF2" w:rsidRPr="00AA4FA1">
        <w:t xml:space="preserve">attributable number and attributable fraction </w:t>
      </w:r>
      <w:r w:rsidR="10764928">
        <w:t>using that approach</w:t>
      </w:r>
      <w:r w:rsidR="6C01790C">
        <w:t xml:space="preserve"> </w:t>
      </w:r>
      <w:r w:rsidR="2F84FEF2" w:rsidRPr="00AA4FA1">
        <w:t xml:space="preserve">highly sensitive </w:t>
      </w:r>
      <w:r w:rsidR="2E53A3AB">
        <w:t>to comparison point</w:t>
      </w:r>
      <w:r w:rsidR="5343FFC3">
        <w:t xml:space="preserve"> selection</w:t>
      </w:r>
      <w:r w:rsidR="17CE4CD1">
        <w:t>.</w:t>
      </w:r>
      <w:r w:rsidR="00E80E4F" w:rsidRPr="00AA4FA1">
        <w:fldChar w:fldCharType="begin"/>
      </w:r>
      <w:r w:rsidR="004835FE">
        <w:instrText xml:space="preserve"> ADDIN ZOTERO_ITEM CSL_CITATION {"citationID":"9YrIcpBU","properties":{"formattedCitation":"\\super 38,43\\nosupersub{}","plainCitation":"38,43","noteIndex":0},"citationItems":[{"id":1902,"uris":["http://zotero.org/users/9240079/items/DC3ZXJSE"],"itemData":{"id":1902,"type":"article-journal","abstract":"Background: \n          Climate change is expected to result in more heat-related, but potentially fewer cold-related, emergency department visits and deaths. The net effect of projected changes in temperature on morbidity and mortality remains incompletely understood. We estimated the change in temperature-related morbidity and mortality at two sites in southern New England, United States, through the end of the 21st century.\n          Methods: \n          We used distributed lag Poisson regression models to estimate the present-day associations between daily mean temperature and all-cause emergency department visits and deaths in Rhode Island and in Boston, Massachusetts. We estimated the change in temperature-related visits and deaths in 2045–2054 and 2085–2094 (relative to 2001–2010) under two greenhouse gas emissions scenarios (RCP4.5 and RCP8.5) using downscaled projections from an ensemble of over 40 climate models, assuming all other factors remain constant.\n          Results: \n          We observed U-shaped relationships between temperature and morbidity and mortality in Rhode Island, with minima at 10.9°C and 22.5°C, respectively. We estimated that, if this population were exposed to the future temperatures projected under RCP8.5 for 2085–2094, there would be 5,976 (95% eCI = 1,630, 11,379) more emergency department visits but 218 (95% eCI = −551, 43) fewer deaths annually. Results were similar in Boston and similar but less pronounced in the 2050s and under RCP4.5.\n          Conclusions: \n          We estimated that in the absence of further adaptation, if the current southern New England population were exposed to the higher temperatures projected for future decades, temperature-related emergency department visits would increase but temperature-related deaths would not.","container-title":"Epidemiology","DOI":"10.1097/EDE.0000000000000825","ISSN":"1044-3983","issue":"4","language":"en-US","page":"473","source":"journals.lww.com","title":"Projected Changes in Temperature-related Morbidity and Mortality in Southern New England","volume":"29","author":[{"family":"Weinberger","given":"Kate R."},{"family":"Kirwa","given":"Kipruto"},{"family":"Eliot","given":"Melissa N."},{"family":"Gold","given":"Julia"},{"family":"Suh","given":"Helen H."},{"family":"Wellenius","given":"Gregory A."}],"issued":{"date-parts":[["2018",7]]}}},{"id":2072,"uris":["http://zotero.org/users/9240079/items/IIUGB23M"],"itemData":{"id":2072,"type":"article-journal","abstract":"Reliable estimates of future health impacts due to climate change are needed to inform and contribute to the design of efficient adaptation and mitigation strategies. However, projecting health burdens associated to specific environmental stressors is a challenging task because of the complex risk patterns and inherent uncertainty of future climate scenarios. These assessments involve multidisciplinary knowledge, requiring expertise in epidemiology, statistics, and climate science, among other subjects. Here, we present a methodologic framework to estimate future health impacts under climate change scenarios based on a defined set of assumptions and advanced statistical techniques developed in time-series analysis in environmental epidemiology. The proposed methodology is illustrated through a step-by-step hands-on tutorial structured in well-defined sections that cover the main methodological steps and essential elements. Each section provides a thorough description of each step, along with a discussion on available analytical options and the rationale on the choices made in the proposed framework. The illustration is complemented with a practical example of study using real-world data and a series of R scripts included as Supplementary Digital Content; https://links.lww.com/EDE/B504, which facilitates its replication and extension on other environmental stressors, outcomes, study settings, and projection scenarios. Users should critically assess the potential modeling alternatives and modify the framework and R code to adapt them to their research on health impact projections.","container-title":"Epidemiology","DOI":"10.1097/EDE.0000000000000982","ISSN":"1044-3983","issue":"3","language":"en-US","page":"321","source":"journals.lww.com","title":"Hands-on Tutorial on a Modeling Framework for Projections of Climate Change Impacts on Health","volume":"30","author":[{"family":"Vicedo-Cabrera","given":"Ana M."},{"family":"Sera","given":"Francesco"},{"family":"Gasparrini","given":"Antonio"}],"issued":{"date-parts":[["2019",5]]}}}],"schema":"https://github.com/citation-style-language/schema/raw/master/csl-citation.json"} </w:instrText>
      </w:r>
      <w:r w:rsidR="00E80E4F" w:rsidRPr="00AA4FA1">
        <w:fldChar w:fldCharType="separate"/>
      </w:r>
      <w:r w:rsidR="004835FE" w:rsidRPr="004835FE">
        <w:rPr>
          <w:vertAlign w:val="superscript"/>
        </w:rPr>
        <w:t>38,43</w:t>
      </w:r>
      <w:r w:rsidR="00E80E4F" w:rsidRPr="00AA4FA1">
        <w:fldChar w:fldCharType="end"/>
      </w:r>
      <w:r w:rsidR="2F84FEF2" w:rsidRPr="00AA4FA1">
        <w:t xml:space="preserve"> </w:t>
      </w:r>
      <w:r w:rsidR="00E80E4F">
        <w:tab/>
      </w:r>
    </w:p>
    <w:p w14:paraId="12FDC227" w14:textId="0671B6CE" w:rsidR="00C93193" w:rsidRDefault="00E80E4F" w:rsidP="48728174">
      <w:r>
        <w:tab/>
      </w:r>
      <w:r>
        <w:tab/>
      </w:r>
      <w:r w:rsidR="00B0770F">
        <w:t>O</w:t>
      </w:r>
      <w:r w:rsidR="0CA3B3D1">
        <w:t>ur results are subject to several caveats, all of which cons</w:t>
      </w:r>
      <w:r w:rsidR="62787C32">
        <w:t>t</w:t>
      </w:r>
      <w:r w:rsidR="0CA3B3D1">
        <w:t xml:space="preserve">itute </w:t>
      </w:r>
      <w:r w:rsidR="2F84FEF2">
        <w:t xml:space="preserve">opportunities for </w:t>
      </w:r>
      <w:r w:rsidR="03CB9B2B">
        <w:t>further inquiry</w:t>
      </w:r>
      <w:r w:rsidR="2F84FEF2">
        <w:t xml:space="preserve">. </w:t>
      </w:r>
      <w:r w:rsidR="2F84FEF2" w:rsidRPr="00EA2673">
        <w:t xml:space="preserve">We did not </w:t>
      </w:r>
      <w:r w:rsidR="4032591F">
        <w:t xml:space="preserve">account for future </w:t>
      </w:r>
      <w:r w:rsidR="2F84FEF2">
        <w:t xml:space="preserve">population </w:t>
      </w:r>
      <w:r w:rsidR="2F84FEF2" w:rsidRPr="0021059C">
        <w:t>dynamics or adaptation</w:t>
      </w:r>
      <w:r w:rsidR="6516980C" w:rsidRPr="0021059C">
        <w:t>.</w:t>
      </w:r>
      <w:r w:rsidRPr="0021059C">
        <w:fldChar w:fldCharType="begin"/>
      </w:r>
      <w:r w:rsidR="004835FE">
        <w:instrText xml:space="preserve"> ADDIN ZOTERO_ITEM CSL_CITATION {"citationID":"zoWNGNs1","properties":{"formattedCitation":"\\super 50\\nosupersub{}","plainCitation":"50","noteIndex":0},"citationItems":[{"id":2089,"uris":["http://zotero.org/users/9240079/items/KU43CDRM"],"itemData":{"id":2089,"type":"article-journal","abstract":"Background\nHow adaptation and intensity of heat waves affect heat wave-related mortality is unclear, making health projections difficult.\nMethods\nWe estimated the effect of heat waves, the effect of the intensity of heat waves, and adaptation on mortality in 209 U.S. cities with 168 million people during 1962–2006. We improved the standard time-series models by incorporating the intensity of heat waves using excess heat factor (EHF) and estimating adaptation empirically using interactions with yearly mean summer temperature (MST). We combined the epidemiological estimates for heat wave, intensity, and adaptation with the Coupled Model Intercomparison Project Phase 5 (CMIP5) multi-model dataset to project heat wave-related mortality by 2050.\nResults\nThe effect of heat waves increased with its intensity. Adaptation to heat waves occurred, which was shown by the decreasing effect of heat waves with MST. However, adaptation was lessened as MST increased. Ignoring adaptation in projections would result in a substantial overestimate of the projected heat wave-related mortality (by 277–747% in 2050). Incorporating the empirically estimated adaptation into projections would result in little change in the projected heat wave-related mortality between 2006 and 2050. This differs regionally, however, with increasing mortality over time for cities in the southern and western U.S. but decreasing mortality over time for the north.\nConclusions\nAccounting for adaptation is important to reduce bias in the projections of heat wave-related mortality. The finding that the southern and western U.S. are the areas that face increasing heat-related deaths is novel, and indicates that more regional adaptation strategies are needed.","container-title":"Environmental Research","DOI":"10.1016/j.envres.2017.11.049","ISSN":"0013-9351","journalAbbreviation":"Environmental Research","page":"464-471","source":"ScienceDirect","title":"Accounting for adaptation and intensity in projecting heat wave-related mortality","volume":"161","author":[{"family":"Wang","given":"Yan"},{"family":"Nordio","given":"Francesco"},{"family":"Nairn","given":"John"},{"family":"Zanobetti","given":"Antonella"},{"family":"Schwartz","given":"Joel D."}],"issued":{"date-parts":[["2018",2,1]]}}}],"schema":"https://github.com/citation-style-language/schema/raw/master/csl-citation.json"} </w:instrText>
      </w:r>
      <w:r w:rsidRPr="0021059C">
        <w:fldChar w:fldCharType="separate"/>
      </w:r>
      <w:r w:rsidR="004835FE" w:rsidRPr="004835FE">
        <w:rPr>
          <w:vertAlign w:val="superscript"/>
        </w:rPr>
        <w:t>50</w:t>
      </w:r>
      <w:r w:rsidRPr="0021059C">
        <w:fldChar w:fldCharType="end"/>
      </w:r>
      <w:r w:rsidR="2F84FEF2" w:rsidRPr="0021059C">
        <w:t xml:space="preserve"> Although such projections are available,</w:t>
      </w:r>
      <w:r w:rsidR="00153256" w:rsidRPr="0021059C">
        <w:fldChar w:fldCharType="begin"/>
      </w:r>
      <w:r w:rsidR="004835FE">
        <w:instrText xml:space="preserve"> ADDIN ZOTERO_ITEM CSL_CITATION {"citationID":"KMBl5U3s","properties":{"formattedCitation":"\\super 51\\nosupersub{}","plainCitation":"51","noteIndex":0},"citationItems":[{"id":2293,"uris":["http://zotero.org/users/9240079/items/Y7P66DMA"],"itemData":{"id":2293,"type":"article-journal","abstract":"Small area and subnational population projections are important for understanding long-term demographic changes. I provide county-level population projections by age, sex, and race in five-year intervals for the period 2020–2100 for all U.S. counties. Using historic U.S. census data in temporally rectified county boundaries and race groups for the period 1990–2015, I calculate cohort-change ratios (CCRs) and cohort-change differences (CCDs) for eighteen five-year age groups (0–85+ ), two sex groups (Male and Female), and four race groups (White NH, Black NH, Other NH, Hispanic) for all U.S counties. I then project these CCRs/CCDs using ARIMA models as inputs into Leslie matrix population projection models and control the projections to the Shared Socioeconomic Pathways. I validate the methods using ex-post facto evaluations using data from 1969–2000 to project 2000–2015. My results are reasonably accurate for this period. These data have numerous potential uses and can serve as inputs for addressing questions involving sub-national demographic change in the United States.","container-title":"Scientific Data","DOI":"10.1038/sdata.2019.5","ISSN":"2052-4463","issue":"1","journalAbbreviation":"Sci Data","language":"en","license":"2019 The Author(s)","note":"publisher: Nature Publishing Group","page":"190005","source":"www.nature.com","title":"Population projections for U.S. counties by age, sex, and race controlled to shared socioeconomic pathway","volume":"6","author":[{"family":"Hauer","given":"Mathew E."}],"issued":{"date-parts":[["2019",2,5]]}}}],"schema":"https://github.com/citation-style-language/schema/raw/master/csl-citation.json"} </w:instrText>
      </w:r>
      <w:r w:rsidR="00153256" w:rsidRPr="0021059C">
        <w:fldChar w:fldCharType="separate"/>
      </w:r>
      <w:r w:rsidR="004835FE" w:rsidRPr="004835FE">
        <w:rPr>
          <w:vertAlign w:val="superscript"/>
        </w:rPr>
        <w:t>51</w:t>
      </w:r>
      <w:r w:rsidR="00153256" w:rsidRPr="0021059C">
        <w:fldChar w:fldCharType="end"/>
      </w:r>
      <w:r w:rsidR="0021059C" w:rsidRPr="0021059C">
        <w:t xml:space="preserve"> </w:t>
      </w:r>
      <w:r w:rsidR="2F84FEF2" w:rsidRPr="0021059C">
        <w:t xml:space="preserve">their </w:t>
      </w:r>
      <w:r w:rsidR="77B560C8" w:rsidRPr="0021059C">
        <w:t xml:space="preserve">use is predicated on </w:t>
      </w:r>
      <w:r w:rsidR="79CE859F" w:rsidRPr="0021059C">
        <w:t xml:space="preserve">our currently limited </w:t>
      </w:r>
      <w:r w:rsidR="77B560C8" w:rsidRPr="0021059C">
        <w:t xml:space="preserve">understanding of </w:t>
      </w:r>
      <w:r w:rsidR="5056E2FC" w:rsidRPr="0021059C">
        <w:t xml:space="preserve">how </w:t>
      </w:r>
      <w:r w:rsidR="2F84FEF2" w:rsidRPr="0021059C">
        <w:t xml:space="preserve">responses </w:t>
      </w:r>
      <w:r w:rsidR="12CF036F" w:rsidRPr="0021059C">
        <w:t xml:space="preserve">differ </w:t>
      </w:r>
      <w:r w:rsidR="5B283170" w:rsidRPr="0021059C">
        <w:t>among</w:t>
      </w:r>
      <w:r w:rsidR="2F84FEF2" w:rsidRPr="0021059C">
        <w:t xml:space="preserve"> demographic subgroups and intersect</w:t>
      </w:r>
      <w:r w:rsidR="541D184D" w:rsidRPr="0021059C">
        <w:t xml:space="preserve"> with </w:t>
      </w:r>
      <w:r w:rsidR="52D051BA" w:rsidRPr="0021059C">
        <w:t xml:space="preserve">susceptible individuals’ </w:t>
      </w:r>
      <w:r w:rsidR="541D184D" w:rsidRPr="0021059C">
        <w:t xml:space="preserve">capacity </w:t>
      </w:r>
      <w:r w:rsidR="7786CCD0" w:rsidRPr="0021059C">
        <w:t xml:space="preserve">to </w:t>
      </w:r>
      <w:r w:rsidR="541D184D" w:rsidRPr="0021059C">
        <w:t>adapt</w:t>
      </w:r>
      <w:r w:rsidR="2F84FEF2" w:rsidRPr="0021059C">
        <w:t xml:space="preserve">. </w:t>
      </w:r>
      <w:r w:rsidR="24A8F266" w:rsidRPr="0021059C">
        <w:t xml:space="preserve">Our omission of these </w:t>
      </w:r>
      <w:r w:rsidR="4116C68C" w:rsidRPr="0021059C">
        <w:t>influence</w:t>
      </w:r>
      <w:r w:rsidR="24A8F266" w:rsidRPr="0021059C">
        <w:t xml:space="preserve">s </w:t>
      </w:r>
      <w:r w:rsidR="2F84FEF2" w:rsidRPr="0021059C">
        <w:t>results in relatively narrow confidence intervals</w:t>
      </w:r>
      <w:r w:rsidR="00593E90">
        <w:t xml:space="preserve"> for estimated ED visits</w:t>
      </w:r>
      <w:r w:rsidR="2F84FEF2" w:rsidRPr="0021059C">
        <w:t xml:space="preserve">. </w:t>
      </w:r>
      <w:r w:rsidR="354BC740" w:rsidRPr="0021059C">
        <w:t xml:space="preserve">A further </w:t>
      </w:r>
      <w:r w:rsidR="0C76A9B0" w:rsidRPr="0021059C">
        <w:t xml:space="preserve">uncertainty </w:t>
      </w:r>
      <w:r w:rsidR="354BC740" w:rsidRPr="0021059C">
        <w:t>is th</w:t>
      </w:r>
      <w:r w:rsidR="53095101" w:rsidRPr="0021059C">
        <w:t>e ex</w:t>
      </w:r>
      <w:r w:rsidR="53095101">
        <w:t>tent to which</w:t>
      </w:r>
      <w:r w:rsidR="354BC740">
        <w:t xml:space="preserve"> our </w:t>
      </w:r>
      <w:r w:rsidR="7D58D1EB">
        <w:t xml:space="preserve">estimated </w:t>
      </w:r>
      <w:r w:rsidR="67AA2A87">
        <w:t xml:space="preserve">responses, </w:t>
      </w:r>
      <w:r w:rsidR="5B93AEA8">
        <w:t>which reflect</w:t>
      </w:r>
      <w:r w:rsidR="4A2A4B7F">
        <w:t xml:space="preserve"> </w:t>
      </w:r>
      <w:r w:rsidR="5B93AEA8">
        <w:t xml:space="preserve">the subset of </w:t>
      </w:r>
      <w:r w:rsidR="616A31A7">
        <w:t>currently-insured individuals</w:t>
      </w:r>
      <w:r w:rsidR="5B93AEA8">
        <w:t xml:space="preserve">, </w:t>
      </w:r>
      <w:r w:rsidR="7BF23366" w:rsidRPr="00F85C44">
        <w:t xml:space="preserve">and therefore could </w:t>
      </w:r>
      <w:r w:rsidR="2F84FEF2" w:rsidRPr="00F85C44">
        <w:t xml:space="preserve">underestimate the </w:t>
      </w:r>
      <w:r w:rsidR="570C83A8">
        <w:t>population incidence of heat-related illness</w:t>
      </w:r>
      <w:r w:rsidR="52228CEC">
        <w:t>,</w:t>
      </w:r>
      <w:r w:rsidRPr="00F85C44">
        <w:fldChar w:fldCharType="begin"/>
      </w:r>
      <w:r w:rsidR="004835FE">
        <w:instrText xml:space="preserve"> ADDIN ZOTERO_ITEM CSL_CITATION {"citationID":"5VTfEUAw","properties":{"formattedCitation":"\\super 52\\nosupersub{}","plainCitation":"52","noteIndex":0},"citationItems":[{"id":2124,"uris":["http://zotero.org/users/9240079/items/T9SLXPP9"],"itemData":{"id":2124,"type":"article-journal","abstract":"Background: \n          Extreme ambient heat is unambiguously associated with higher risk of illness and death. The Optum Labs Data Warehouse (OLDW), a database of medical claims from US-based patients with commercial or Medicare Advantage health insurance, has been used to quantify heat-related health impacts. Whether results for the insured sub-population are generalizable to the broader population has to our knowledge not been documented. We sought to address this question, for the US population in California from 2012 to 2019.\n          Methods: \n          We examined changes in daily rates of emergency department (ED) encounters and in-patient hospitalization encounters for all-causes, heat-related outcomes, renal disease, mental/behavioral disorders, cardiovascular disease, and respiratory disease. OLDW was the source for health data for insured individuals in California, and health data for the broader population were gathered from the California Department of Health Care Access and Information (HCAI). We defined extreme heat exposure as any day in a group of 2 or more days with maximum temperatures exceeding the county-specific 97.5 th percentile and used a space-time-stratified case–crossover design to assess and compare the impacts of heat on health.\n          Results: \n          Average incidence rates of medical encounters differed by dataset. However, rate ratios for ED encounters were similar across datasets for all causes (ratio of incidence rate ratios (rIRR) = 0.989; 95% confidence interval (CI) = 0.973, 1.011), heat-related causes (rIRR = 1.080; 95% CI = 0.999, 1.168), renal disease (rIRR = 0.963; 95% CI = 0.718, 1.292), and mental health disorders (rIRR = 1.098; 95% CI = 1.004, 1.201). Rate ratios for inpatient encounters were also similar.\n          Conclusions: \n          This work presents evidence that OLDW can continue to be a resource for estimating the health impacts of extreme heat.","container-title":"Epidemiology","DOI":"10.1097/EDE.0000000000001781","ISSN":"1044-3983","language":"en-US","page":"10.1097/EDE.0000000000001781","source":"journals.lww.com","title":"Generalizability of heat-related health risk associations observed in a large healthcare claims database of patients with commercial health insurance.","author":[{"family":"Milando","given":"Chad W."},{"family":"Sun","given":"Yuantong"},{"family":"Romitti","given":"Yasmin"},{"family":"Nori-Sarma","given":"Amruta"},{"family":"Gause","given":"Emma L."},{"family":"Spangler","given":"Keith R."},{"family":"Sue Wing","given":"Ian"},{"family":"Wellenius","given":"Gregory A."}],"issued":{"date-parts":[["2024",8,1]]}}}],"schema":"https://github.com/citation-style-language/schema/raw/master/csl-citation.json"} </w:instrText>
      </w:r>
      <w:r w:rsidRPr="00F85C44">
        <w:fldChar w:fldCharType="separate"/>
      </w:r>
      <w:r w:rsidR="004835FE" w:rsidRPr="004835FE">
        <w:rPr>
          <w:vertAlign w:val="superscript"/>
        </w:rPr>
        <w:t>52</w:t>
      </w:r>
      <w:r w:rsidRPr="00F85C44">
        <w:fldChar w:fldCharType="end"/>
      </w:r>
      <w:r w:rsidR="2F84FEF2" w:rsidRPr="00F85C44">
        <w:t xml:space="preserve"> </w:t>
      </w:r>
      <w:r w:rsidR="7B3CFED1">
        <w:t xml:space="preserve">are representative of the </w:t>
      </w:r>
      <w:r w:rsidR="520491B6">
        <w:t xml:space="preserve">true response in the </w:t>
      </w:r>
      <w:r w:rsidR="7B3CFED1">
        <w:t xml:space="preserve">broader </w:t>
      </w:r>
      <w:r w:rsidR="3E061F8E">
        <w:t xml:space="preserve">US </w:t>
      </w:r>
      <w:r w:rsidR="7B3CFED1">
        <w:t xml:space="preserve">population—especially as the latter </w:t>
      </w:r>
      <w:r w:rsidR="3B951817">
        <w:t xml:space="preserve">undergoes heterogeneous region-specific </w:t>
      </w:r>
      <w:r w:rsidR="49410377">
        <w:t xml:space="preserve">compositional </w:t>
      </w:r>
      <w:r w:rsidR="3B951817">
        <w:t>shifts</w:t>
      </w:r>
      <w:r w:rsidR="7B3CFED1">
        <w:t xml:space="preserve"> </w:t>
      </w:r>
      <w:r w:rsidR="2EA2818C">
        <w:t>out to mid-century</w:t>
      </w:r>
      <w:r w:rsidR="7B3CFED1">
        <w:t xml:space="preserve">. </w:t>
      </w:r>
      <w:r w:rsidR="2F84FEF2" w:rsidRPr="0021059C">
        <w:t>Our</w:t>
      </w:r>
      <w:r w:rsidR="2F84FEF2" w:rsidRPr="00307994">
        <w:t xml:space="preserve"> modeling method assumes that the </w:t>
      </w:r>
      <w:r w:rsidR="3CE50B63" w:rsidRPr="00307994">
        <w:t xml:space="preserve">underlying </w:t>
      </w:r>
      <w:r w:rsidR="2F84FEF2" w:rsidRPr="00307994">
        <w:t xml:space="preserve">causes </w:t>
      </w:r>
      <w:r w:rsidR="0DF2B447">
        <w:t xml:space="preserve">of </w:t>
      </w:r>
      <w:r w:rsidR="2F84FEF2" w:rsidRPr="00307994">
        <w:t>ED visits scale with temperature</w:t>
      </w:r>
      <w:r w:rsidR="68226811" w:rsidRPr="00307994">
        <w:t>.</w:t>
      </w:r>
      <w:r w:rsidR="496EAD24" w:rsidRPr="00307994">
        <w:t xml:space="preserve"> </w:t>
      </w:r>
      <w:r w:rsidR="59CBFBBB">
        <w:t>E</w:t>
      </w:r>
      <w:r w:rsidR="62CECC8E">
        <w:t xml:space="preserve">stablished </w:t>
      </w:r>
      <w:r w:rsidR="6CCA7D30">
        <w:t>practice treat</w:t>
      </w:r>
      <w:r w:rsidR="215181AB">
        <w:t>s</w:t>
      </w:r>
      <w:r w:rsidR="6CCA7D30">
        <w:t xml:space="preserve"> the </w:t>
      </w:r>
      <w:r w:rsidR="2F84FEF2">
        <w:t>uncertain</w:t>
      </w:r>
      <w:r w:rsidR="0C670A43">
        <w:t>ty</w:t>
      </w:r>
      <w:r w:rsidR="2F84FEF2" w:rsidRPr="00307994">
        <w:t xml:space="preserve"> associated with this assumption </w:t>
      </w:r>
      <w:r w:rsidR="26E2595B" w:rsidRPr="00307994">
        <w:t>as being captured by our standard errors, which are small</w:t>
      </w:r>
      <w:r w:rsidR="2CF2E642" w:rsidRPr="00307994">
        <w:t xml:space="preserve">, and </w:t>
      </w:r>
      <w:r w:rsidR="74C4E189" w:rsidRPr="00307994">
        <w:t xml:space="preserve">temperature </w:t>
      </w:r>
      <w:r w:rsidR="2CF2E642" w:rsidRPr="00307994">
        <w:t xml:space="preserve">differences across </w:t>
      </w:r>
      <w:r w:rsidR="5BFB0CA4" w:rsidRPr="00307994">
        <w:t xml:space="preserve">warming </w:t>
      </w:r>
      <w:r w:rsidR="2CF2E642" w:rsidRPr="00307994">
        <w:t>scenarios</w:t>
      </w:r>
      <w:r w:rsidR="115D6B7B" w:rsidRPr="00307994">
        <w:t>, which are larger</w:t>
      </w:r>
      <w:r w:rsidR="001A6FCB">
        <w:t>.</w:t>
      </w:r>
      <w:r w:rsidR="004D6C52">
        <w:fldChar w:fldCharType="begin"/>
      </w:r>
      <w:r w:rsidR="004835FE">
        <w:instrText xml:space="preserve"> ADDIN ZOTERO_ITEM CSL_CITATION {"citationID":"rlzxSVTJ","properties":{"formattedCitation":"\\super 38\\nosupersub{}","plainCitation":"38","noteIndex":0},"citationItems":[{"id":2072,"uris":["http://zotero.org/users/9240079/items/IIUGB23M"],"itemData":{"id":2072,"type":"article-journal","abstract":"Reliable estimates of future health impacts due to climate change are needed to inform and contribute to the design of efficient adaptation and mitigation strategies. However, projecting health burdens associated to specific environmental stressors is a challenging task because of the complex risk patterns and inherent uncertainty of future climate scenarios. These assessments involve multidisciplinary knowledge, requiring expertise in epidemiology, statistics, and climate science, among other subjects. Here, we present a methodologic framework to estimate future health impacts under climate change scenarios based on a defined set of assumptions and advanced statistical techniques developed in time-series analysis in environmental epidemiology. The proposed methodology is illustrated through a step-by-step hands-on tutorial structured in well-defined sections that cover the main methodological steps and essential elements. Each section provides a thorough description of each step, along with a discussion on available analytical options and the rationale on the choices made in the proposed framework. The illustration is complemented with a practical example of study using real-world data and a series of R scripts included as Supplementary Digital Content; https://links.lww.com/EDE/B504, which facilitates its replication and extension on other environmental stressors, outcomes, study settings, and projection scenarios. Users should critically assess the potential modeling alternatives and modify the framework and R code to adapt them to their research on health impact projections.","container-title":"Epidemiology","DOI":"10.1097/EDE.0000000000000982","ISSN":"1044-3983","issue":"3","language":"en-US","page":"321","source":"journals.lww.com","title":"Hands-on Tutorial on a Modeling Framework for Projections of Climate Change Impacts on Health","volume":"30","author":[{"family":"Vicedo-Cabrera","given":"Ana M."},{"family":"Sera","given":"Francesco"},{"family":"Gasparrini","given":"Antonio"}],"issued":{"date-parts":[["2019",5]]}}}],"schema":"https://github.com/citation-style-language/schema/raw/master/csl-citation.json"} </w:instrText>
      </w:r>
      <w:r w:rsidR="004D6C52">
        <w:fldChar w:fldCharType="separate"/>
      </w:r>
      <w:r w:rsidR="004835FE" w:rsidRPr="004835FE">
        <w:rPr>
          <w:vertAlign w:val="superscript"/>
        </w:rPr>
        <w:t>38</w:t>
      </w:r>
      <w:r w:rsidR="004D6C52">
        <w:fldChar w:fldCharType="end"/>
      </w:r>
      <w:r w:rsidR="001A6FCB">
        <w:t xml:space="preserve"> </w:t>
      </w:r>
      <w:r w:rsidR="625130BD" w:rsidRPr="00307994">
        <w:t>We note however that there is an additional source of uncertainty, in the form of the dispersion of simulated temperatures and associated ED visits across GCMs</w:t>
      </w:r>
      <w:r w:rsidR="4080DD58" w:rsidRPr="00307994">
        <w:t xml:space="preserve"> within scenarios</w:t>
      </w:r>
      <w:r w:rsidR="002D34CE">
        <w:t>.</w:t>
      </w:r>
      <w:r w:rsidR="003D28B4">
        <w:fldChar w:fldCharType="begin"/>
      </w:r>
      <w:r w:rsidR="004835FE">
        <w:instrText xml:space="preserve"> ADDIN ZOTERO_ITEM CSL_CITATION {"citationID":"1aGLG7z9","properties":{"formattedCitation":"\\super 53\\nosupersub{}","plainCitation":"53","noteIndex":0},"citationItems":[{"id":2297,"uris":["http://zotero.org/users/9240079/items/E7EMK2LM"],"itemData":{"id":2297,"type":"article-journal","abstract":"Quantitative estimates of the impacts of climate change on economic outcomes are important for public policy. We show that the vast majority of estimates fail to account for well-established uncertainty in future temperature and rainfall changes, leading to potentially misleading projections. We reexamine seven well-cited studies and show that accounting for climate uncertainty leads to a much larger range of projected climate impacts and a greater likelihood of worst-case outcomes, an important policy parameter. Incorporating climate uncertainty into future economic impact assessments will be critical for providing the best possible information on potential impacts.","container-title":"The Review of Economics and Statistics","DOI":"10.1162/REST_a_00478","ISSN":"0034-6535","issue":"2","journalAbbreviation":"The Review of Economics and Statistics","page":"461-471","source":"Silverchair","title":"Incorporating Climate Uncertainty into Estimates of Climate Change Impacts","volume":"97","author":[{"family":"Burke","given":"Marshall"},{"family":"Dykema","given":"John"},{"family":"Lobell","given":"David B."},{"family":"Miguel","given":"Edward"},{"family":"Satyanath","given":"Shanker"}],"issued":{"date-parts":[["2015",5,1]]}}}],"schema":"https://github.com/citation-style-language/schema/raw/master/csl-citation.json"} </w:instrText>
      </w:r>
      <w:r w:rsidR="003D28B4">
        <w:fldChar w:fldCharType="separate"/>
      </w:r>
      <w:r w:rsidR="004835FE" w:rsidRPr="004835FE">
        <w:rPr>
          <w:vertAlign w:val="superscript"/>
        </w:rPr>
        <w:t>53</w:t>
      </w:r>
      <w:r w:rsidR="003D28B4">
        <w:fldChar w:fldCharType="end"/>
      </w:r>
      <w:r w:rsidR="2F84FEF2" w:rsidRPr="00307994">
        <w:t xml:space="preserve"> </w:t>
      </w:r>
      <w:r w:rsidR="26B4DC38" w:rsidRPr="00307994">
        <w:t>For the sake of concision, we leave characterization of that uncertainty to follow-on work.</w:t>
      </w:r>
      <w:r w:rsidR="2F84FEF2" w:rsidRPr="00307994">
        <w:t xml:space="preserve"> </w:t>
      </w:r>
      <w:r w:rsidR="2F84FEF2">
        <w:t xml:space="preserve">Our case-crossover model </w:t>
      </w:r>
      <w:r w:rsidR="46A7FE21">
        <w:t xml:space="preserve">also </w:t>
      </w:r>
      <w:r w:rsidR="2F84FEF2">
        <w:t xml:space="preserve">did not </w:t>
      </w:r>
      <w:r w:rsidR="1DE2CA3B">
        <w:t xml:space="preserve">incorporate </w:t>
      </w:r>
      <w:r w:rsidR="2F84FEF2">
        <w:t>specific adjustment</w:t>
      </w:r>
      <w:r w:rsidR="33A7AC00">
        <w:t>s for</w:t>
      </w:r>
      <w:r w:rsidR="2F84FEF2">
        <w:t xml:space="preserve"> </w:t>
      </w:r>
      <w:r w:rsidR="54807021">
        <w:t xml:space="preserve">the </w:t>
      </w:r>
      <w:r w:rsidR="2F84FEF2">
        <w:t>COVID-19 pandemic</w:t>
      </w:r>
      <w:r w:rsidR="5EE56428">
        <w:t>.</w:t>
      </w:r>
      <w:r w:rsidR="2F84FEF2">
        <w:t xml:space="preserve"> </w:t>
      </w:r>
      <w:r w:rsidR="2DEA8E63">
        <w:t>H</w:t>
      </w:r>
      <w:r w:rsidR="2F84FEF2">
        <w:t>owever</w:t>
      </w:r>
      <w:r w:rsidR="0090651F">
        <w:t>,</w:t>
      </w:r>
      <w:r w:rsidR="2F84FEF2">
        <w:t xml:space="preserve"> </w:t>
      </w:r>
      <w:r w:rsidR="1001ABB7">
        <w:t>we note that any attendant</w:t>
      </w:r>
      <w:r w:rsidR="2F84FEF2">
        <w:t xml:space="preserve"> bias</w:t>
      </w:r>
      <w:r w:rsidR="029DAD0E">
        <w:t>es</w:t>
      </w:r>
      <w:r w:rsidR="2F84FEF2">
        <w:t xml:space="preserve"> </w:t>
      </w:r>
      <w:r w:rsidR="24A2A1CD">
        <w:t xml:space="preserve">would affect </w:t>
      </w:r>
      <w:r w:rsidR="657D9596">
        <w:t>both</w:t>
      </w:r>
      <w:r w:rsidR="2F84FEF2">
        <w:t xml:space="preserve"> present and future </w:t>
      </w:r>
      <w:proofErr w:type="gramStart"/>
      <w:r w:rsidR="2F84FEF2">
        <w:t>projections</w:t>
      </w:r>
      <w:r w:rsidR="2E623708">
        <w:t>, and</w:t>
      </w:r>
      <w:proofErr w:type="gramEnd"/>
      <w:r w:rsidR="2E623708">
        <w:t xml:space="preserve"> thus exert little influence on the changes we estimate here</w:t>
      </w:r>
      <w:r w:rsidR="2F84FEF2">
        <w:t xml:space="preserve">. </w:t>
      </w:r>
      <w:r w:rsidR="52BF450B">
        <w:t xml:space="preserve">Computational constraints also precluded </w:t>
      </w:r>
      <w:r w:rsidR="2F84FEF2">
        <w:t xml:space="preserve">meta-analysis of county-specific modeled coefficients that were </w:t>
      </w:r>
      <w:r w:rsidR="2F84FEF2" w:rsidRPr="40FDA6AE">
        <w:rPr>
          <w:i/>
          <w:iCs/>
        </w:rPr>
        <w:t>not</w:t>
      </w:r>
      <w:r w:rsidR="2F84FEF2">
        <w:t xml:space="preserve"> cross-reduced</w:t>
      </w:r>
      <w:r w:rsidR="39C3C44F">
        <w:t xml:space="preserve">, limiting </w:t>
      </w:r>
      <w:r w:rsidR="2F84FEF2">
        <w:t xml:space="preserve">our ability to use </w:t>
      </w:r>
      <w:r w:rsidR="3D7B299C">
        <w:t>b</w:t>
      </w:r>
      <w:r w:rsidR="2F84FEF2">
        <w:t xml:space="preserve">est </w:t>
      </w:r>
      <w:r w:rsidR="5CCD3CFC">
        <w:t>l</w:t>
      </w:r>
      <w:r w:rsidR="2F84FEF2">
        <w:t xml:space="preserve">inear </w:t>
      </w:r>
      <w:r w:rsidR="1F7A21CC">
        <w:t>u</w:t>
      </w:r>
      <w:r w:rsidR="2F84FEF2">
        <w:t xml:space="preserve">nbiased </w:t>
      </w:r>
      <w:r w:rsidR="4364C78C">
        <w:t>p</w:t>
      </w:r>
      <w:r w:rsidR="2F84FEF2">
        <w:t>redictions of county-specific exposure response functions</w:t>
      </w:r>
      <w:r w:rsidR="0DE2C1CD">
        <w:t>.</w:t>
      </w:r>
      <w:r>
        <w:fldChar w:fldCharType="begin"/>
      </w:r>
      <w:r w:rsidR="004835FE">
        <w:instrText xml:space="preserve"> ADDIN ZOTERO_ITEM CSL_CITATION {"citationID":"6nxW2mPa","properties":{"formattedCitation":"\\super 36\\nosupersub{}","plainCitation":"36","noteIndex":0},"citationItems":[{"id":2075,"uris":["http://zotero.org/users/9240079/items/IG9KKBH5"],"itemData":{"id":2075,"type":"article-journal","abstract":"The two-stage design has become a standard tool in environmental epidemiology to model multi-location data. However, its standard form is rather inflexible and poses important limitations for modelling complex risks associated with environmental factors. In this contribution, we illustrate multiple design extensions of the classical two-stage method, all implemented within a unified analytic framework.","container-title":"Environmental Health","DOI":"10.1186/s12940-022-00853-z","ISSN":"1476-069X","issue":"1","journalAbbreviation":"Environmental Health","page":"41","source":"BioMed Central","title":"Extended two-stage designs for environmental research","volume":"21","author":[{"family":"Sera","given":"Francesco"},{"family":"Gasparrini","given":"Antonio"}],"issued":{"date-parts":[["2022",4,19]]}}}],"schema":"https://github.com/citation-style-language/schema/raw/master/csl-citation.json"} </w:instrText>
      </w:r>
      <w:r>
        <w:fldChar w:fldCharType="separate"/>
      </w:r>
      <w:r w:rsidR="004835FE" w:rsidRPr="004835FE">
        <w:rPr>
          <w:vertAlign w:val="superscript"/>
        </w:rPr>
        <w:t>36</w:t>
      </w:r>
      <w:r>
        <w:fldChar w:fldCharType="end"/>
      </w:r>
      <w:r w:rsidR="2F84FEF2">
        <w:t xml:space="preserve"> </w:t>
      </w:r>
    </w:p>
    <w:p w14:paraId="22DAA0B6" w14:textId="74B097D6" w:rsidR="00D90110" w:rsidRPr="0019578E" w:rsidRDefault="00A32290" w:rsidP="0019578E">
      <w:r>
        <w:tab/>
      </w:r>
      <w:r>
        <w:tab/>
      </w:r>
      <w:r w:rsidRPr="00EA2673">
        <w:t>Our</w:t>
      </w:r>
      <w:r>
        <w:t xml:space="preserve"> findings clarify the exposure</w:t>
      </w:r>
      <w:r w:rsidRPr="00EA2673">
        <w:t>-</w:t>
      </w:r>
      <w:r>
        <w:t>response relationship between year-round temperature and ED visits across the entire US and provide estimates for which regions may be at highest risk of increased ED visits due to increased temperatures in the future</w:t>
      </w:r>
      <w:r w:rsidRPr="00EA2673">
        <w:t>, absent other adaptation or population dynamics</w:t>
      </w:r>
      <w:r>
        <w:t>.</w:t>
      </w:r>
      <w:r w:rsidR="00866EBA">
        <w:t xml:space="preserve"> Of paramount importance is uncovering the origins of monotonicity in the exposure response. It remains to be established whether this phenomenon reflects behavioral influences in the tails of the temperature distribution, or whether different diagnoses or risk factors might be more commonly associated with elevated risk of ED visits on hot days.</w:t>
      </w:r>
      <w:r w:rsidR="00083FE9" w:rsidRPr="00083FE9">
        <w:t xml:space="preserve"> </w:t>
      </w:r>
      <w:r w:rsidR="00083FE9">
        <w:t>With temperature increase all but certain,</w:t>
      </w:r>
      <w:r w:rsidR="00083FE9" w:rsidRPr="00663DCF">
        <w:rPr>
          <w:highlight w:val="yellow"/>
        </w:rPr>
        <w:fldChar w:fldCharType="begin"/>
      </w:r>
      <w:r w:rsidR="004835FE">
        <w:rPr>
          <w:highlight w:val="yellow"/>
        </w:rPr>
        <w:instrText xml:space="preserve"> ADDIN ZOTERO_ITEM CSL_CITATION {"citationID":"cusC5F9E","properties":{"formattedCitation":"\\super 54\\nosupersub{}","plainCitation":"54","noteIndex":0},"citationItems":[{"id":2252,"uris":["http://zotero.org/users/9240079/items/6A2JQKWY"],"itemData":{"id":2252,"type":"article-journal","container-title":"JAMA Network Open","DOI":"10.1001/jamanetworkopen.2024.32578","ISSN":"2574-3805","issue":"9","journalAbbreviation":"JAMA Network Open","page":"e2432578","source":"Silverchair","title":"Hospital Capacity Data and Extreme Heat Event Vulnerability","volume":"7","author":[{"family":"Mahmoud","given":"Hussam"},{"family":"Gadgil","given":"Meghana"},{"family":"Hassan","given":"Emad M."},{"family":"Martin","given":"Michael"},{"family":"Castillo","given":"Enrico G."},{"family":"Diem","given":"Stephanie"},{"family":"Krieger","given":"Elena"}],"issued":{"date-parts":[["2024",9,11]]}}}],"schema":"https://github.com/citation-style-language/schema/raw/master/csl-citation.json"} </w:instrText>
      </w:r>
      <w:r w:rsidR="00083FE9" w:rsidRPr="00663DCF">
        <w:rPr>
          <w:highlight w:val="yellow"/>
        </w:rPr>
        <w:fldChar w:fldCharType="separate"/>
      </w:r>
      <w:r w:rsidR="004835FE" w:rsidRPr="004835FE">
        <w:rPr>
          <w:vertAlign w:val="superscript"/>
        </w:rPr>
        <w:t>54</w:t>
      </w:r>
      <w:r w:rsidR="00083FE9" w:rsidRPr="00663DCF">
        <w:rPr>
          <w:highlight w:val="yellow"/>
        </w:rPr>
        <w:fldChar w:fldCharType="end"/>
      </w:r>
      <w:r w:rsidR="00083FE9">
        <w:t xml:space="preserve"> these findings quantify the need for future healthcare systems to accommodate both more baseline ED visits due to increased heat as well as a higher frequency of days with extremely high rates of ED visits</w:t>
      </w:r>
      <w:r w:rsidR="00083FE9" w:rsidRPr="00A0364F">
        <w:t>.</w:t>
      </w:r>
      <w:r w:rsidR="00D90110" w:rsidRPr="00124FD6">
        <w:br w:type="page"/>
      </w:r>
    </w:p>
    <w:p w14:paraId="4F721D63" w14:textId="77777777" w:rsidR="002C5539" w:rsidRPr="002C5539" w:rsidRDefault="002C5539" w:rsidP="002C5539">
      <w:pPr>
        <w:pStyle w:val="Heading1"/>
        <w:numPr>
          <w:ilvl w:val="0"/>
          <w:numId w:val="0"/>
        </w:numPr>
        <w:ind w:left="432" w:hanging="432"/>
      </w:pPr>
      <w:r w:rsidRPr="002C5539">
        <w:lastRenderedPageBreak/>
        <w:t>Acknowledgements</w:t>
      </w:r>
    </w:p>
    <w:p w14:paraId="67DE48D6" w14:textId="77777777" w:rsidR="002C5539" w:rsidRPr="00EA2673" w:rsidRDefault="002C5539" w:rsidP="002C5539">
      <w:r>
        <w:t xml:space="preserve">This work was funded by grant R01-ES029950 from the National Institute of Environmental Health Sciences (NIH/NIEHS), grant 216033-Z-19-Z from the </w:t>
      </w:r>
      <w:proofErr w:type="spellStart"/>
      <w:r>
        <w:t>Wellcome</w:t>
      </w:r>
      <w:proofErr w:type="spellEnd"/>
      <w:r>
        <w:t xml:space="preserve"> Trust, and US Department of Energy, Office of Science, Biological and Environmental Research Program, Earth and Environmental Systems Modeling, </w:t>
      </w:r>
      <w:proofErr w:type="spellStart"/>
      <w:r>
        <w:t>MultiSector</w:t>
      </w:r>
      <w:proofErr w:type="spellEnd"/>
      <w:r>
        <w:t xml:space="preserve"> Dynamics cooperative agreement DE-SC0022141.  The content of this report is solely the responsibility of the authors and does not necessarily represent the official views of the sponsoring agencies.</w:t>
      </w:r>
    </w:p>
    <w:p w14:paraId="559D2CD5" w14:textId="77777777" w:rsidR="002C5539" w:rsidRDefault="002C5539" w:rsidP="002C5539">
      <w:pPr>
        <w:pStyle w:val="Heading1"/>
        <w:numPr>
          <w:ilvl w:val="0"/>
          <w:numId w:val="0"/>
        </w:numPr>
        <w:ind w:left="432" w:hanging="432"/>
      </w:pPr>
      <w:r>
        <w:t>Data availability</w:t>
      </w:r>
    </w:p>
    <w:p w14:paraId="09CDC139" w14:textId="77777777" w:rsidR="002C5539" w:rsidRDefault="002C5539" w:rsidP="002C5539">
      <w:pPr>
        <w:rPr>
          <w:rStyle w:val="Hyperlink"/>
        </w:rPr>
      </w:pPr>
      <w:r>
        <w:t>The health data used in this study are only available by contacting Optum Labs to obtain access to the insurance claims data.</w:t>
      </w:r>
      <w:r w:rsidRPr="0084167C">
        <w:t xml:space="preserve"> </w:t>
      </w:r>
      <w:r w:rsidRPr="00EA2673">
        <w:rPr>
          <w:rStyle w:val="Hyperlink"/>
          <w:color w:val="auto"/>
          <w:u w:val="none"/>
        </w:rPr>
        <w:t xml:space="preserve">The code to recreate </w:t>
      </w:r>
      <w:r w:rsidRPr="00FB3D31">
        <w:rPr>
          <w:rStyle w:val="Hyperlink"/>
          <w:b/>
          <w:bCs/>
          <w:color w:val="0432FF"/>
          <w:u w:val="none"/>
        </w:rPr>
        <w:t>Fig</w:t>
      </w:r>
      <w:r>
        <w:rPr>
          <w:rStyle w:val="Hyperlink"/>
          <w:b/>
          <w:bCs/>
          <w:color w:val="0432FF"/>
          <w:u w:val="none"/>
        </w:rPr>
        <w:t xml:space="preserve">ure </w:t>
      </w:r>
      <w:r w:rsidRPr="00FB3D31">
        <w:rPr>
          <w:rStyle w:val="Hyperlink"/>
          <w:b/>
          <w:bCs/>
          <w:color w:val="0432FF"/>
          <w:u w:val="none"/>
        </w:rPr>
        <w:t>1</w:t>
      </w:r>
      <w:r w:rsidRPr="00EA2673">
        <w:rPr>
          <w:rStyle w:val="Hyperlink"/>
          <w:color w:val="auto"/>
          <w:u w:val="none"/>
        </w:rPr>
        <w:t xml:space="preserve"> and demonstrate our approach are </w:t>
      </w:r>
      <w:r>
        <w:rPr>
          <w:rStyle w:val="Hyperlink"/>
          <w:color w:val="auto"/>
          <w:u w:val="none"/>
        </w:rPr>
        <w:t>available on</w:t>
      </w:r>
      <w:r w:rsidRPr="00EA2673">
        <w:rPr>
          <w:rStyle w:val="Hyperlink"/>
          <w:color w:val="auto"/>
          <w:u w:val="none"/>
        </w:rPr>
        <w:t xml:space="preserve"> </w:t>
      </w:r>
      <w:proofErr w:type="spellStart"/>
      <w:r w:rsidRPr="00EA2673">
        <w:rPr>
          <w:rStyle w:val="Hyperlink"/>
          <w:color w:val="auto"/>
          <w:u w:val="none"/>
        </w:rPr>
        <w:t>Github</w:t>
      </w:r>
      <w:proofErr w:type="spellEnd"/>
      <w:r w:rsidRPr="00EA2673">
        <w:rPr>
          <w:rStyle w:val="Hyperlink"/>
          <w:color w:val="auto"/>
          <w:u w:val="none"/>
        </w:rPr>
        <w:t xml:space="preserve">: </w:t>
      </w:r>
      <w:hyperlink r:id="rId9" w:history="1">
        <w:r w:rsidRPr="00EA2673">
          <w:rPr>
            <w:rStyle w:val="Hyperlink"/>
          </w:rPr>
          <w:t>www.github.com/cmilando/FuturePredMethods</w:t>
        </w:r>
      </w:hyperlink>
      <w:r>
        <w:rPr>
          <w:rStyle w:val="Hyperlink"/>
        </w:rPr>
        <w:t>.</w:t>
      </w:r>
    </w:p>
    <w:p w14:paraId="357A5304" w14:textId="77777777" w:rsidR="002C5539" w:rsidRPr="00B76D7A" w:rsidRDefault="002C5539" w:rsidP="002C5539">
      <w:pPr>
        <w:pStyle w:val="Heading1"/>
        <w:numPr>
          <w:ilvl w:val="0"/>
          <w:numId w:val="0"/>
        </w:numPr>
        <w:ind w:left="432" w:hanging="432"/>
      </w:pPr>
      <w:r w:rsidRPr="00B76D7A">
        <w:t>Disclosures</w:t>
      </w:r>
    </w:p>
    <w:p w14:paraId="30CF99D8" w14:textId="77777777" w:rsidR="002C5539" w:rsidRDefault="002C5539" w:rsidP="002C5539">
      <w:r>
        <w:t>Dr. Wellenius serves as a consultant for the Health Effects Institute (Boston, MA) and Google, LLC (Mountain View, CA). Dr. Sue Wing serves as a consultant for the European Commission Joint Research Centre (Seville, Spain).</w:t>
      </w:r>
    </w:p>
    <w:p w14:paraId="0218179B" w14:textId="46D1FEBC" w:rsidR="00EB0B20" w:rsidRPr="00B76D7A" w:rsidRDefault="00EB0B20" w:rsidP="00EB0B20">
      <w:pPr>
        <w:pStyle w:val="Heading1"/>
        <w:numPr>
          <w:ilvl w:val="0"/>
          <w:numId w:val="0"/>
        </w:numPr>
        <w:ind w:left="432" w:hanging="432"/>
      </w:pPr>
      <w:r>
        <w:t>Author contributions</w:t>
      </w:r>
    </w:p>
    <w:p w14:paraId="0982DD14" w14:textId="6F092226" w:rsidR="002C5539" w:rsidRDefault="00BD1B60" w:rsidP="002C5539">
      <w:r>
        <w:t xml:space="preserve">Conceptualization: CWM, ISW, GW. Data curation: CWM, ISW. Formal analysis: </w:t>
      </w:r>
      <w:r w:rsidR="003C6CCC">
        <w:t>CWM. Funding acquisition</w:t>
      </w:r>
      <w:r w:rsidR="00EC789F">
        <w:t xml:space="preserve"> and Resources</w:t>
      </w:r>
      <w:r w:rsidR="003C6CCC">
        <w:t xml:space="preserve">: GW, ISW. Investigation and </w:t>
      </w:r>
      <w:r w:rsidR="00EC789F">
        <w:t>Methodology</w:t>
      </w:r>
      <w:r w:rsidR="003C6CCC">
        <w:t>: CWM</w:t>
      </w:r>
      <w:r w:rsidR="00EC789F">
        <w:t>, ISW, GW.</w:t>
      </w:r>
      <w:r w:rsidR="003C6CCC">
        <w:t xml:space="preserve"> </w:t>
      </w:r>
      <w:r w:rsidR="00385EC2">
        <w:t>Validation and Visualization: CWM, ISW. Writing (original draft): CWM.</w:t>
      </w:r>
      <w:r w:rsidR="0067239A">
        <w:t xml:space="preserve"> Writing (review and edition): CWM, GW, ISW.</w:t>
      </w:r>
    </w:p>
    <w:p w14:paraId="605041CE" w14:textId="77777777" w:rsidR="002C5539" w:rsidRDefault="002C5539">
      <w:pPr>
        <w:tabs>
          <w:tab w:val="clear" w:pos="260"/>
        </w:tabs>
        <w:spacing w:after="160" w:line="259" w:lineRule="auto"/>
        <w:jc w:val="left"/>
        <w:rPr>
          <w:b/>
          <w:bCs/>
        </w:rPr>
      </w:pPr>
      <w:r>
        <w:br w:type="page"/>
      </w:r>
    </w:p>
    <w:p w14:paraId="3C16CA74" w14:textId="7D2DC7A0" w:rsidR="00E80E4F" w:rsidRPr="000356ED" w:rsidRDefault="00210E75" w:rsidP="001779A0">
      <w:pPr>
        <w:pStyle w:val="Heading1"/>
        <w:numPr>
          <w:ilvl w:val="0"/>
          <w:numId w:val="0"/>
        </w:numPr>
      </w:pPr>
      <w:r>
        <w:lastRenderedPageBreak/>
        <w:t>REFERENCES</w:t>
      </w:r>
    </w:p>
    <w:p w14:paraId="06D2F174" w14:textId="77777777" w:rsidR="00231584" w:rsidRPr="00231584" w:rsidRDefault="00E80E4F" w:rsidP="00231584">
      <w:pPr>
        <w:pStyle w:val="Bibliography"/>
      </w:pPr>
      <w:r>
        <w:fldChar w:fldCharType="begin"/>
      </w:r>
      <w:r w:rsidR="004835FE">
        <w:instrText xml:space="preserve"> ADDIN ZOTERO_BIBL {"uncited":[],"omitted":[],"custom":[]} CSL_BIBLIOGRAPHY </w:instrText>
      </w:r>
      <w:r>
        <w:fldChar w:fldCharType="separate"/>
      </w:r>
      <w:r w:rsidR="00231584" w:rsidRPr="00231584">
        <w:t xml:space="preserve">1. </w:t>
      </w:r>
      <w:r w:rsidR="00231584" w:rsidRPr="00231584">
        <w:tab/>
        <w:t xml:space="preserve">Curriero FC, Heiner KS, Samet JM, Zeger SL, Strug L, Patz JA. Temperature and Mortality in 11 Cities of the Eastern United States. American Journal of Epidemiology. 2002 Jan 1;155(1):80–87. </w:t>
      </w:r>
    </w:p>
    <w:p w14:paraId="658595E0" w14:textId="77777777" w:rsidR="00231584" w:rsidRPr="00231584" w:rsidRDefault="00231584" w:rsidP="00231584">
      <w:pPr>
        <w:pStyle w:val="Bibliography"/>
      </w:pPr>
      <w:r w:rsidRPr="00231584">
        <w:t xml:space="preserve">2. </w:t>
      </w:r>
      <w:r w:rsidRPr="00231584">
        <w:tab/>
        <w:t>Gasparrini A, Guo Y, Hashizume M, Lavigne E, Zanobetti A, Schwartz J, Tobias A, Tong S, Rocklöv J, Forsberg B, Leone M, Sario MD, Bell ML, Guo YLL, Wu C fu, Kan H, Yi SM, Coelho M de SZS, Saldiva PHN, Honda Y, Kim H, Armstrong B. Mortality risk attributable to high and low ambient temperature: a multicountry observational study. The Lancet. Elsevier; 2015 Jul 25;386(9991):369–375. PMID: 26003380</w:t>
      </w:r>
    </w:p>
    <w:p w14:paraId="50D3AF0E" w14:textId="77777777" w:rsidR="00231584" w:rsidRPr="00231584" w:rsidRDefault="00231584" w:rsidP="00231584">
      <w:pPr>
        <w:pStyle w:val="Bibliography"/>
      </w:pPr>
      <w:r w:rsidRPr="00231584">
        <w:t xml:space="preserve">3. </w:t>
      </w:r>
      <w:r w:rsidRPr="00231584">
        <w:tab/>
        <w:t xml:space="preserve">Ma W, Wang L, Lin H, Liu T, Zhang Y, Rutherford S, Luo Y, Zeng W, Zhang Y, Wang X, Gu X, Chu C, Xiao J, Zhou M. The temperature–mortality relationship in China: An analysis from 66 Chinese communities. Environmental Research. 2015 Feb 1;137:72–77. </w:t>
      </w:r>
    </w:p>
    <w:p w14:paraId="63EF8F84" w14:textId="77777777" w:rsidR="00231584" w:rsidRPr="00231584" w:rsidRDefault="00231584" w:rsidP="00231584">
      <w:pPr>
        <w:pStyle w:val="Bibliography"/>
      </w:pPr>
      <w:r w:rsidRPr="00231584">
        <w:t xml:space="preserve">4. </w:t>
      </w:r>
      <w:r w:rsidRPr="00231584">
        <w:tab/>
        <w:t xml:space="preserve">Basu R, Feng WY, Ostro BD. Characterizing Temperature and Mortality in Nine California Counties. Epidemiology. 2008 Jan;19(1):138. </w:t>
      </w:r>
    </w:p>
    <w:p w14:paraId="78619636" w14:textId="77777777" w:rsidR="00231584" w:rsidRPr="00231584" w:rsidRDefault="00231584" w:rsidP="00231584">
      <w:pPr>
        <w:pStyle w:val="Bibliography"/>
      </w:pPr>
      <w:r w:rsidRPr="00231584">
        <w:t xml:space="preserve">5. </w:t>
      </w:r>
      <w:r w:rsidRPr="00231584">
        <w:tab/>
        <w:t xml:space="preserve">Cheng J, Xu Z, Bambrick H, Su H, Tong S, Hu W. Impacts of heat, cold, and temperature variability on mortality in Australia, 2000–2009. Science of The Total Environment. 2019 Feb 15;651:2558–2565. </w:t>
      </w:r>
    </w:p>
    <w:p w14:paraId="52CC9EF6" w14:textId="77777777" w:rsidR="00231584" w:rsidRPr="00231584" w:rsidRDefault="00231584" w:rsidP="00231584">
      <w:pPr>
        <w:pStyle w:val="Bibliography"/>
      </w:pPr>
      <w:r w:rsidRPr="00231584">
        <w:t xml:space="preserve">6. </w:t>
      </w:r>
      <w:r w:rsidRPr="00231584">
        <w:tab/>
        <w:t>Huynen MM, Martens P, Schram D, Weijenberg MP, Kunst AE. The impact of heat waves and cold spells on mortality rates in the Dutch population. Environ Health Perspect. 2001 May;109(5):463–470. PMCID: PMC1240305</w:t>
      </w:r>
    </w:p>
    <w:p w14:paraId="0EFB1B43" w14:textId="77777777" w:rsidR="00231584" w:rsidRPr="00231584" w:rsidRDefault="00231584" w:rsidP="00231584">
      <w:pPr>
        <w:pStyle w:val="Bibliography"/>
      </w:pPr>
      <w:r w:rsidRPr="00231584">
        <w:t xml:space="preserve">7. </w:t>
      </w:r>
      <w:r w:rsidRPr="00231584">
        <w:tab/>
        <w:t xml:space="preserve">Guo Y, Gasparrini A, Armstrong B, Li S, Tawatsupa B, Tobias A, Lavigne E, de Sousa Zanotti Stagliorio Coelho M, Leone M, Pan X, Tong S, Tian L, Kim H, Hashizume M, Honda Y, Guo YLL, Wu CF, Punnasiri K, Yi SM, Michelozzi P, Saldiva PHN, Williams G. Global Variation in the Effects of Ambient Temperature on Mortality: A Systematic Evaluation. Epidemiology. 2014 Nov;25(6):781. </w:t>
      </w:r>
    </w:p>
    <w:p w14:paraId="52518F4A" w14:textId="77777777" w:rsidR="00231584" w:rsidRPr="00231584" w:rsidRDefault="00231584" w:rsidP="00231584">
      <w:pPr>
        <w:pStyle w:val="Bibliography"/>
      </w:pPr>
      <w:r w:rsidRPr="00231584">
        <w:t xml:space="preserve">8. </w:t>
      </w:r>
      <w:r w:rsidRPr="00231584">
        <w:tab/>
        <w:t xml:space="preserve">Weinberger KR, Harris D, Spangler KR, Zanobetti A, Wellenius GA. Estimating the number of excess deaths attributable to heat in 297 United States counties. Environmental Epidemiology. 2020 Jun;4(3):e096. </w:t>
      </w:r>
    </w:p>
    <w:p w14:paraId="1DF2DB55" w14:textId="77777777" w:rsidR="00231584" w:rsidRPr="00231584" w:rsidRDefault="00231584" w:rsidP="00231584">
      <w:pPr>
        <w:pStyle w:val="Bibliography"/>
      </w:pPr>
      <w:r w:rsidRPr="00231584">
        <w:t xml:space="preserve">9. </w:t>
      </w:r>
      <w:r w:rsidRPr="00231584">
        <w:tab/>
        <w:t xml:space="preserve">Ballester J, Quijal-Zamorano M, Méndez Turrubiates RF, Pegenaute F, Herrmann FR, Robine JM, Basagaña X, Tonne C, Antó JM, Achebak H. Heat-related mortality in Europe during the summer of 2022. Nat Med. Nature Publishing Group; 2023 Jul;29(7):1857–1866. </w:t>
      </w:r>
    </w:p>
    <w:p w14:paraId="08D5105E" w14:textId="77777777" w:rsidR="00231584" w:rsidRPr="00231584" w:rsidRDefault="00231584" w:rsidP="00231584">
      <w:pPr>
        <w:pStyle w:val="Bibliography"/>
      </w:pPr>
      <w:r w:rsidRPr="00231584">
        <w:t xml:space="preserve">10. </w:t>
      </w:r>
      <w:r w:rsidRPr="00231584">
        <w:tab/>
        <w:t xml:space="preserve">Kegel F, Luo OD, Richer S. The Impact of Extreme Heat Events on Emergency Departments in Canadian Hospitals. Wilderness &amp; Environmental Medicine. SAGE Publications; 2021 Dec 1;32(4):433–440. </w:t>
      </w:r>
    </w:p>
    <w:p w14:paraId="70E19A5F" w14:textId="77777777" w:rsidR="00231584" w:rsidRPr="00231584" w:rsidRDefault="00231584" w:rsidP="00231584">
      <w:pPr>
        <w:pStyle w:val="Bibliography"/>
      </w:pPr>
      <w:r w:rsidRPr="00231584">
        <w:t xml:space="preserve">11. </w:t>
      </w:r>
      <w:r w:rsidRPr="00231584">
        <w:tab/>
        <w:t xml:space="preserve">Bobb JF, Obermeyer Z, Wang Y, Dominici F. Cause-Specific Risk of Hospital Admission Related to Extreme Heat in Older Adults. JAMA. 2014 Dec 24;312(24):2659–2667. </w:t>
      </w:r>
    </w:p>
    <w:p w14:paraId="19EC1F82" w14:textId="77777777" w:rsidR="00231584" w:rsidRPr="00231584" w:rsidRDefault="00231584" w:rsidP="00231584">
      <w:pPr>
        <w:pStyle w:val="Bibliography"/>
      </w:pPr>
      <w:r w:rsidRPr="00231584">
        <w:t xml:space="preserve">12. </w:t>
      </w:r>
      <w:r w:rsidRPr="00231584">
        <w:tab/>
        <w:t xml:space="preserve">Anderson GB, Dominici F, Wang Y, McCormack MC, Bell ML, Peng RD. Heat-related Emergency Hospitalizations for Respiratory Diseases in the Medicare Population. Am J Respir Crit Care Med. American Thoracic Society - AJRCCM; 2013 May 15;187(10):1098–1103. </w:t>
      </w:r>
    </w:p>
    <w:p w14:paraId="12816E69" w14:textId="77777777" w:rsidR="00231584" w:rsidRPr="00231584" w:rsidRDefault="00231584" w:rsidP="00231584">
      <w:pPr>
        <w:pStyle w:val="Bibliography"/>
      </w:pPr>
      <w:r w:rsidRPr="00231584">
        <w:lastRenderedPageBreak/>
        <w:t xml:space="preserve">13. </w:t>
      </w:r>
      <w:r w:rsidRPr="00231584">
        <w:tab/>
        <w:t xml:space="preserve">Bernstein AS, Sun S, Weinberger KR, Spangler KR, Sheffield PE, Wellenius GA. Warm Season and Emergency Department Visits to U.S. Children’s Hospitals. Environmental Health Perspectives. Environmental Health Perspectives; 2022;130(1):017001. </w:t>
      </w:r>
    </w:p>
    <w:p w14:paraId="0A755DC2" w14:textId="77777777" w:rsidR="00231584" w:rsidRPr="00231584" w:rsidRDefault="00231584" w:rsidP="00231584">
      <w:pPr>
        <w:pStyle w:val="Bibliography"/>
      </w:pPr>
      <w:r w:rsidRPr="00231584">
        <w:t xml:space="preserve">14. </w:t>
      </w:r>
      <w:r w:rsidRPr="00231584">
        <w:tab/>
        <w:t xml:space="preserve">Green RS, Basu R, Malig B, Broadwin R, Kim JJ, Ostro B. The effect of temperature on hospital admissions in nine California counties. International Journal of Public Health. 2010 Apr;55(2):113–121. </w:t>
      </w:r>
    </w:p>
    <w:p w14:paraId="539A8403" w14:textId="77777777" w:rsidR="00231584" w:rsidRPr="00231584" w:rsidRDefault="00231584" w:rsidP="00231584">
      <w:pPr>
        <w:pStyle w:val="Bibliography"/>
      </w:pPr>
      <w:r w:rsidRPr="00231584">
        <w:t xml:space="preserve">15. </w:t>
      </w:r>
      <w:r w:rsidRPr="00231584">
        <w:tab/>
        <w:t>Sun S, Weinberger KR, Nori-Sarma A, Spangler KR, Sun Y, Dominici F, Wellenius GA. Ambient heat and risks of emergency department visits among adults in the United States: time stratified case crossover study. BMJ. British Medical Journal Publishing Group; 2021 Nov 25;375:e065653. PMID: 34819309</w:t>
      </w:r>
    </w:p>
    <w:p w14:paraId="69C74B31" w14:textId="77777777" w:rsidR="00231584" w:rsidRPr="00231584" w:rsidRDefault="00231584" w:rsidP="00231584">
      <w:pPr>
        <w:pStyle w:val="Bibliography"/>
      </w:pPr>
      <w:r w:rsidRPr="00231584">
        <w:t xml:space="preserve">16. </w:t>
      </w:r>
      <w:r w:rsidRPr="00231584">
        <w:tab/>
        <w:t xml:space="preserve">Spangler KR, Adams QH, Hu JK, Braun D, Weinberger KR, Dominici F, Wellenius GA. Does choice of outdoor heat metric affect heat-related epidemiologic analyses in the US Medicare population? Environmental Epidemiology. 2023 Aug;7(4):e261. </w:t>
      </w:r>
    </w:p>
    <w:p w14:paraId="1D9C8A6B" w14:textId="77777777" w:rsidR="00231584" w:rsidRPr="00231584" w:rsidRDefault="00231584" w:rsidP="00231584">
      <w:pPr>
        <w:pStyle w:val="Bibliography"/>
      </w:pPr>
      <w:r w:rsidRPr="00231584">
        <w:t xml:space="preserve">17. </w:t>
      </w:r>
      <w:r w:rsidRPr="00231584">
        <w:tab/>
        <w:t xml:space="preserve">Weilnhammer V, Schmid J, Mittermeier I, Schreiber F, Jiang L, Pastuhovic V, Herr C, Heinze S. Extreme weather events in europe and their health consequences – A systematic review. International Journal of Hygiene and Environmental Health. 2021 Apr 1;233:113688. </w:t>
      </w:r>
    </w:p>
    <w:p w14:paraId="1976E8C4" w14:textId="77777777" w:rsidR="00231584" w:rsidRPr="00231584" w:rsidRDefault="00231584" w:rsidP="00231584">
      <w:pPr>
        <w:pStyle w:val="Bibliography"/>
      </w:pPr>
      <w:r w:rsidRPr="00231584">
        <w:t xml:space="preserve">18. </w:t>
      </w:r>
      <w:r w:rsidRPr="00231584">
        <w:tab/>
        <w:t xml:space="preserve">Patel L, Conlon KC, Sorensen C, McEachin S, Nadeau K, Kakkad K, Kizer KW. Climate Change and Extreme Heat Events: How Health Systems Should Prepare. NEJM Catalyst. Massachusetts Medical Society; 2022 Jun 15;3(7):CAT.21.0454. </w:t>
      </w:r>
    </w:p>
    <w:p w14:paraId="01CC5C08" w14:textId="77777777" w:rsidR="00231584" w:rsidRPr="00231584" w:rsidRDefault="00231584" w:rsidP="00231584">
      <w:pPr>
        <w:pStyle w:val="Bibliography"/>
      </w:pPr>
      <w:r w:rsidRPr="00231584">
        <w:t xml:space="preserve">19. </w:t>
      </w:r>
      <w:r w:rsidRPr="00231584">
        <w:tab/>
        <w:t xml:space="preserve">Lee J, Dessler AE. Future Temperature-Related Deaths in the U.S.: The Impact of Climate Change, Demographics, and Adaptation. GeoHealth. 2023;7(8):e2023GH000799. </w:t>
      </w:r>
    </w:p>
    <w:p w14:paraId="17F3548F" w14:textId="77777777" w:rsidR="00231584" w:rsidRPr="00231584" w:rsidRDefault="00231584" w:rsidP="00231584">
      <w:pPr>
        <w:pStyle w:val="Bibliography"/>
      </w:pPr>
      <w:r w:rsidRPr="00231584">
        <w:t xml:space="preserve">20. </w:t>
      </w:r>
      <w:r w:rsidRPr="00231584">
        <w:tab/>
        <w:t>Gasparrini A, Guo Y, Sera F, Vicedo-Cabrera AM, Huber V, Tong S, Coelho M de SZS, Saldiva PHN, Lavigne E, Correa PM, Ortega NV, Kan H, Osorio S, Kyselý J, Urban A, Jaakkola JJK, Ryti NRI, Pascal M, Goodman PG, Zeka A, Michelozzi P, Scortichini M, Hashizume M, Honda Y, Hurtado-Diaz M, Cruz JC, Seposo X, Kim H, Tobias A, Iñiguez C, Forsberg B, Åström DO, Ragettli MS, Guo YL, Wu C fu, Zanobetti A, Schwartz J, Bell ML, Dang TN, Van DD, Heaviside C, Vardoulakis S, Hajat S, Haines A, Armstrong B. Projections of temperature-related excess mortality under climate change scenarios. The Lancet Planetary Health. Elsevier; 2017 Dec 1;1(9):e360–e367. PMID: 29276803</w:t>
      </w:r>
    </w:p>
    <w:p w14:paraId="6CFFA786" w14:textId="77777777" w:rsidR="00231584" w:rsidRPr="00231584" w:rsidRDefault="00231584" w:rsidP="00231584">
      <w:pPr>
        <w:pStyle w:val="Bibliography"/>
      </w:pPr>
      <w:r w:rsidRPr="00231584">
        <w:t xml:space="preserve">21. </w:t>
      </w:r>
      <w:r w:rsidRPr="00231584">
        <w:tab/>
        <w:t xml:space="preserve">Weinberger KR, Haykin L, Eliot MN, Schwartz JD, Gasparrini A, Wellenius GA. Projected temperature-related deaths in ten large U.S. metropolitan areas under different climate change scenarios. Environment International. 2017 Oct 1;107:196–204. </w:t>
      </w:r>
    </w:p>
    <w:p w14:paraId="26CAABA7" w14:textId="77777777" w:rsidR="00231584" w:rsidRPr="00231584" w:rsidRDefault="00231584" w:rsidP="00231584">
      <w:pPr>
        <w:pStyle w:val="Bibliography"/>
      </w:pPr>
      <w:r w:rsidRPr="00231584">
        <w:t xml:space="preserve">22. </w:t>
      </w:r>
      <w:r w:rsidRPr="00231584">
        <w:tab/>
        <w:t xml:space="preserve">Khatana SAM, Szeto JJ, Eberly LA, Nathan AS, Puvvula J, Chen A. Projections of Extreme Temperature–Related Deaths in the US. JAMA Network Open. 2024 Sep 20;7(9):e2434942. </w:t>
      </w:r>
    </w:p>
    <w:p w14:paraId="4827F5C4" w14:textId="77777777" w:rsidR="00231584" w:rsidRPr="00231584" w:rsidRDefault="00231584" w:rsidP="00231584">
      <w:pPr>
        <w:pStyle w:val="Bibliography"/>
      </w:pPr>
      <w:r w:rsidRPr="00231584">
        <w:t xml:space="preserve">23. </w:t>
      </w:r>
      <w:r w:rsidRPr="00231584">
        <w:tab/>
        <w:t xml:space="preserve">O’Neill BC, Tebaldi C, van Vuuren DP, Eyring V, Friedlingstein P, Hurtt G, Knutti R, Kriegler E, Lamarque JF, Lowe J, Meehl GA, Moss R, Riahi K, Sanderson BM. The Scenario Model Intercomparison Project (ScenarioMIP) for CMIP6. Geoscientific Model Development. Copernicus GmbH; 2016 Sep 28;9(9):3461–3482. </w:t>
      </w:r>
    </w:p>
    <w:p w14:paraId="400C40B6" w14:textId="77777777" w:rsidR="00231584" w:rsidRPr="00231584" w:rsidRDefault="00231584" w:rsidP="00231584">
      <w:pPr>
        <w:pStyle w:val="Bibliography"/>
      </w:pPr>
      <w:r w:rsidRPr="00231584">
        <w:lastRenderedPageBreak/>
        <w:t xml:space="preserve">24. </w:t>
      </w:r>
      <w:r w:rsidRPr="00231584">
        <w:tab/>
        <w:t xml:space="preserve">Hansen J, Sato M, Ruedy R, Lo K, Lea DW, Medina-Elizade M. Global temperature change. Proceedings of the National Academy of Sciences. Proceedings of the National Academy of Sciences; 2006 Sep 26;103(39):14288–14293. </w:t>
      </w:r>
    </w:p>
    <w:p w14:paraId="311B5E29" w14:textId="77777777" w:rsidR="00231584" w:rsidRPr="00231584" w:rsidRDefault="00231584" w:rsidP="00231584">
      <w:pPr>
        <w:pStyle w:val="Bibliography"/>
      </w:pPr>
      <w:r w:rsidRPr="00231584">
        <w:t xml:space="preserve">25. </w:t>
      </w:r>
      <w:r w:rsidRPr="00231584">
        <w:tab/>
        <w:t xml:space="preserve">Zhang Y, Yan C, Kan H, Cao J, Peng L, Xu J, Wang W. Effect of ambient temperature on emergency department visits in Shanghai, China: a time series study. Environ Health. 2014 Nov 25;13(1):100. </w:t>
      </w:r>
    </w:p>
    <w:p w14:paraId="01F80EC9" w14:textId="77777777" w:rsidR="00231584" w:rsidRPr="00231584" w:rsidRDefault="00231584" w:rsidP="00231584">
      <w:pPr>
        <w:pStyle w:val="Bibliography"/>
      </w:pPr>
      <w:r w:rsidRPr="00231584">
        <w:t xml:space="preserve">26. </w:t>
      </w:r>
      <w:r w:rsidRPr="00231584">
        <w:tab/>
        <w:t xml:space="preserve">Sun X, Sun Q, Yang M, Zhou X, Li X, Yu A, Geng F, Guo Y. Effects of temperature and heat waves on emergency department visits and emergency ambulance dispatches in Pudong New Area, China: a time series analysis. Environ Health. 2014 Oct 2;13(1):76. </w:t>
      </w:r>
    </w:p>
    <w:p w14:paraId="245BD7DD" w14:textId="77777777" w:rsidR="00231584" w:rsidRPr="00231584" w:rsidRDefault="00231584" w:rsidP="00231584">
      <w:pPr>
        <w:pStyle w:val="Bibliography"/>
      </w:pPr>
      <w:r w:rsidRPr="00231584">
        <w:t xml:space="preserve">27. </w:t>
      </w:r>
      <w:r w:rsidRPr="00231584">
        <w:tab/>
        <w:t>Gould CF, Heft-Neal S, Heaney AK, Bendavid E, Callahan CW, Kiang M, Graff Zivin JS, Burke M. Temperature Extremes Impact Mortality and Morbidity Differently [Internet]. National Bureau of Economic Research; 2024 [cited 2024 Jul 29]. Available from: https://www.nber.org/papers/w32195</w:t>
      </w:r>
    </w:p>
    <w:p w14:paraId="7274FE85" w14:textId="77777777" w:rsidR="00231584" w:rsidRPr="00231584" w:rsidRDefault="00231584" w:rsidP="00231584">
      <w:pPr>
        <w:pStyle w:val="Bibliography"/>
      </w:pPr>
      <w:r w:rsidRPr="00231584">
        <w:t xml:space="preserve">28. </w:t>
      </w:r>
      <w:r w:rsidRPr="00231584">
        <w:tab/>
        <w:t xml:space="preserve">Kingsley SL, Eliot MN, Gold J, Vanderslice RR, Wellenius GA. Current and Projected Heat-Related Morbidity and Mortality in Rhode Island. Environmental Health Perspectives. Environmental Health Perspectives; 2016 Apr;124(4):460–467. </w:t>
      </w:r>
    </w:p>
    <w:p w14:paraId="0D551EDE" w14:textId="77777777" w:rsidR="00231584" w:rsidRPr="00231584" w:rsidRDefault="00231584" w:rsidP="00231584">
      <w:pPr>
        <w:pStyle w:val="Bibliography"/>
      </w:pPr>
      <w:r w:rsidRPr="00231584">
        <w:t xml:space="preserve">29. </w:t>
      </w:r>
      <w:r w:rsidRPr="00231584">
        <w:tab/>
        <w:t xml:space="preserve">Kim J, Lim Y, Kim H. Outdoor temperature changes and emergency department visits for asthma in Seoul, Korea: A time-series study. Environmental Research. 2014 Nov 1;135:15–20. </w:t>
      </w:r>
    </w:p>
    <w:p w14:paraId="158DE95E" w14:textId="77777777" w:rsidR="00231584" w:rsidRPr="00231584" w:rsidRDefault="00231584" w:rsidP="00231584">
      <w:pPr>
        <w:pStyle w:val="Bibliography"/>
      </w:pPr>
      <w:r w:rsidRPr="00231584">
        <w:t xml:space="preserve">30. </w:t>
      </w:r>
      <w:r w:rsidRPr="00231584">
        <w:tab/>
        <w:t xml:space="preserve">Zhao Q, Zhang Y, Zhang W, Li S, Chen G, Wu Y, Qiu C, Ying K, Tang H, Huang J an, Williams G, Huxley R, Guo Y. Ambient temperature and emergency department visits: Time-series analysis in 12 Chinese cities. Environmental Pollution. 2017 May 1;224:310–316. </w:t>
      </w:r>
    </w:p>
    <w:p w14:paraId="003E6FE7" w14:textId="77777777" w:rsidR="00231584" w:rsidRPr="00231584" w:rsidRDefault="00231584" w:rsidP="00231584">
      <w:pPr>
        <w:pStyle w:val="Bibliography"/>
      </w:pPr>
      <w:r w:rsidRPr="00231584">
        <w:t xml:space="preserve">31. </w:t>
      </w:r>
      <w:r w:rsidRPr="00231584">
        <w:tab/>
        <w:t xml:space="preserve">Wuebbles DJ, Fahey DW, Hibbard KA. The Climate Science Special Report (CSSR) of the Fourth National Climate Assessment (NCA4). 2016 Dec 1;2016:GC34D-04. </w:t>
      </w:r>
    </w:p>
    <w:p w14:paraId="76579F98" w14:textId="77777777" w:rsidR="00231584" w:rsidRPr="00231584" w:rsidRDefault="00231584" w:rsidP="00231584">
      <w:pPr>
        <w:pStyle w:val="Bibliography"/>
      </w:pPr>
      <w:r w:rsidRPr="00231584">
        <w:t xml:space="preserve">32. </w:t>
      </w:r>
      <w:r w:rsidRPr="00231584">
        <w:tab/>
        <w:t xml:space="preserve">Hersbach H, Bell B, Berrisford P, Hirahara S, Horányi A, Muñoz-Sabater J, Nicolas J, Peubey C, Radu R, Schepers D, Simmons A, Soci C, Abdalla S, Abellan X, Balsamo G, Bechtold P, Biavati G, Bidlot J, Bonavita M, De Chiara G, Dahlgren P, Dee D, Diamantakis M, Dragani R, Flemming J, Forbes R, Fuentes M, Geer A, Haimberger L, Healy S, Hogan RJ, Hólm E, Janisková M, Keeley S, Laloyaux P, Lopez P, Lupu C, Radnoti G, de Rosnay P, Rozum I, Vamborg F, Villaume S, Thépaut JN. The ERA5 global reanalysis. Quarterly Journal of the Royal Meteorological Society. 2020;146(730):1999–2049. </w:t>
      </w:r>
    </w:p>
    <w:p w14:paraId="1A9290A5" w14:textId="77777777" w:rsidR="00231584" w:rsidRPr="00231584" w:rsidRDefault="00231584" w:rsidP="00231584">
      <w:pPr>
        <w:pStyle w:val="Bibliography"/>
      </w:pPr>
      <w:r w:rsidRPr="00231584">
        <w:t xml:space="preserve">33. </w:t>
      </w:r>
      <w:r w:rsidRPr="00231584">
        <w:tab/>
        <w:t xml:space="preserve">Spangler KR, Weinberger KR, Wellenius GA. Suitability of gridded climate datasets for use in environmental epidemiology. J Expo Sci Environ Epidemiol. Nature Publishing Group; 2019 Nov;29(6):777–789. </w:t>
      </w:r>
    </w:p>
    <w:p w14:paraId="03C3C690" w14:textId="77777777" w:rsidR="00231584" w:rsidRPr="00231584" w:rsidRDefault="00231584" w:rsidP="00231584">
      <w:pPr>
        <w:pStyle w:val="Bibliography"/>
      </w:pPr>
      <w:r w:rsidRPr="00231584">
        <w:t xml:space="preserve">34. </w:t>
      </w:r>
      <w:r w:rsidRPr="00231584">
        <w:tab/>
        <w:t xml:space="preserve">Mistry MN, Schneider R, Masselot P, Royé D, Armstrong B, Kyselý J, Orru H, Sera F, Tong S, Lavigne É, Urban A, Madureira J, García-León D, Ibarreta D, Ciscar JC, Feyen L, de Schrijver E, de Sousa Zanotti Stagliorio Coelho M, Pascal M, Tobias A, Guo Y, Vicedo-Cabrera AM, Gasparrini A. Comparison of weather station and climate reanalysis data for modelling temperature-related mortality. Sci Rep. Nature Publishing Group; 2022 Mar 25;12(1):5178. </w:t>
      </w:r>
    </w:p>
    <w:p w14:paraId="08A533C5" w14:textId="77777777" w:rsidR="00231584" w:rsidRPr="00231584" w:rsidRDefault="00231584" w:rsidP="00231584">
      <w:pPr>
        <w:pStyle w:val="Bibliography"/>
      </w:pPr>
      <w:r w:rsidRPr="00231584">
        <w:t xml:space="preserve">35. </w:t>
      </w:r>
      <w:r w:rsidRPr="00231584">
        <w:tab/>
        <w:t xml:space="preserve">Thrasher B, Wang W, Michaelis A, Melton F, Lee T, Nemani R. NASA Global Daily Downscaled Projections, CMIP6. Sci Data. Nature Publishing Group; 2022 Jun 2;9(1):262. </w:t>
      </w:r>
    </w:p>
    <w:p w14:paraId="44BFBB8C" w14:textId="77777777" w:rsidR="00231584" w:rsidRPr="00231584" w:rsidRDefault="00231584" w:rsidP="00231584">
      <w:pPr>
        <w:pStyle w:val="Bibliography"/>
      </w:pPr>
      <w:r w:rsidRPr="00231584">
        <w:lastRenderedPageBreak/>
        <w:t xml:space="preserve">36. </w:t>
      </w:r>
      <w:r w:rsidRPr="00231584">
        <w:tab/>
        <w:t xml:space="preserve">Sera F, Gasparrini A. Extended two-stage designs for environmental research. Environmental Health. 2022 Apr 19;21(1):41. </w:t>
      </w:r>
    </w:p>
    <w:p w14:paraId="0A8ABF6E" w14:textId="77777777" w:rsidR="00231584" w:rsidRPr="00231584" w:rsidRDefault="00231584" w:rsidP="00231584">
      <w:pPr>
        <w:pStyle w:val="Bibliography"/>
      </w:pPr>
      <w:r w:rsidRPr="00231584">
        <w:t xml:space="preserve">37. </w:t>
      </w:r>
      <w:r w:rsidRPr="00231584">
        <w:tab/>
        <w:t>Gasparrini A. Distributed Lag Linear and Non-Linear Models in R: The Package dlnm. J Stat Softw. 2011 Jul;43(8):1–20. PMCID: PMC3191524</w:t>
      </w:r>
    </w:p>
    <w:p w14:paraId="07DEA313" w14:textId="77777777" w:rsidR="00231584" w:rsidRPr="00231584" w:rsidRDefault="00231584" w:rsidP="00231584">
      <w:pPr>
        <w:pStyle w:val="Bibliography"/>
      </w:pPr>
      <w:r w:rsidRPr="00231584">
        <w:t xml:space="preserve">38. </w:t>
      </w:r>
      <w:r w:rsidRPr="00231584">
        <w:tab/>
        <w:t xml:space="preserve">Vicedo-Cabrera AM, Sera F, Gasparrini A. Hands-on Tutorial on a Modeling Framework for Projections of Climate Change Impacts on Health. Epidemiology. 2019 May;30(3):321. </w:t>
      </w:r>
    </w:p>
    <w:p w14:paraId="0322C7A7" w14:textId="77777777" w:rsidR="00231584" w:rsidRPr="00231584" w:rsidRDefault="00231584" w:rsidP="00231584">
      <w:pPr>
        <w:pStyle w:val="Bibliography"/>
      </w:pPr>
      <w:r w:rsidRPr="00231584">
        <w:t xml:space="preserve">39. </w:t>
      </w:r>
      <w:r w:rsidRPr="00231584">
        <w:tab/>
        <w:t xml:space="preserve">R Core Team. R-4.1.3. 2022. </w:t>
      </w:r>
    </w:p>
    <w:p w14:paraId="68520A89" w14:textId="77777777" w:rsidR="00231584" w:rsidRPr="00231584" w:rsidRDefault="00231584" w:rsidP="00231584">
      <w:pPr>
        <w:pStyle w:val="Bibliography"/>
      </w:pPr>
      <w:r w:rsidRPr="00231584">
        <w:t xml:space="preserve">40. </w:t>
      </w:r>
      <w:r w:rsidRPr="00231584">
        <w:tab/>
        <w:t xml:space="preserve">Tang N, Stein J, Hsia RY, Maselli JH, Gonzales R. Trends and Characteristics of US Emergency Department Visits, 1997-2007. JAMA. 2010 Aug 11;304(6):664–670. </w:t>
      </w:r>
    </w:p>
    <w:p w14:paraId="2E6B24CE" w14:textId="77777777" w:rsidR="00231584" w:rsidRPr="00231584" w:rsidRDefault="00231584" w:rsidP="00231584">
      <w:pPr>
        <w:pStyle w:val="Bibliography"/>
      </w:pPr>
      <w:r w:rsidRPr="00231584">
        <w:t xml:space="preserve">41. </w:t>
      </w:r>
      <w:r w:rsidRPr="00231584">
        <w:tab/>
        <w:t xml:space="preserve">Lay CR, Mills D, Belova A, Sarofim MC, Kinney PL, Vaidyanathan A, Jones R, Hall R, Saha S. Emergency Department Visits and Ambient Temperature: Evaluating the Connection and Projecting Future Outcomes. GeoHealth. 2018;2(6):182–194. </w:t>
      </w:r>
    </w:p>
    <w:p w14:paraId="5F6FC70E" w14:textId="77777777" w:rsidR="00231584" w:rsidRPr="00231584" w:rsidRDefault="00231584" w:rsidP="00231584">
      <w:pPr>
        <w:pStyle w:val="Bibliography"/>
      </w:pPr>
      <w:r w:rsidRPr="00231584">
        <w:t xml:space="preserve">42. </w:t>
      </w:r>
      <w:r w:rsidRPr="00231584">
        <w:tab/>
        <w:t xml:space="preserve">Hess JJ, Saha S, Luber G. Summertime Acute Heat Illness in U.S. Emergency Departments from 2006 through 2010: Analysis of a Nationally Representative Sample. Environmental Health Perspectives. 2014 Nov;122(11):1209–1215. </w:t>
      </w:r>
    </w:p>
    <w:p w14:paraId="5E344438" w14:textId="77777777" w:rsidR="00231584" w:rsidRPr="00231584" w:rsidRDefault="00231584" w:rsidP="00231584">
      <w:pPr>
        <w:pStyle w:val="Bibliography"/>
      </w:pPr>
      <w:r w:rsidRPr="00231584">
        <w:t xml:space="preserve">43. </w:t>
      </w:r>
      <w:r w:rsidRPr="00231584">
        <w:tab/>
        <w:t xml:space="preserve">Weinberger KR, Kirwa K, Eliot MN, Gold J, Suh HH, Wellenius GA. Projected Changes in Temperature-related Morbidity and Mortality in Southern New England. Epidemiology. 2018 Jul;29(4):473. </w:t>
      </w:r>
    </w:p>
    <w:p w14:paraId="1629F3E9" w14:textId="77777777" w:rsidR="00231584" w:rsidRPr="00231584" w:rsidRDefault="00231584" w:rsidP="00231584">
      <w:pPr>
        <w:pStyle w:val="Bibliography"/>
      </w:pPr>
      <w:r w:rsidRPr="00231584">
        <w:t xml:space="preserve">44. </w:t>
      </w:r>
      <w:r w:rsidRPr="00231584">
        <w:tab/>
        <w:t xml:space="preserve">Lippmann SJ, Fuhrmann CM, Waller AE, Richardson DB. Ambient temperature and emergency department visits for heat-related illness in North Carolina, 2007–2008. Environmental Research. 2013 Jul 1;124:35–42. </w:t>
      </w:r>
    </w:p>
    <w:p w14:paraId="627EE3C5" w14:textId="77777777" w:rsidR="00231584" w:rsidRPr="00231584" w:rsidRDefault="00231584" w:rsidP="00231584">
      <w:pPr>
        <w:pStyle w:val="Bibliography"/>
      </w:pPr>
      <w:r w:rsidRPr="00231584">
        <w:t xml:space="preserve">45. </w:t>
      </w:r>
      <w:r w:rsidRPr="00231584">
        <w:tab/>
        <w:t xml:space="preserve">Cleland SE, Steinhardt W, Neas LM, Jason West J, Rappold AG. Urban heat island impacts on heat-related cardiovascular morbidity: A time series analysis of older adults in US metropolitan areas. Environment International. 2023 Aug 1;178:108005. </w:t>
      </w:r>
    </w:p>
    <w:p w14:paraId="38F4EA43" w14:textId="77777777" w:rsidR="00231584" w:rsidRPr="00231584" w:rsidRDefault="00231584" w:rsidP="00231584">
      <w:pPr>
        <w:pStyle w:val="Bibliography"/>
      </w:pPr>
      <w:r w:rsidRPr="00231584">
        <w:t xml:space="preserve">46. </w:t>
      </w:r>
      <w:r w:rsidRPr="00231584">
        <w:tab/>
        <w:t xml:space="preserve">Cheng BJ, Li H, Meng K, Li TL, Meng XC, Wang J, Wang C, Jiang N, Sun MJ, Yang L, Zhu XY, Liu R. Short-term effects of heatwaves on clinical and subclinical cardiovascular indicators in Chinese adults: A distributed lag analysis. Environment International. 2024 Jan 1;183:108358. </w:t>
      </w:r>
    </w:p>
    <w:p w14:paraId="26CBE32F" w14:textId="77777777" w:rsidR="00231584" w:rsidRPr="00231584" w:rsidRDefault="00231584" w:rsidP="00231584">
      <w:pPr>
        <w:pStyle w:val="Bibliography"/>
      </w:pPr>
      <w:r w:rsidRPr="00231584">
        <w:t xml:space="preserve">47. </w:t>
      </w:r>
      <w:r w:rsidRPr="00231584">
        <w:tab/>
        <w:t>Wettstein ZS, Hall J, Buck C, Mitchell SH, Hess JJ. Impacts of the 2021 heat dome on emergency department visits, hospitalizations, and health system operations in three hospitals in Seattle, Washington. J Am Coll Emerg Physicians Open. 2024 Feb;5(1):e13098. PMCID: PMC10799240</w:t>
      </w:r>
    </w:p>
    <w:p w14:paraId="76D7498E" w14:textId="77777777" w:rsidR="00231584" w:rsidRPr="00231584" w:rsidRDefault="00231584" w:rsidP="00231584">
      <w:pPr>
        <w:pStyle w:val="Bibliography"/>
      </w:pPr>
      <w:r w:rsidRPr="00231584">
        <w:t xml:space="preserve">48. </w:t>
      </w:r>
      <w:r w:rsidRPr="00231584">
        <w:tab/>
        <w:t>Toloo G (Sam), Hu W, FitzGerald G, Aitken P, Tong S. Projecting excess emergency department visits and associated costs in Brisbane, Australia, under population growth and climate change scenarios. Sci Rep. 2015 Aug 6;5:12860. PMCID: PMC4526860</w:t>
      </w:r>
    </w:p>
    <w:p w14:paraId="3C2DB15D" w14:textId="77777777" w:rsidR="00231584" w:rsidRPr="00231584" w:rsidRDefault="00231584" w:rsidP="00231584">
      <w:pPr>
        <w:pStyle w:val="Bibliography"/>
      </w:pPr>
      <w:r w:rsidRPr="00231584">
        <w:t xml:space="preserve">49. </w:t>
      </w:r>
      <w:r w:rsidRPr="00231584">
        <w:tab/>
        <w:t>Gasparrini A, Armstrong B. The impact of heat waves on mortality. Epidemiology. 2011 Jan;22(1):68–73. PMCID: PMC3324776</w:t>
      </w:r>
    </w:p>
    <w:p w14:paraId="3FFA2277" w14:textId="77777777" w:rsidR="00231584" w:rsidRPr="00231584" w:rsidRDefault="00231584" w:rsidP="00231584">
      <w:pPr>
        <w:pStyle w:val="Bibliography"/>
      </w:pPr>
      <w:r w:rsidRPr="00231584">
        <w:lastRenderedPageBreak/>
        <w:t xml:space="preserve">50. </w:t>
      </w:r>
      <w:r w:rsidRPr="00231584">
        <w:tab/>
        <w:t xml:space="preserve">Wang Y, Nordio F, Nairn J, Zanobetti A, Schwartz JD. Accounting for adaptation and intensity in projecting heat wave-related mortality. Environmental Research. 2018 Feb 1;161:464–471. </w:t>
      </w:r>
    </w:p>
    <w:p w14:paraId="7A08F55C" w14:textId="77777777" w:rsidR="00231584" w:rsidRPr="00231584" w:rsidRDefault="00231584" w:rsidP="00231584">
      <w:pPr>
        <w:pStyle w:val="Bibliography"/>
      </w:pPr>
      <w:r w:rsidRPr="00231584">
        <w:t xml:space="preserve">51. </w:t>
      </w:r>
      <w:r w:rsidRPr="00231584">
        <w:tab/>
        <w:t xml:space="preserve">Hauer ME. Population projections for U.S. counties by age, sex, and race controlled to shared socioeconomic pathway. Sci Data. Nature Publishing Group; 2019 Feb 5;6(1):190005. </w:t>
      </w:r>
    </w:p>
    <w:p w14:paraId="44B9CB39" w14:textId="77777777" w:rsidR="00231584" w:rsidRPr="00231584" w:rsidRDefault="00231584" w:rsidP="00231584">
      <w:pPr>
        <w:pStyle w:val="Bibliography"/>
      </w:pPr>
      <w:r w:rsidRPr="00231584">
        <w:t xml:space="preserve">52. </w:t>
      </w:r>
      <w:r w:rsidRPr="00231584">
        <w:tab/>
        <w:t xml:space="preserve">Milando CW, Sun Y, Romitti Y, Nori-Sarma A, Gause EL, Spangler KR, Sue Wing I, Wellenius GA. Generalizability of heat-related health risk associations observed in a large healthcare claims database of patients with commercial health insurance. Epidemiology. 2024 Aug 1;10.1097/EDE.0000000000001781. </w:t>
      </w:r>
    </w:p>
    <w:p w14:paraId="26B62CD7" w14:textId="77777777" w:rsidR="00231584" w:rsidRPr="00231584" w:rsidRDefault="00231584" w:rsidP="00231584">
      <w:pPr>
        <w:pStyle w:val="Bibliography"/>
      </w:pPr>
      <w:r w:rsidRPr="00231584">
        <w:t xml:space="preserve">53. </w:t>
      </w:r>
      <w:r w:rsidRPr="00231584">
        <w:tab/>
        <w:t xml:space="preserve">Burke M, Dykema J, Lobell DB, Miguel E, Satyanath S. Incorporating Climate Uncertainty into Estimates of Climate Change Impacts. The Review of Economics and Statistics. 2015 May 1;97(2):461–471. </w:t>
      </w:r>
    </w:p>
    <w:p w14:paraId="35E2F37F" w14:textId="77777777" w:rsidR="00231584" w:rsidRPr="00231584" w:rsidRDefault="00231584" w:rsidP="00231584">
      <w:pPr>
        <w:pStyle w:val="Bibliography"/>
      </w:pPr>
      <w:r w:rsidRPr="00231584">
        <w:t xml:space="preserve">54. </w:t>
      </w:r>
      <w:r w:rsidRPr="00231584">
        <w:tab/>
        <w:t xml:space="preserve">Mahmoud H, Gadgil M, Hassan EM, Martin M, Castillo EG, Diem S, Krieger E. Hospital Capacity Data and Extreme Heat Event Vulnerability. JAMA Network Open. 2024 Sep 11;7(9):e2432578. </w:t>
      </w:r>
    </w:p>
    <w:p w14:paraId="4D4F3D27" w14:textId="7306C3B7" w:rsidR="00E80E4F" w:rsidRPr="00EA2673" w:rsidRDefault="00E80E4F" w:rsidP="00124FD6">
      <w:pPr>
        <w:spacing w:line="240" w:lineRule="auto"/>
        <w:jc w:val="left"/>
      </w:pPr>
      <w:r>
        <w:fldChar w:fldCharType="end"/>
      </w:r>
    </w:p>
    <w:p w14:paraId="73E9CD84" w14:textId="77777777" w:rsidR="00E80E4F" w:rsidRPr="00EA2673" w:rsidRDefault="00E80E4F" w:rsidP="00E80E4F">
      <w:r w:rsidRPr="00EA2673">
        <w:br w:type="page"/>
      </w:r>
    </w:p>
    <w:p w14:paraId="6B7E44AD" w14:textId="79B9BDB2" w:rsidR="00E80E4F" w:rsidRDefault="00210E75" w:rsidP="00E80E4F">
      <w:pPr>
        <w:pStyle w:val="Heading1"/>
        <w:numPr>
          <w:ilvl w:val="0"/>
          <w:numId w:val="0"/>
        </w:numPr>
        <w:ind w:left="432" w:hanging="432"/>
      </w:pPr>
      <w:r>
        <w:lastRenderedPageBreak/>
        <w:t>FIGURES</w:t>
      </w:r>
    </w:p>
    <w:p w14:paraId="661D871F" w14:textId="2A20CB88" w:rsidR="00E80E4F" w:rsidRPr="00EA2673" w:rsidRDefault="00802362" w:rsidP="00E80E4F">
      <w:pPr>
        <w:pStyle w:val="NoSpacing"/>
        <w:jc w:val="center"/>
        <w:rPr>
          <w:rFonts w:ascii="Calibri" w:hAnsi="Calibri" w:cs="Calibri"/>
        </w:rPr>
      </w:pPr>
      <w:r w:rsidRPr="008F761C">
        <w:rPr>
          <w:rFonts w:ascii="Calibri" w:hAnsi="Calibri" w:cs="Calibri"/>
          <w:noProof/>
        </w:rPr>
        <w:drawing>
          <wp:inline distT="0" distB="0" distL="0" distR="0" wp14:anchorId="2FDCB5E4" wp14:editId="2445D951">
            <wp:extent cx="5551714" cy="3816804"/>
            <wp:effectExtent l="0" t="0" r="0" b="6350"/>
            <wp:docPr id="1060132295" name="Picture 1" descr="A map of different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32295" name="Picture 1" descr="A map of different sta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3987" cy="3866492"/>
                    </a:xfrm>
                    <a:prstGeom prst="rect">
                      <a:avLst/>
                    </a:prstGeom>
                  </pic:spPr>
                </pic:pic>
              </a:graphicData>
            </a:graphic>
          </wp:inline>
        </w:drawing>
      </w:r>
    </w:p>
    <w:p w14:paraId="15D5AE38" w14:textId="5CE9B3AE" w:rsidR="00E80E4F" w:rsidRPr="00210E75" w:rsidRDefault="00E80E4F" w:rsidP="00210E75">
      <w:pPr>
        <w:spacing w:line="240" w:lineRule="auto"/>
      </w:pPr>
      <w:r w:rsidRPr="00210E75">
        <w:rPr>
          <w:b/>
          <w:bCs/>
          <w:u w:val="single"/>
        </w:rPr>
        <w:t>Fig 1</w:t>
      </w:r>
      <w:r w:rsidRPr="00210E75">
        <w:rPr>
          <w:b/>
          <w:bCs/>
        </w:rPr>
        <w:t>.</w:t>
      </w:r>
      <w:r w:rsidRPr="00210E75">
        <w:t xml:space="preserve"> US counties with more than </w:t>
      </w:r>
      <w:r w:rsidR="005E3F6D" w:rsidRPr="00210E75">
        <w:t>5</w:t>
      </w:r>
      <w:r w:rsidRPr="00210E75">
        <w:t xml:space="preserve">00 annual average Optum Labs Data Warehouse (OLDW) enrollees. This study included </w:t>
      </w:r>
      <w:r w:rsidR="00AD1AA7" w:rsidRPr="00210E75">
        <w:t>21,090,141</w:t>
      </w:r>
      <w:r w:rsidRPr="00210E75">
        <w:t xml:space="preserve"> OLDW enrollees in </w:t>
      </w:r>
      <w:r w:rsidR="005E3F6D" w:rsidRPr="00210E75">
        <w:t>2161</w:t>
      </w:r>
      <w:r w:rsidRPr="00210E75">
        <w:t xml:space="preserve"> US counties from 2010 to 2021. </w:t>
      </w:r>
      <w:r w:rsidR="00161804">
        <w:t>Regions defined according to the 4</w:t>
      </w:r>
      <w:r w:rsidR="00161804" w:rsidRPr="00117756">
        <w:rPr>
          <w:vertAlign w:val="superscript"/>
        </w:rPr>
        <w:t>th</w:t>
      </w:r>
      <w:r w:rsidR="00161804">
        <w:t xml:space="preserve"> National Climate Assessment (NCA4)</w:t>
      </w:r>
      <w:r w:rsidR="00161804" w:rsidRPr="00EA2673">
        <w:t>: Southeast, Southwest, Northern Great Plains, Southern Great Plains, Midwest, Northeast, and Northwes</w:t>
      </w:r>
      <w:r w:rsidR="00161804">
        <w:t>t.</w:t>
      </w:r>
    </w:p>
    <w:p w14:paraId="41895AC8" w14:textId="77777777" w:rsidR="00E80E4F" w:rsidRDefault="00E80E4F" w:rsidP="00E80E4F">
      <w:pPr>
        <w:tabs>
          <w:tab w:val="clear" w:pos="260"/>
        </w:tabs>
        <w:spacing w:after="160" w:line="259" w:lineRule="auto"/>
        <w:jc w:val="left"/>
        <w:rPr>
          <w:sz w:val="18"/>
          <w:szCs w:val="18"/>
        </w:rPr>
      </w:pPr>
      <w:r>
        <w:rPr>
          <w:sz w:val="18"/>
          <w:szCs w:val="18"/>
        </w:rPr>
        <w:br w:type="page"/>
      </w:r>
    </w:p>
    <w:p w14:paraId="4D6C8C96" w14:textId="77777777" w:rsidR="00E80E4F" w:rsidRPr="00572637" w:rsidRDefault="00E80E4F" w:rsidP="00E80E4F">
      <w:pPr>
        <w:rPr>
          <w:sz w:val="18"/>
          <w:szCs w:val="18"/>
        </w:rPr>
      </w:pPr>
    </w:p>
    <w:p w14:paraId="585A3FD7" w14:textId="77777777" w:rsidR="00E80E4F" w:rsidRPr="00EA2673" w:rsidRDefault="00E80E4F" w:rsidP="00E80E4F">
      <w:r w:rsidRPr="00EA2673">
        <w:rPr>
          <w:noProof/>
        </w:rPr>
        <w:drawing>
          <wp:inline distT="0" distB="0" distL="0" distR="0" wp14:anchorId="12335A36" wp14:editId="571879F2">
            <wp:extent cx="5943600" cy="2971800"/>
            <wp:effectExtent l="0" t="0" r="0" b="0"/>
            <wp:docPr id="2077799685" name="Imagen 4" descr="A collage of different colore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99685" name="Imagen 4" descr="A collage of different colored graph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95003C8" w14:textId="53C47523" w:rsidR="00E80E4F" w:rsidRPr="00210E75" w:rsidRDefault="00E80E4F" w:rsidP="00E80E4F">
      <w:pPr>
        <w:pStyle w:val="NoSpacing"/>
        <w:rPr>
          <w:rFonts w:ascii="Calibri" w:hAnsi="Calibri" w:cs="Calibri"/>
        </w:rPr>
      </w:pPr>
      <w:r w:rsidRPr="00210E75">
        <w:rPr>
          <w:rFonts w:ascii="Calibri" w:hAnsi="Calibri" w:cs="Calibri"/>
          <w:b/>
          <w:bCs/>
          <w:u w:val="single"/>
        </w:rPr>
        <w:t>Fig 2</w:t>
      </w:r>
      <w:r w:rsidRPr="00210E75">
        <w:rPr>
          <w:rFonts w:ascii="Calibri" w:hAnsi="Calibri" w:cs="Calibri"/>
          <w:b/>
          <w:bCs/>
        </w:rPr>
        <w:t>.</w:t>
      </w:r>
      <w:r w:rsidRPr="00210E75">
        <w:rPr>
          <w:rFonts w:ascii="Calibri" w:hAnsi="Calibri" w:cs="Calibri"/>
        </w:rPr>
        <w:t xml:space="preserve"> Graphical representation of the statistical methods used in this paper (using dummy data representing a single county). Panel (a) shows the exposure response curve resulting from a distributed lag non-linear model (DLNM). Panel (b) displays how this model is applied to the current dataset to create a multi-year timeseries of expected values of ED visit</w:t>
      </w:r>
      <w:r w:rsidR="00051C39" w:rsidRPr="00210E75">
        <w:rPr>
          <w:rFonts w:ascii="Calibri" w:hAnsi="Calibri" w:cs="Calibri"/>
        </w:rPr>
        <w:t xml:space="preserve"> counts </w:t>
      </w:r>
      <w:r w:rsidRPr="00210E75">
        <w:rPr>
          <w:rFonts w:ascii="Calibri" w:hAnsi="Calibri" w:cs="Calibri"/>
        </w:rPr>
        <w:t>in the present day data (Present E[Y]). For panel (b) and panels (c), (d) and (e), only the summer months of a single year of the multi-year time-series is shown. Panel (c) shows how the temperature change from different global climate models (GCMs) within a Shared Socio-economic Pathway (SSP) is used to estimate the expected value of future ED visit</w:t>
      </w:r>
      <w:r w:rsidR="00051C39" w:rsidRPr="00210E75">
        <w:rPr>
          <w:rFonts w:ascii="Calibri" w:hAnsi="Calibri" w:cs="Calibri"/>
        </w:rPr>
        <w:t xml:space="preserve">s </w:t>
      </w:r>
      <w:r w:rsidRPr="00210E75">
        <w:rPr>
          <w:rFonts w:ascii="Calibri" w:hAnsi="Calibri" w:cs="Calibri"/>
        </w:rPr>
        <w:t xml:space="preserve">resulting from a time-series of present-day temperatures shifted by the estimates of each GCM (e.g., </w:t>
      </w:r>
      <w:r w:rsidR="004D7757" w:rsidRPr="00210E75">
        <w:rPr>
          <w:rFonts w:ascii="Calibri" w:hAnsi="Calibri" w:cs="Calibri"/>
        </w:rPr>
        <w:t>2-4.5</w:t>
      </w:r>
      <w:r w:rsidRPr="00210E75">
        <w:rPr>
          <w:rFonts w:ascii="Calibri" w:hAnsi="Calibri" w:cs="Calibri"/>
        </w:rPr>
        <w:t xml:space="preserve">_A, </w:t>
      </w:r>
      <w:r w:rsidR="004D7757" w:rsidRPr="00210E75">
        <w:rPr>
          <w:rFonts w:ascii="Calibri" w:hAnsi="Calibri" w:cs="Calibri"/>
        </w:rPr>
        <w:t>2-4.5</w:t>
      </w:r>
      <w:r w:rsidRPr="00210E75">
        <w:rPr>
          <w:rFonts w:ascii="Calibri" w:hAnsi="Calibri" w:cs="Calibri"/>
        </w:rPr>
        <w:t xml:space="preserve">_B, and </w:t>
      </w:r>
      <w:r w:rsidR="004D7757" w:rsidRPr="00210E75">
        <w:rPr>
          <w:rFonts w:ascii="Calibri" w:hAnsi="Calibri" w:cs="Calibri"/>
        </w:rPr>
        <w:t>2-4.5</w:t>
      </w:r>
      <w:r w:rsidRPr="00210E75">
        <w:rPr>
          <w:rFonts w:ascii="Calibri" w:hAnsi="Calibri" w:cs="Calibri"/>
        </w:rPr>
        <w:t xml:space="preserve">_C all represent different GCMs under SSP </w:t>
      </w:r>
      <w:r w:rsidR="004D7757" w:rsidRPr="00210E75">
        <w:rPr>
          <w:rFonts w:ascii="Calibri" w:hAnsi="Calibri" w:cs="Calibri"/>
        </w:rPr>
        <w:t>2-4.5</w:t>
      </w:r>
      <w:r w:rsidRPr="00210E75">
        <w:rPr>
          <w:rFonts w:ascii="Calibri" w:hAnsi="Calibri" w:cs="Calibri"/>
        </w:rPr>
        <w:t>). Panel (d) shows the bootstrapped difference between present and future expected values and the empirical confidence intervals (</w:t>
      </w:r>
      <w:proofErr w:type="spellStart"/>
      <w:r w:rsidRPr="00210E75">
        <w:rPr>
          <w:rFonts w:ascii="Calibri" w:hAnsi="Calibri" w:cs="Calibri"/>
        </w:rPr>
        <w:t>eCI</w:t>
      </w:r>
      <w:proofErr w:type="spellEnd"/>
      <w:r w:rsidRPr="00210E75">
        <w:rPr>
          <w:rFonts w:ascii="Calibri" w:hAnsi="Calibri" w:cs="Calibri"/>
        </w:rPr>
        <w:t xml:space="preserve"> 95%). Panel (e) shows the daily bootstrapped difference across all GCMs within an SSP (i.e., the differences in </w:t>
      </w:r>
      <w:r w:rsidR="004D7757" w:rsidRPr="00210E75">
        <w:rPr>
          <w:rFonts w:ascii="Calibri" w:hAnsi="Calibri" w:cs="Calibri"/>
        </w:rPr>
        <w:t>2-4.5</w:t>
      </w:r>
      <w:r w:rsidRPr="00210E75">
        <w:rPr>
          <w:rFonts w:ascii="Calibri" w:hAnsi="Calibri" w:cs="Calibri"/>
        </w:rPr>
        <w:t xml:space="preserve">_A, </w:t>
      </w:r>
      <w:r w:rsidR="004D7757" w:rsidRPr="00210E75">
        <w:rPr>
          <w:rFonts w:ascii="Calibri" w:hAnsi="Calibri" w:cs="Calibri"/>
        </w:rPr>
        <w:t>2-4.5</w:t>
      </w:r>
      <w:r w:rsidRPr="00210E75">
        <w:rPr>
          <w:rFonts w:ascii="Calibri" w:hAnsi="Calibri" w:cs="Calibri"/>
        </w:rPr>
        <w:t xml:space="preserve">_B, and </w:t>
      </w:r>
      <w:r w:rsidR="004D7757" w:rsidRPr="00210E75">
        <w:rPr>
          <w:rFonts w:ascii="Calibri" w:hAnsi="Calibri" w:cs="Calibri"/>
        </w:rPr>
        <w:t>2-4.5</w:t>
      </w:r>
      <w:r w:rsidRPr="00210E75">
        <w:rPr>
          <w:rFonts w:ascii="Calibri" w:hAnsi="Calibri" w:cs="Calibri"/>
        </w:rPr>
        <w:t xml:space="preserve">_C are combined into </w:t>
      </w:r>
      <w:r w:rsidR="004D7757" w:rsidRPr="00210E75">
        <w:rPr>
          <w:rFonts w:ascii="Calibri" w:hAnsi="Calibri" w:cs="Calibri"/>
        </w:rPr>
        <w:t>2-4.5</w:t>
      </w:r>
      <w:r w:rsidRPr="00210E75">
        <w:rPr>
          <w:rFonts w:ascii="Calibri" w:hAnsi="Calibri" w:cs="Calibri"/>
        </w:rPr>
        <w:t>_*). Panel (f) shows the mean and empirical confidence interval (</w:t>
      </w:r>
      <w:proofErr w:type="spellStart"/>
      <w:r w:rsidRPr="00210E75">
        <w:rPr>
          <w:rFonts w:ascii="Calibri" w:hAnsi="Calibri" w:cs="Calibri"/>
        </w:rPr>
        <w:t>eCI</w:t>
      </w:r>
      <w:proofErr w:type="spellEnd"/>
      <w:r w:rsidRPr="00210E75">
        <w:rPr>
          <w:rFonts w:ascii="Calibri" w:hAnsi="Calibri" w:cs="Calibri"/>
        </w:rPr>
        <w:t>) of the combined difference at the average monthly level across the entire timeseries, obtained by bootstrapping and summing values by region and month.</w:t>
      </w:r>
      <w:r w:rsidR="00051C39" w:rsidRPr="00210E75">
        <w:rPr>
          <w:rFonts w:ascii="Calibri" w:hAnsi="Calibri" w:cs="Calibri"/>
        </w:rPr>
        <w:t xml:space="preserve"> </w:t>
      </w:r>
    </w:p>
    <w:p w14:paraId="2DADDFFB" w14:textId="77777777" w:rsidR="00E80E4F" w:rsidRPr="00210E75" w:rsidRDefault="00E80E4F" w:rsidP="00E80E4F">
      <w:pPr>
        <w:tabs>
          <w:tab w:val="clear" w:pos="260"/>
        </w:tabs>
        <w:spacing w:after="160" w:line="259" w:lineRule="auto"/>
        <w:jc w:val="left"/>
      </w:pPr>
      <w:r w:rsidRPr="00210E75">
        <w:br w:type="page"/>
      </w:r>
    </w:p>
    <w:p w14:paraId="143777DC" w14:textId="447A01E2" w:rsidR="00815086" w:rsidRPr="00EA2673" w:rsidRDefault="0006696F" w:rsidP="005B0EDC">
      <w:pPr>
        <w:jc w:val="center"/>
      </w:pPr>
      <w:r>
        <w:rPr>
          <w:noProof/>
        </w:rPr>
        <w:lastRenderedPageBreak/>
        <w:drawing>
          <wp:inline distT="0" distB="0" distL="0" distR="0" wp14:anchorId="17A70EF3" wp14:editId="318AD57F">
            <wp:extent cx="5943600" cy="2971800"/>
            <wp:effectExtent l="0" t="0" r="0" b="0"/>
            <wp:docPr id="539749146" name="Picture 1" descr="A group of graphs showing different types of w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49146" name="Picture 1" descr="A group of graphs showing different types of wea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4961C7A" w14:textId="5B810E2D" w:rsidR="00E80E4F" w:rsidRPr="00210E75" w:rsidRDefault="00E80E4F" w:rsidP="00210E75">
      <w:pPr>
        <w:spacing w:line="240" w:lineRule="auto"/>
      </w:pPr>
      <w:r w:rsidRPr="00210E75">
        <w:rPr>
          <w:b/>
          <w:bCs/>
          <w:u w:val="single"/>
        </w:rPr>
        <w:t>Fig 3</w:t>
      </w:r>
      <w:r w:rsidRPr="00210E75">
        <w:t xml:space="preserve">. </w:t>
      </w:r>
      <w:r w:rsidR="007606FF" w:rsidRPr="00210E75">
        <w:t>The exposure-response relationship</w:t>
      </w:r>
      <w:r w:rsidR="001A59B8" w:rsidRPr="00210E75">
        <w:t xml:space="preserve"> and 95% confidence interval (CI)</w:t>
      </w:r>
      <w:r w:rsidR="007606FF" w:rsidRPr="00210E75">
        <w:t xml:space="preserve"> for daily </w:t>
      </w:r>
      <w:r w:rsidR="00E67CE9" w:rsidRPr="00210E75">
        <w:t>maximum</w:t>
      </w:r>
      <w:r w:rsidR="007606FF" w:rsidRPr="00210E75">
        <w:t xml:space="preserve"> temperature and the relative risk of all-cause Emergency Department (ED) visits for OLDW enrollees in 2161 counties in the contiguous US from 2010 to 2021. </w:t>
      </w:r>
      <w:r w:rsidR="00635662" w:rsidRPr="00210E75">
        <w:t xml:space="preserve">The reference </w:t>
      </w:r>
      <w:r w:rsidR="00740F04" w:rsidRPr="00210E75">
        <w:t>point</w:t>
      </w:r>
      <w:r w:rsidR="009E48EB" w:rsidRPr="00210E75">
        <w:t xml:space="preserve"> for </w:t>
      </w:r>
      <w:r w:rsidR="00740F04" w:rsidRPr="00210E75">
        <w:t xml:space="preserve">estimating the </w:t>
      </w:r>
      <w:r w:rsidR="009E48EB" w:rsidRPr="00210E75">
        <w:t xml:space="preserve">relative risk in each </w:t>
      </w:r>
      <w:r w:rsidR="00EF6FE3">
        <w:t xml:space="preserve">NCA4 </w:t>
      </w:r>
      <w:r w:rsidR="009E48EB" w:rsidRPr="00210E75">
        <w:t>region is represented by the temperature with the lowest relative risk of an ED visit</w:t>
      </w:r>
      <w:r w:rsidR="009B39FE" w:rsidRPr="00210E75">
        <w:t>.</w:t>
      </w:r>
      <w:r w:rsidRPr="00210E75">
        <w:t xml:space="preserve"> The dotted portion of each</w:t>
      </w:r>
      <w:r w:rsidR="00943BDE" w:rsidRPr="00210E75">
        <w:t xml:space="preserve"> exposure-response</w:t>
      </w:r>
      <w:r w:rsidRPr="00210E75">
        <w:t xml:space="preserve"> curve shows the linear projection </w:t>
      </w:r>
      <w:r w:rsidR="00943BDE" w:rsidRPr="00210E75">
        <w:t>for temperatures above the range of temperatures in 2010 to 2021</w:t>
      </w:r>
      <w:r w:rsidRPr="00210E75">
        <w:t xml:space="preserve">. The density plots beneath show the current (bordered in grey) and future (bordered in black) temperature distributions given the median of </w:t>
      </w:r>
      <w:r w:rsidR="006373BC" w:rsidRPr="00210E75">
        <w:t>SSP</w:t>
      </w:r>
      <w:r w:rsidR="004D7757" w:rsidRPr="00210E75">
        <w:t>5-8.5</w:t>
      </w:r>
      <w:r w:rsidRPr="00210E75">
        <w:t xml:space="preserve"> scenarios. </w:t>
      </w:r>
    </w:p>
    <w:p w14:paraId="5DCF3955" w14:textId="77777777" w:rsidR="00E80E4F" w:rsidRDefault="00E80E4F" w:rsidP="00E80E4F">
      <w:pPr>
        <w:tabs>
          <w:tab w:val="clear" w:pos="260"/>
        </w:tabs>
        <w:spacing w:after="160" w:line="259" w:lineRule="auto"/>
        <w:jc w:val="left"/>
        <w:rPr>
          <w:sz w:val="18"/>
          <w:szCs w:val="18"/>
        </w:rPr>
      </w:pPr>
      <w:r>
        <w:rPr>
          <w:sz w:val="18"/>
          <w:szCs w:val="18"/>
        </w:rPr>
        <w:br w:type="page"/>
      </w:r>
    </w:p>
    <w:p w14:paraId="127FEAEB" w14:textId="3437A8D9" w:rsidR="005221E2" w:rsidRDefault="005221E2">
      <w:pPr>
        <w:tabs>
          <w:tab w:val="clear" w:pos="260"/>
        </w:tabs>
        <w:spacing w:after="160" w:line="259" w:lineRule="auto"/>
        <w:jc w:val="left"/>
        <w:rPr>
          <w:b/>
          <w:bCs/>
        </w:rPr>
      </w:pPr>
    </w:p>
    <w:p w14:paraId="4F16EA4E" w14:textId="00900049" w:rsidR="00B60480" w:rsidRDefault="00BF5143" w:rsidP="00A9034E">
      <w:pPr>
        <w:tabs>
          <w:tab w:val="clear" w:pos="260"/>
        </w:tabs>
        <w:spacing w:after="160" w:line="259" w:lineRule="auto"/>
        <w:jc w:val="left"/>
        <w:rPr>
          <w:b/>
          <w:bCs/>
        </w:rPr>
      </w:pPr>
      <w:r>
        <w:rPr>
          <w:b/>
          <w:bCs/>
          <w:noProof/>
        </w:rPr>
        <w:drawing>
          <wp:inline distT="0" distB="0" distL="0" distR="0" wp14:anchorId="2F67B082" wp14:editId="3F2AFD87">
            <wp:extent cx="5943600" cy="3472815"/>
            <wp:effectExtent l="0" t="0" r="0" b="0"/>
            <wp:docPr id="166903763" name="Picture 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3763" name="Picture 3" descr="A map of the wor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72815"/>
                    </a:xfrm>
                    <a:prstGeom prst="rect">
                      <a:avLst/>
                    </a:prstGeom>
                  </pic:spPr>
                </pic:pic>
              </a:graphicData>
            </a:graphic>
          </wp:inline>
        </w:drawing>
      </w:r>
    </w:p>
    <w:p w14:paraId="53F99B40" w14:textId="30F64FE2" w:rsidR="0069081F" w:rsidRPr="00210E75" w:rsidRDefault="0069081F" w:rsidP="00210E75">
      <w:pPr>
        <w:spacing w:line="240" w:lineRule="auto"/>
      </w:pPr>
      <w:r w:rsidRPr="00210E75">
        <w:rPr>
          <w:b/>
          <w:bCs/>
          <w:u w:val="single"/>
        </w:rPr>
        <w:t xml:space="preserve">Fig </w:t>
      </w:r>
      <w:r w:rsidR="00E33508" w:rsidRPr="00210E75">
        <w:rPr>
          <w:b/>
          <w:bCs/>
          <w:u w:val="single"/>
        </w:rPr>
        <w:t>4</w:t>
      </w:r>
      <w:r w:rsidRPr="00210E75">
        <w:rPr>
          <w:b/>
          <w:bCs/>
          <w:u w:val="single"/>
        </w:rPr>
        <w:t>.</w:t>
      </w:r>
      <w:r w:rsidR="0030349B" w:rsidRPr="00210E75">
        <w:t xml:space="preserve">  </w:t>
      </w:r>
      <w:r w:rsidR="0020299F" w:rsidRPr="00210E75">
        <w:t>For the high emission scenario (SSP5-8.5), (a) boxplots showing the distribution of future high utilization days per year by NCA4 Region</w:t>
      </w:r>
      <w:r w:rsidR="00423F68" w:rsidRPr="00210E75">
        <w:t xml:space="preserve">, </w:t>
      </w:r>
      <w:r w:rsidR="002508DF" w:rsidRPr="00210E75">
        <w:t xml:space="preserve">(b) </w:t>
      </w:r>
      <w:r w:rsidR="0020299F" w:rsidRPr="00210E75">
        <w:t xml:space="preserve">the </w:t>
      </w:r>
      <w:r w:rsidR="002508DF" w:rsidRPr="00210E75">
        <w:t>c</w:t>
      </w:r>
      <w:r w:rsidR="005644C3" w:rsidRPr="00210E75">
        <w:t xml:space="preserve">umulative </w:t>
      </w:r>
      <w:r w:rsidR="006D2D7B" w:rsidRPr="00210E75">
        <w:t>proportion</w:t>
      </w:r>
      <w:r w:rsidR="00BA787F" w:rsidRPr="00210E75">
        <w:t xml:space="preserve"> (%)</w:t>
      </w:r>
      <w:r w:rsidR="00402CA4" w:rsidRPr="00210E75">
        <w:t xml:space="preserve"> of counties experiencing </w:t>
      </w:r>
      <w:r w:rsidR="002F159E" w:rsidRPr="00210E75">
        <w:t>high utilization days</w:t>
      </w:r>
      <w:r w:rsidR="006D2D7B" w:rsidRPr="00210E75">
        <w:t xml:space="preserve"> using</w:t>
      </w:r>
      <w:r w:rsidR="0020299F" w:rsidRPr="00210E75">
        <w:t xml:space="preserve"> projected</w:t>
      </w:r>
      <w:r w:rsidR="006D2D7B" w:rsidRPr="00210E75">
        <w:t xml:space="preserve"> temperatures</w:t>
      </w:r>
      <w:r w:rsidR="008A1208" w:rsidRPr="00210E75">
        <w:t xml:space="preserve">, and the (c) spatial </w:t>
      </w:r>
      <w:r w:rsidR="00216604" w:rsidRPr="00210E75">
        <w:t>distribution of county-specific changes</w:t>
      </w:r>
      <w:r w:rsidR="00D533E4" w:rsidRPr="00210E75">
        <w:t xml:space="preserve"> (%)</w:t>
      </w:r>
      <w:r w:rsidR="00216604" w:rsidRPr="00210E75">
        <w:t xml:space="preserve"> in the </w:t>
      </w:r>
      <w:r w:rsidR="00D533E4" w:rsidRPr="00210E75">
        <w:t>number of high utilization days</w:t>
      </w:r>
      <w:r w:rsidR="005A6B9C" w:rsidRPr="00210E75">
        <w:t>.</w:t>
      </w:r>
      <w:r w:rsidR="00D533E4" w:rsidRPr="00210E75">
        <w:t xml:space="preserve"> In each plot, a high utilization day is one with a</w:t>
      </w:r>
      <w:r w:rsidR="00162DAB" w:rsidRPr="00210E75">
        <w:t>n</w:t>
      </w:r>
      <w:r w:rsidR="00D533E4" w:rsidRPr="00210E75">
        <w:t xml:space="preserve"> emergency department (ED) visit count greater than the annual 95</w:t>
      </w:r>
      <w:r w:rsidR="00D533E4" w:rsidRPr="00210E75">
        <w:rPr>
          <w:vertAlign w:val="superscript"/>
        </w:rPr>
        <w:t>th</w:t>
      </w:r>
      <w:r w:rsidR="00D533E4" w:rsidRPr="00210E75">
        <w:t xml:space="preserve"> percentile of daily ED visits.</w:t>
      </w:r>
    </w:p>
    <w:p w14:paraId="5063EB1F" w14:textId="70821C4C" w:rsidR="00E80E4F" w:rsidRDefault="00E80E4F" w:rsidP="00E80E4F">
      <w:pPr>
        <w:tabs>
          <w:tab w:val="clear" w:pos="260"/>
        </w:tabs>
        <w:spacing w:after="160" w:line="259" w:lineRule="auto"/>
        <w:jc w:val="left"/>
        <w:rPr>
          <w:b/>
          <w:bCs/>
        </w:rPr>
      </w:pPr>
      <w:r>
        <w:br w:type="page"/>
      </w:r>
    </w:p>
    <w:p w14:paraId="243FF57B" w14:textId="2EE4A1F8" w:rsidR="00E80E4F" w:rsidRPr="006C23DA" w:rsidRDefault="00CE4478" w:rsidP="00E80E4F">
      <w:pPr>
        <w:pStyle w:val="Heading1"/>
        <w:numPr>
          <w:ilvl w:val="0"/>
          <w:numId w:val="0"/>
        </w:numPr>
        <w:ind w:left="432" w:hanging="432"/>
      </w:pPr>
      <w:r>
        <w:lastRenderedPageBreak/>
        <w:t>TABLES</w:t>
      </w:r>
    </w:p>
    <w:p w14:paraId="44B934C4" w14:textId="2324447E" w:rsidR="00E80E4F" w:rsidRPr="009C7969" w:rsidRDefault="00E80E4F" w:rsidP="009C7969">
      <w:pPr>
        <w:spacing w:line="240" w:lineRule="auto"/>
      </w:pPr>
      <w:r w:rsidRPr="009C7969">
        <w:rPr>
          <w:b/>
          <w:bCs/>
          <w:u w:val="single"/>
        </w:rPr>
        <w:t>Table 1</w:t>
      </w:r>
      <w:r w:rsidRPr="009C7969">
        <w:t xml:space="preserve">. </w:t>
      </w:r>
      <w:r w:rsidR="00990516" w:rsidRPr="009C7969">
        <w:t>Modeled</w:t>
      </w:r>
      <w:r w:rsidRPr="009C7969">
        <w:t xml:space="preserve"> </w:t>
      </w:r>
      <w:r w:rsidR="006729E2">
        <w:t xml:space="preserve">median </w:t>
      </w:r>
      <w:r w:rsidR="00D94A5B" w:rsidRPr="009C7969">
        <w:t xml:space="preserve">changes in </w:t>
      </w:r>
      <w:r w:rsidRPr="009C7969">
        <w:t xml:space="preserve">annual Optum Labs Data Warehouse (OLDW) Emergency Department (ED) visits </w:t>
      </w:r>
      <w:r w:rsidR="00EF6FE3">
        <w:t xml:space="preserve">by NCA4 region </w:t>
      </w:r>
      <w:r w:rsidRPr="009C7969">
        <w:t xml:space="preserve">due only to Mid-century (2040-2050) temperatures from Shared Socio-economic Pathway (SSP) model </w:t>
      </w:r>
      <w:r w:rsidR="004D7757" w:rsidRPr="009C7969">
        <w:t>5-8.5</w:t>
      </w:r>
      <w:r w:rsidR="00CE4478">
        <w:t>.</w:t>
      </w:r>
      <w:r w:rsidRPr="009C7969">
        <w:t xml:space="preserve"> </w:t>
      </w:r>
      <w:r w:rsidR="00B3150B" w:rsidRPr="009C7969">
        <w:t xml:space="preserve">Present-day and future modeled ED visits are estimated using </w:t>
      </w:r>
      <w:r w:rsidRPr="009C7969">
        <w:t>distributed lag non-linear models (DLNMs)</w:t>
      </w:r>
      <w:r w:rsidR="00CE4478">
        <w:t xml:space="preserve"> and </w:t>
      </w:r>
      <w:r w:rsidR="00CE4478" w:rsidRPr="009C7969">
        <w:t>using 2010-2021 ED visits among 21,090,141 OLDW enrollees in 2,161 US counties</w:t>
      </w:r>
      <w:r w:rsidR="00B3150B" w:rsidRPr="009C7969">
        <w:t xml:space="preserve">. The change in annual average ED visits </w:t>
      </w:r>
      <w:r w:rsidR="00CE4478">
        <w:t>wa</w:t>
      </w:r>
      <w:r w:rsidR="00B3150B" w:rsidRPr="009C7969">
        <w:t xml:space="preserve">s estimated using </w:t>
      </w:r>
      <w:r w:rsidRPr="009C7969">
        <w:t>bootstrap methods.</w:t>
      </w:r>
    </w:p>
    <w:tbl>
      <w:tblPr>
        <w:tblW w:w="9450" w:type="dxa"/>
        <w:tblLayout w:type="fixed"/>
        <w:tblCellMar>
          <w:left w:w="29" w:type="dxa"/>
          <w:right w:w="29" w:type="dxa"/>
        </w:tblCellMar>
        <w:tblLook w:val="04A0" w:firstRow="1" w:lastRow="0" w:firstColumn="1" w:lastColumn="0" w:noHBand="0" w:noVBand="1"/>
      </w:tblPr>
      <w:tblGrid>
        <w:gridCol w:w="1584"/>
        <w:gridCol w:w="720"/>
        <w:gridCol w:w="1476"/>
        <w:gridCol w:w="1260"/>
        <w:gridCol w:w="1620"/>
        <w:gridCol w:w="1530"/>
        <w:gridCol w:w="1260"/>
      </w:tblGrid>
      <w:tr w:rsidR="00E80E4F" w:rsidRPr="003C1E77" w14:paraId="4776E033" w14:textId="77777777" w:rsidTr="000A2288">
        <w:trPr>
          <w:trHeight w:val="20"/>
        </w:trPr>
        <w:tc>
          <w:tcPr>
            <w:tcW w:w="1584" w:type="dxa"/>
            <w:tcBorders>
              <w:top w:val="single" w:sz="4" w:space="0" w:color="auto"/>
              <w:left w:val="nil"/>
              <w:bottom w:val="single" w:sz="4" w:space="0" w:color="auto"/>
              <w:right w:val="nil"/>
            </w:tcBorders>
            <w:shd w:val="clear" w:color="auto" w:fill="auto"/>
            <w:noWrap/>
            <w:hideMark/>
          </w:tcPr>
          <w:p w14:paraId="102A2F2E" w14:textId="77777777" w:rsidR="00E80E4F" w:rsidRPr="003C1E77" w:rsidRDefault="00E80E4F" w:rsidP="00505517">
            <w:pPr>
              <w:tabs>
                <w:tab w:val="clear" w:pos="260"/>
              </w:tabs>
              <w:spacing w:after="0"/>
              <w:jc w:val="left"/>
              <w:rPr>
                <w:rFonts w:ascii="Aptos Narrow" w:eastAsia="Times New Roman" w:hAnsi="Aptos Narrow"/>
                <w:b/>
                <w:bCs/>
                <w:color w:val="000000"/>
                <w:sz w:val="16"/>
                <w:szCs w:val="16"/>
                <w:lang w:val="es-US" w:eastAsia="es-MX"/>
              </w:rPr>
            </w:pPr>
            <w:r w:rsidRPr="003C1E77">
              <w:rPr>
                <w:rFonts w:ascii="Aptos Narrow" w:hAnsi="Aptos Narrow"/>
                <w:b/>
                <w:bCs/>
                <w:sz w:val="16"/>
                <w:szCs w:val="16"/>
              </w:rPr>
              <w:t>NCA4 region</w:t>
            </w:r>
          </w:p>
        </w:tc>
        <w:tc>
          <w:tcPr>
            <w:tcW w:w="720" w:type="dxa"/>
            <w:tcBorders>
              <w:top w:val="single" w:sz="4" w:space="0" w:color="auto"/>
              <w:left w:val="nil"/>
              <w:bottom w:val="single" w:sz="4" w:space="0" w:color="auto"/>
              <w:right w:val="nil"/>
            </w:tcBorders>
            <w:shd w:val="clear" w:color="auto" w:fill="auto"/>
            <w:noWrap/>
            <w:hideMark/>
          </w:tcPr>
          <w:p w14:paraId="3D60A15F" w14:textId="77777777" w:rsidR="00E80E4F" w:rsidRPr="003C1E77" w:rsidRDefault="00E80E4F" w:rsidP="00505517">
            <w:pPr>
              <w:tabs>
                <w:tab w:val="clear" w:pos="260"/>
              </w:tabs>
              <w:spacing w:after="0"/>
              <w:jc w:val="center"/>
              <w:rPr>
                <w:rFonts w:ascii="Aptos Narrow" w:eastAsia="Times New Roman" w:hAnsi="Aptos Narrow"/>
                <w:b/>
                <w:bCs/>
                <w:color w:val="000000"/>
                <w:sz w:val="16"/>
                <w:szCs w:val="16"/>
                <w:lang w:val="es-US" w:eastAsia="es-MX"/>
              </w:rPr>
            </w:pPr>
            <w:r w:rsidRPr="003C1E77">
              <w:rPr>
                <w:rFonts w:ascii="Aptos Narrow" w:hAnsi="Aptos Narrow"/>
                <w:b/>
                <w:bCs/>
                <w:sz w:val="16"/>
                <w:szCs w:val="16"/>
              </w:rPr>
              <w:t>N counties</w:t>
            </w:r>
          </w:p>
        </w:tc>
        <w:tc>
          <w:tcPr>
            <w:tcW w:w="1476" w:type="dxa"/>
            <w:tcBorders>
              <w:top w:val="single" w:sz="4" w:space="0" w:color="auto"/>
              <w:left w:val="nil"/>
              <w:bottom w:val="single" w:sz="4" w:space="0" w:color="auto"/>
              <w:right w:val="nil"/>
            </w:tcBorders>
            <w:shd w:val="clear" w:color="auto" w:fill="auto"/>
            <w:noWrap/>
            <w:hideMark/>
          </w:tcPr>
          <w:p w14:paraId="3F1B930D" w14:textId="77777777" w:rsidR="00E80E4F" w:rsidRPr="003C1E77" w:rsidRDefault="00E80E4F" w:rsidP="00505517">
            <w:pPr>
              <w:pStyle w:val="NoSpacing"/>
              <w:jc w:val="center"/>
              <w:rPr>
                <w:rFonts w:ascii="Aptos Narrow" w:hAnsi="Aptos Narrow" w:cs="Calibri"/>
                <w:b/>
                <w:bCs/>
                <w:sz w:val="16"/>
                <w:szCs w:val="16"/>
              </w:rPr>
            </w:pPr>
            <w:r w:rsidRPr="003C1E77">
              <w:rPr>
                <w:rFonts w:ascii="Aptos Narrow" w:hAnsi="Aptos Narrow" w:cs="Calibri"/>
                <w:b/>
                <w:bCs/>
                <w:sz w:val="16"/>
                <w:szCs w:val="16"/>
              </w:rPr>
              <w:t>Annual Avg. OLDW Population</w:t>
            </w:r>
          </w:p>
          <w:p w14:paraId="1FE535E3" w14:textId="77777777" w:rsidR="00E80E4F" w:rsidRPr="003C1E77" w:rsidRDefault="00E80E4F" w:rsidP="00505517">
            <w:pPr>
              <w:tabs>
                <w:tab w:val="clear" w:pos="260"/>
              </w:tabs>
              <w:spacing w:after="0"/>
              <w:jc w:val="center"/>
              <w:rPr>
                <w:rFonts w:ascii="Aptos Narrow" w:eastAsia="Times New Roman" w:hAnsi="Aptos Narrow"/>
                <w:b/>
                <w:bCs/>
                <w:color w:val="000000"/>
                <w:sz w:val="16"/>
                <w:szCs w:val="16"/>
                <w:lang w:val="es-US" w:eastAsia="es-MX"/>
              </w:rPr>
            </w:pPr>
            <w:r w:rsidRPr="003C1E77">
              <w:rPr>
                <w:rFonts w:ascii="Aptos Narrow" w:hAnsi="Aptos Narrow"/>
                <w:b/>
                <w:bCs/>
                <w:sz w:val="16"/>
                <w:szCs w:val="16"/>
              </w:rPr>
              <w:t>(2010-2021)</w:t>
            </w:r>
          </w:p>
        </w:tc>
        <w:tc>
          <w:tcPr>
            <w:tcW w:w="1260" w:type="dxa"/>
            <w:tcBorders>
              <w:top w:val="single" w:sz="4" w:space="0" w:color="auto"/>
              <w:left w:val="nil"/>
              <w:bottom w:val="single" w:sz="4" w:space="0" w:color="auto"/>
              <w:right w:val="nil"/>
            </w:tcBorders>
            <w:shd w:val="clear" w:color="auto" w:fill="auto"/>
            <w:noWrap/>
            <w:hideMark/>
          </w:tcPr>
          <w:p w14:paraId="375108FA" w14:textId="77777777" w:rsidR="00E80E4F" w:rsidRPr="003C1E77" w:rsidRDefault="00E80E4F" w:rsidP="00505517">
            <w:pPr>
              <w:pStyle w:val="NoSpacing"/>
              <w:jc w:val="center"/>
              <w:rPr>
                <w:rFonts w:ascii="Aptos Narrow" w:hAnsi="Aptos Narrow" w:cs="Calibri"/>
                <w:b/>
                <w:bCs/>
                <w:sz w:val="16"/>
                <w:szCs w:val="16"/>
              </w:rPr>
            </w:pPr>
            <w:r w:rsidRPr="003C1E77">
              <w:rPr>
                <w:rFonts w:ascii="Aptos Narrow" w:hAnsi="Aptos Narrow" w:cs="Calibri"/>
                <w:b/>
                <w:bCs/>
                <w:sz w:val="16"/>
                <w:szCs w:val="16"/>
              </w:rPr>
              <w:t>Annual avg. ED visits</w:t>
            </w:r>
          </w:p>
          <w:p w14:paraId="3AD22B8C" w14:textId="77777777" w:rsidR="00E80E4F" w:rsidRPr="003C1E77" w:rsidRDefault="00E80E4F" w:rsidP="00505517">
            <w:pPr>
              <w:tabs>
                <w:tab w:val="clear" w:pos="260"/>
              </w:tabs>
              <w:spacing w:after="0"/>
              <w:jc w:val="center"/>
              <w:rPr>
                <w:rFonts w:ascii="Aptos Narrow" w:eastAsia="Times New Roman" w:hAnsi="Aptos Narrow"/>
                <w:b/>
                <w:bCs/>
                <w:color w:val="000000"/>
                <w:sz w:val="16"/>
                <w:szCs w:val="16"/>
                <w:lang w:val="es-US" w:eastAsia="es-MX"/>
              </w:rPr>
            </w:pPr>
            <w:r w:rsidRPr="003C1E77">
              <w:rPr>
                <w:rFonts w:ascii="Aptos Narrow" w:hAnsi="Aptos Narrow"/>
                <w:b/>
                <w:bCs/>
                <w:sz w:val="16"/>
                <w:szCs w:val="16"/>
              </w:rPr>
              <w:t>(2010-2021)</w:t>
            </w:r>
          </w:p>
        </w:tc>
        <w:tc>
          <w:tcPr>
            <w:tcW w:w="1620" w:type="dxa"/>
            <w:tcBorders>
              <w:top w:val="single" w:sz="4" w:space="0" w:color="auto"/>
              <w:left w:val="nil"/>
              <w:bottom w:val="single" w:sz="4" w:space="0" w:color="auto"/>
              <w:right w:val="nil"/>
            </w:tcBorders>
            <w:shd w:val="clear" w:color="auto" w:fill="auto"/>
            <w:noWrap/>
            <w:hideMark/>
          </w:tcPr>
          <w:p w14:paraId="2BDD73B3" w14:textId="77777777" w:rsidR="00E80E4F" w:rsidRPr="003C1E77" w:rsidRDefault="00E80E4F" w:rsidP="00505517">
            <w:pPr>
              <w:pStyle w:val="NoSpacing"/>
              <w:jc w:val="center"/>
              <w:rPr>
                <w:rFonts w:ascii="Aptos Narrow" w:hAnsi="Aptos Narrow" w:cs="Calibri"/>
                <w:b/>
                <w:bCs/>
                <w:sz w:val="16"/>
                <w:szCs w:val="16"/>
              </w:rPr>
            </w:pPr>
            <w:r w:rsidRPr="003C1E77">
              <w:rPr>
                <w:rFonts w:ascii="Aptos Narrow" w:hAnsi="Aptos Narrow" w:cs="Calibri"/>
                <w:b/>
                <w:bCs/>
                <w:sz w:val="16"/>
                <w:szCs w:val="16"/>
              </w:rPr>
              <w:t xml:space="preserve">Annual avg. ED </w:t>
            </w:r>
          </w:p>
          <w:p w14:paraId="69AC6BB2" w14:textId="234EF8D0" w:rsidR="00E80E4F" w:rsidRPr="003C1E77" w:rsidRDefault="00E80E4F" w:rsidP="00505517">
            <w:pPr>
              <w:pStyle w:val="NoSpacing"/>
              <w:jc w:val="center"/>
              <w:rPr>
                <w:rFonts w:ascii="Aptos Narrow" w:hAnsi="Aptos Narrow" w:cs="Calibri"/>
                <w:b/>
                <w:bCs/>
                <w:sz w:val="16"/>
                <w:szCs w:val="16"/>
              </w:rPr>
            </w:pPr>
            <w:r w:rsidRPr="003C1E77">
              <w:rPr>
                <w:rFonts w:ascii="Aptos Narrow" w:hAnsi="Aptos Narrow" w:cs="Calibri"/>
                <w:b/>
                <w:bCs/>
                <w:sz w:val="16"/>
                <w:szCs w:val="16"/>
              </w:rPr>
              <w:t xml:space="preserve">visits </w:t>
            </w:r>
            <w:r w:rsidRPr="003C1E77">
              <w:rPr>
                <w:rFonts w:ascii="Aptos Narrow" w:hAnsi="Aptos Narrow" w:cs="Calibri"/>
                <w:b/>
                <w:bCs/>
                <w:i/>
                <w:iCs/>
                <w:sz w:val="16"/>
                <w:szCs w:val="16"/>
              </w:rPr>
              <w:t>mode</w:t>
            </w:r>
            <w:r w:rsidR="00AD1AA7">
              <w:rPr>
                <w:rFonts w:ascii="Aptos Narrow" w:hAnsi="Aptos Narrow" w:cs="Calibri"/>
                <w:b/>
                <w:bCs/>
                <w:i/>
                <w:iCs/>
                <w:sz w:val="16"/>
                <w:szCs w:val="16"/>
              </w:rPr>
              <w:t>led</w:t>
            </w:r>
          </w:p>
          <w:p w14:paraId="16AC8B6B" w14:textId="77777777" w:rsidR="00E80E4F" w:rsidRPr="003C1E77" w:rsidRDefault="00E80E4F" w:rsidP="00505517">
            <w:pPr>
              <w:pStyle w:val="NoSpacing"/>
              <w:jc w:val="center"/>
              <w:rPr>
                <w:rFonts w:ascii="Aptos Narrow" w:hAnsi="Aptos Narrow" w:cs="Calibri"/>
                <w:b/>
                <w:bCs/>
                <w:sz w:val="16"/>
                <w:szCs w:val="16"/>
              </w:rPr>
            </w:pPr>
            <w:r w:rsidRPr="003C1E77">
              <w:rPr>
                <w:rFonts w:ascii="Aptos Narrow" w:hAnsi="Aptos Narrow" w:cs="Calibri"/>
                <w:b/>
                <w:bCs/>
                <w:sz w:val="16"/>
                <w:szCs w:val="16"/>
              </w:rPr>
              <w:t>(2010-2021)</w:t>
            </w:r>
          </w:p>
        </w:tc>
        <w:tc>
          <w:tcPr>
            <w:tcW w:w="1530" w:type="dxa"/>
            <w:tcBorders>
              <w:top w:val="single" w:sz="4" w:space="0" w:color="auto"/>
              <w:left w:val="nil"/>
              <w:bottom w:val="single" w:sz="4" w:space="0" w:color="auto"/>
              <w:right w:val="nil"/>
            </w:tcBorders>
            <w:shd w:val="clear" w:color="auto" w:fill="auto"/>
            <w:noWrap/>
            <w:hideMark/>
          </w:tcPr>
          <w:p w14:paraId="58EC7E1D" w14:textId="77777777" w:rsidR="00902583" w:rsidRDefault="00E80E4F" w:rsidP="00505517">
            <w:pPr>
              <w:pStyle w:val="NoSpacing"/>
              <w:jc w:val="center"/>
              <w:rPr>
                <w:rFonts w:ascii="Aptos Narrow" w:hAnsi="Aptos Narrow" w:cs="Calibri"/>
                <w:b/>
                <w:bCs/>
                <w:sz w:val="16"/>
                <w:szCs w:val="16"/>
              </w:rPr>
            </w:pPr>
            <w:r w:rsidRPr="003C1E77">
              <w:rPr>
                <w:rFonts w:ascii="Aptos Narrow" w:hAnsi="Aptos Narrow" w:cs="Calibri"/>
                <w:b/>
                <w:bCs/>
                <w:sz w:val="16"/>
                <w:szCs w:val="16"/>
              </w:rPr>
              <w:t xml:space="preserve">Change in </w:t>
            </w:r>
          </w:p>
          <w:p w14:paraId="746D5618" w14:textId="3C5D0DF0" w:rsidR="00E80E4F" w:rsidRPr="003C1E77" w:rsidRDefault="00E80E4F" w:rsidP="00505517">
            <w:pPr>
              <w:pStyle w:val="NoSpacing"/>
              <w:jc w:val="center"/>
              <w:rPr>
                <w:rFonts w:ascii="Aptos Narrow" w:hAnsi="Aptos Narrow" w:cs="Calibri"/>
                <w:b/>
                <w:bCs/>
                <w:sz w:val="16"/>
                <w:szCs w:val="16"/>
              </w:rPr>
            </w:pPr>
            <w:r w:rsidRPr="003C1E77">
              <w:rPr>
                <w:rFonts w:ascii="Aptos Narrow" w:hAnsi="Aptos Narrow" w:cs="Calibri"/>
                <w:b/>
                <w:bCs/>
                <w:sz w:val="16"/>
                <w:szCs w:val="16"/>
              </w:rPr>
              <w:t>Annual avg. ED visits</w:t>
            </w:r>
          </w:p>
          <w:p w14:paraId="218CC8D6" w14:textId="77777777" w:rsidR="00E80E4F" w:rsidRPr="003C1E77" w:rsidRDefault="00E80E4F" w:rsidP="00505517">
            <w:pPr>
              <w:pStyle w:val="NoSpacing"/>
              <w:jc w:val="center"/>
              <w:rPr>
                <w:rFonts w:ascii="Aptos Narrow" w:hAnsi="Aptos Narrow" w:cs="Calibri"/>
                <w:b/>
                <w:bCs/>
                <w:sz w:val="16"/>
                <w:szCs w:val="16"/>
              </w:rPr>
            </w:pPr>
            <w:r w:rsidRPr="003C1E77">
              <w:rPr>
                <w:rFonts w:ascii="Aptos Narrow" w:hAnsi="Aptos Narrow" w:cs="Calibri"/>
                <w:b/>
                <w:bCs/>
                <w:i/>
                <w:iCs/>
                <w:sz w:val="16"/>
                <w:szCs w:val="16"/>
              </w:rPr>
              <w:t>modeled</w:t>
            </w:r>
          </w:p>
          <w:p w14:paraId="310185CC" w14:textId="77777777" w:rsidR="00E80E4F" w:rsidRPr="003C1E77" w:rsidRDefault="00E80E4F" w:rsidP="00505517">
            <w:pPr>
              <w:pStyle w:val="NoSpacing"/>
              <w:jc w:val="center"/>
              <w:rPr>
                <w:rFonts w:ascii="Aptos Narrow" w:hAnsi="Aptos Narrow" w:cs="Calibri"/>
                <w:b/>
                <w:bCs/>
                <w:sz w:val="16"/>
                <w:szCs w:val="16"/>
              </w:rPr>
            </w:pPr>
            <w:r w:rsidRPr="003C1E77">
              <w:rPr>
                <w:rFonts w:ascii="Aptos Narrow" w:hAnsi="Aptos Narrow" w:cs="Calibri"/>
                <w:b/>
                <w:bCs/>
                <w:sz w:val="16"/>
                <w:szCs w:val="16"/>
              </w:rPr>
              <w:t>(2040-2050)</w:t>
            </w:r>
          </w:p>
        </w:tc>
        <w:tc>
          <w:tcPr>
            <w:tcW w:w="1260" w:type="dxa"/>
            <w:tcBorders>
              <w:top w:val="single" w:sz="4" w:space="0" w:color="auto"/>
              <w:left w:val="nil"/>
              <w:bottom w:val="single" w:sz="4" w:space="0" w:color="auto"/>
              <w:right w:val="nil"/>
            </w:tcBorders>
            <w:shd w:val="clear" w:color="auto" w:fill="auto"/>
            <w:noWrap/>
            <w:hideMark/>
          </w:tcPr>
          <w:p w14:paraId="2276A499" w14:textId="0F538474" w:rsidR="00E80E4F" w:rsidRPr="003C1E77" w:rsidRDefault="004D06ED" w:rsidP="004D06ED">
            <w:pPr>
              <w:pStyle w:val="NoSpacing"/>
              <w:jc w:val="center"/>
              <w:rPr>
                <w:rFonts w:ascii="Aptos Narrow" w:hAnsi="Aptos Narrow" w:cs="Calibri"/>
                <w:b/>
                <w:bCs/>
                <w:i/>
                <w:iCs/>
                <w:sz w:val="16"/>
                <w:szCs w:val="16"/>
              </w:rPr>
            </w:pPr>
            <w:r>
              <w:rPr>
                <w:rFonts w:ascii="Aptos Narrow" w:hAnsi="Aptos Narrow" w:cs="Calibri"/>
                <w:b/>
                <w:bCs/>
                <w:i/>
                <w:iCs/>
                <w:sz w:val="16"/>
                <w:szCs w:val="16"/>
              </w:rPr>
              <w:t>Average m</w:t>
            </w:r>
            <w:r w:rsidR="00E80E4F" w:rsidRPr="003C1E77">
              <w:rPr>
                <w:rFonts w:ascii="Aptos Narrow" w:hAnsi="Aptos Narrow" w:cs="Calibri"/>
                <w:b/>
                <w:bCs/>
                <w:i/>
                <w:iCs/>
                <w:sz w:val="16"/>
                <w:szCs w:val="16"/>
              </w:rPr>
              <w:t>odeled</w:t>
            </w:r>
          </w:p>
          <w:p w14:paraId="3C9551FB" w14:textId="77777777" w:rsidR="00E80E4F" w:rsidRPr="003C1E77" w:rsidRDefault="00E80E4F" w:rsidP="004D06ED">
            <w:pPr>
              <w:tabs>
                <w:tab w:val="clear" w:pos="260"/>
              </w:tabs>
              <w:spacing w:after="0" w:line="240" w:lineRule="auto"/>
              <w:jc w:val="center"/>
              <w:rPr>
                <w:rFonts w:ascii="Aptos Narrow" w:eastAsia="Times New Roman" w:hAnsi="Aptos Narrow"/>
                <w:b/>
                <w:bCs/>
                <w:color w:val="000000"/>
                <w:sz w:val="16"/>
                <w:szCs w:val="16"/>
                <w:lang w:eastAsia="es-MX"/>
              </w:rPr>
            </w:pPr>
            <w:r w:rsidRPr="003C1E77">
              <w:rPr>
                <w:rFonts w:ascii="Aptos Narrow" w:hAnsi="Aptos Narrow"/>
                <w:b/>
                <w:bCs/>
                <w:sz w:val="16"/>
                <w:szCs w:val="16"/>
              </w:rPr>
              <w:t>% change in annual ED visits</w:t>
            </w:r>
          </w:p>
        </w:tc>
      </w:tr>
      <w:tr w:rsidR="00863788" w:rsidRPr="003C1E77" w14:paraId="638ED857" w14:textId="77777777" w:rsidTr="000A2288">
        <w:trPr>
          <w:trHeight w:val="20"/>
        </w:trPr>
        <w:tc>
          <w:tcPr>
            <w:tcW w:w="1584" w:type="dxa"/>
            <w:tcBorders>
              <w:top w:val="single" w:sz="4" w:space="0" w:color="auto"/>
              <w:left w:val="nil"/>
              <w:bottom w:val="nil"/>
              <w:right w:val="nil"/>
            </w:tcBorders>
            <w:shd w:val="clear" w:color="auto" w:fill="auto"/>
            <w:noWrap/>
            <w:vAlign w:val="center"/>
            <w:hideMark/>
          </w:tcPr>
          <w:p w14:paraId="3683F273" w14:textId="044D1684" w:rsidR="00863788" w:rsidRPr="00750AAD" w:rsidRDefault="00863788" w:rsidP="00AF1ACF">
            <w:pPr>
              <w:tabs>
                <w:tab w:val="clear" w:pos="260"/>
              </w:tabs>
              <w:spacing w:after="0" w:line="240" w:lineRule="auto"/>
              <w:jc w:val="left"/>
              <w:rPr>
                <w:rFonts w:ascii="Aptos Narrow" w:eastAsia="Times New Roman" w:hAnsi="Aptos Narrow"/>
                <w:color w:val="000000"/>
                <w:sz w:val="16"/>
                <w:szCs w:val="16"/>
                <w:lang w:val="es-US" w:eastAsia="es-MX"/>
              </w:rPr>
            </w:pPr>
            <w:r w:rsidRPr="00750AAD">
              <w:rPr>
                <w:rFonts w:ascii="Aptos Narrow" w:hAnsi="Aptos Narrow"/>
                <w:color w:val="000000"/>
                <w:sz w:val="16"/>
                <w:szCs w:val="16"/>
              </w:rPr>
              <w:t>Midwest</w:t>
            </w:r>
          </w:p>
        </w:tc>
        <w:tc>
          <w:tcPr>
            <w:tcW w:w="720" w:type="dxa"/>
            <w:tcBorders>
              <w:top w:val="single" w:sz="4" w:space="0" w:color="auto"/>
              <w:left w:val="nil"/>
              <w:bottom w:val="nil"/>
              <w:right w:val="nil"/>
            </w:tcBorders>
            <w:shd w:val="clear" w:color="auto" w:fill="auto"/>
            <w:noWrap/>
            <w:vAlign w:val="center"/>
            <w:hideMark/>
          </w:tcPr>
          <w:p w14:paraId="7EF8EB28" w14:textId="79300250"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576</w:t>
            </w:r>
          </w:p>
        </w:tc>
        <w:tc>
          <w:tcPr>
            <w:tcW w:w="1476" w:type="dxa"/>
            <w:tcBorders>
              <w:top w:val="single" w:sz="4" w:space="0" w:color="auto"/>
              <w:left w:val="nil"/>
              <w:bottom w:val="nil"/>
              <w:right w:val="nil"/>
            </w:tcBorders>
            <w:shd w:val="clear" w:color="auto" w:fill="auto"/>
            <w:noWrap/>
            <w:vAlign w:val="center"/>
            <w:hideMark/>
          </w:tcPr>
          <w:p w14:paraId="2E626561" w14:textId="40A7C912"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5,163,809</w:t>
            </w:r>
          </w:p>
        </w:tc>
        <w:tc>
          <w:tcPr>
            <w:tcW w:w="1260" w:type="dxa"/>
            <w:tcBorders>
              <w:top w:val="single" w:sz="4" w:space="0" w:color="auto"/>
              <w:left w:val="nil"/>
              <w:bottom w:val="nil"/>
              <w:right w:val="nil"/>
            </w:tcBorders>
            <w:shd w:val="clear" w:color="auto" w:fill="auto"/>
            <w:noWrap/>
            <w:vAlign w:val="center"/>
            <w:hideMark/>
          </w:tcPr>
          <w:p w14:paraId="0FD7F9DB" w14:textId="59601FC3"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1,718,395</w:t>
            </w:r>
          </w:p>
        </w:tc>
        <w:tc>
          <w:tcPr>
            <w:tcW w:w="1620" w:type="dxa"/>
            <w:tcBorders>
              <w:top w:val="single" w:sz="4" w:space="0" w:color="auto"/>
              <w:left w:val="nil"/>
              <w:bottom w:val="nil"/>
              <w:right w:val="nil"/>
            </w:tcBorders>
            <w:shd w:val="clear" w:color="auto" w:fill="auto"/>
            <w:noWrap/>
            <w:vAlign w:val="center"/>
            <w:hideMark/>
          </w:tcPr>
          <w:p w14:paraId="7986231F" w14:textId="149F5190" w:rsidR="00774E79" w:rsidRPr="00750AAD"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1</w:t>
            </w:r>
            <w:r w:rsidR="00724617">
              <w:rPr>
                <w:rFonts w:ascii="Aptos Narrow" w:hAnsi="Aptos Narrow"/>
                <w:color w:val="000000"/>
                <w:sz w:val="16"/>
                <w:szCs w:val="16"/>
              </w:rPr>
              <w:t>,</w:t>
            </w:r>
            <w:r w:rsidRPr="00750AAD">
              <w:rPr>
                <w:rFonts w:ascii="Aptos Narrow" w:hAnsi="Aptos Narrow"/>
                <w:color w:val="000000"/>
                <w:sz w:val="16"/>
                <w:szCs w:val="16"/>
              </w:rPr>
              <w:t>718</w:t>
            </w:r>
            <w:r w:rsidR="00724617">
              <w:rPr>
                <w:rFonts w:ascii="Aptos Narrow" w:hAnsi="Aptos Narrow"/>
                <w:color w:val="000000"/>
                <w:sz w:val="16"/>
                <w:szCs w:val="16"/>
              </w:rPr>
              <w:t>,</w:t>
            </w:r>
            <w:r w:rsidRPr="00750AAD">
              <w:rPr>
                <w:rFonts w:ascii="Aptos Narrow" w:hAnsi="Aptos Narrow"/>
                <w:color w:val="000000"/>
                <w:sz w:val="16"/>
                <w:szCs w:val="16"/>
              </w:rPr>
              <w:t>392</w:t>
            </w:r>
          </w:p>
          <w:p w14:paraId="67F64ED8" w14:textId="2FE9EFF9"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w:t>
            </w:r>
            <w:r w:rsidR="00724617">
              <w:rPr>
                <w:rFonts w:ascii="Aptos Narrow" w:hAnsi="Aptos Narrow"/>
                <w:color w:val="000000"/>
                <w:sz w:val="16"/>
                <w:szCs w:val="16"/>
              </w:rPr>
              <w:t>,</w:t>
            </w:r>
            <w:r w:rsidRPr="00750AAD">
              <w:rPr>
                <w:rFonts w:ascii="Aptos Narrow" w:hAnsi="Aptos Narrow"/>
                <w:color w:val="000000"/>
                <w:sz w:val="16"/>
                <w:szCs w:val="16"/>
              </w:rPr>
              <w:t>718</w:t>
            </w:r>
            <w:r w:rsidR="00724617">
              <w:rPr>
                <w:rFonts w:ascii="Aptos Narrow" w:hAnsi="Aptos Narrow"/>
                <w:color w:val="000000"/>
                <w:sz w:val="16"/>
                <w:szCs w:val="16"/>
              </w:rPr>
              <w:t>,</w:t>
            </w:r>
            <w:r w:rsidRPr="00750AAD">
              <w:rPr>
                <w:rFonts w:ascii="Aptos Narrow" w:hAnsi="Aptos Narrow"/>
                <w:color w:val="000000"/>
                <w:sz w:val="16"/>
                <w:szCs w:val="16"/>
              </w:rPr>
              <w:t>247, 1</w:t>
            </w:r>
            <w:r w:rsidR="00724617">
              <w:rPr>
                <w:rFonts w:ascii="Aptos Narrow" w:hAnsi="Aptos Narrow"/>
                <w:color w:val="000000"/>
                <w:sz w:val="16"/>
                <w:szCs w:val="16"/>
              </w:rPr>
              <w:t>,</w:t>
            </w:r>
            <w:r w:rsidRPr="00750AAD">
              <w:rPr>
                <w:rFonts w:ascii="Aptos Narrow" w:hAnsi="Aptos Narrow"/>
                <w:color w:val="000000"/>
                <w:sz w:val="16"/>
                <w:szCs w:val="16"/>
              </w:rPr>
              <w:t>718</w:t>
            </w:r>
            <w:r w:rsidR="00724617">
              <w:rPr>
                <w:rFonts w:ascii="Aptos Narrow" w:hAnsi="Aptos Narrow"/>
                <w:color w:val="000000"/>
                <w:sz w:val="16"/>
                <w:szCs w:val="16"/>
              </w:rPr>
              <w:t>,</w:t>
            </w:r>
            <w:r w:rsidRPr="00750AAD">
              <w:rPr>
                <w:rFonts w:ascii="Aptos Narrow" w:hAnsi="Aptos Narrow"/>
                <w:color w:val="000000"/>
                <w:sz w:val="16"/>
                <w:szCs w:val="16"/>
              </w:rPr>
              <w:t>549)</w:t>
            </w:r>
          </w:p>
        </w:tc>
        <w:tc>
          <w:tcPr>
            <w:tcW w:w="1530" w:type="dxa"/>
            <w:tcBorders>
              <w:top w:val="single" w:sz="4" w:space="0" w:color="auto"/>
              <w:left w:val="nil"/>
              <w:bottom w:val="nil"/>
              <w:right w:val="nil"/>
            </w:tcBorders>
            <w:shd w:val="clear" w:color="auto" w:fill="auto"/>
            <w:noWrap/>
            <w:vAlign w:val="center"/>
            <w:hideMark/>
          </w:tcPr>
          <w:p w14:paraId="6E63D1D7" w14:textId="27DC51B8" w:rsidR="00750AAD" w:rsidRDefault="009D3385" w:rsidP="00AF1ACF">
            <w:pPr>
              <w:tabs>
                <w:tab w:val="clear" w:pos="260"/>
              </w:tabs>
              <w:spacing w:after="0" w:line="240" w:lineRule="auto"/>
              <w:jc w:val="center"/>
              <w:rPr>
                <w:rFonts w:ascii="Aptos Narrow" w:hAnsi="Aptos Narrow"/>
                <w:color w:val="000000"/>
                <w:sz w:val="16"/>
                <w:szCs w:val="16"/>
              </w:rPr>
            </w:pPr>
            <w:r>
              <w:rPr>
                <w:rFonts w:ascii="Aptos Narrow" w:hAnsi="Aptos Narrow"/>
                <w:color w:val="000000"/>
                <w:sz w:val="16"/>
                <w:szCs w:val="16"/>
              </w:rPr>
              <w:t>+</w:t>
            </w:r>
            <w:r w:rsidR="00863788" w:rsidRPr="00750AAD">
              <w:rPr>
                <w:rFonts w:ascii="Aptos Narrow" w:hAnsi="Aptos Narrow"/>
                <w:color w:val="000000"/>
                <w:sz w:val="16"/>
                <w:szCs w:val="16"/>
              </w:rPr>
              <w:t>24</w:t>
            </w:r>
            <w:r>
              <w:rPr>
                <w:rFonts w:ascii="Aptos Narrow" w:hAnsi="Aptos Narrow"/>
                <w:color w:val="000000"/>
                <w:sz w:val="16"/>
                <w:szCs w:val="16"/>
              </w:rPr>
              <w:t>,</w:t>
            </w:r>
            <w:r w:rsidR="00863788" w:rsidRPr="00750AAD">
              <w:rPr>
                <w:rFonts w:ascii="Aptos Narrow" w:hAnsi="Aptos Narrow"/>
                <w:color w:val="000000"/>
                <w:sz w:val="16"/>
                <w:szCs w:val="16"/>
              </w:rPr>
              <w:t>772</w:t>
            </w:r>
          </w:p>
          <w:p w14:paraId="5C6D2BBF" w14:textId="1EC71B1F"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(24</w:t>
            </w:r>
            <w:r w:rsidR="009D3385">
              <w:rPr>
                <w:rFonts w:ascii="Aptos Narrow" w:hAnsi="Aptos Narrow"/>
                <w:color w:val="000000"/>
                <w:sz w:val="16"/>
                <w:szCs w:val="16"/>
              </w:rPr>
              <w:t>,</w:t>
            </w:r>
            <w:r w:rsidRPr="00750AAD">
              <w:rPr>
                <w:rFonts w:ascii="Aptos Narrow" w:hAnsi="Aptos Narrow"/>
                <w:color w:val="000000"/>
                <w:sz w:val="16"/>
                <w:szCs w:val="16"/>
              </w:rPr>
              <w:t>497, 25</w:t>
            </w:r>
            <w:r w:rsidR="009D3385">
              <w:rPr>
                <w:rFonts w:ascii="Aptos Narrow" w:hAnsi="Aptos Narrow"/>
                <w:color w:val="000000"/>
                <w:sz w:val="16"/>
                <w:szCs w:val="16"/>
              </w:rPr>
              <w:t>,</w:t>
            </w:r>
            <w:r w:rsidRPr="00750AAD">
              <w:rPr>
                <w:rFonts w:ascii="Aptos Narrow" w:hAnsi="Aptos Narrow"/>
                <w:color w:val="000000"/>
                <w:sz w:val="16"/>
                <w:szCs w:val="16"/>
              </w:rPr>
              <w:t>055)</w:t>
            </w:r>
          </w:p>
        </w:tc>
        <w:tc>
          <w:tcPr>
            <w:tcW w:w="1260" w:type="dxa"/>
            <w:tcBorders>
              <w:top w:val="single" w:sz="4" w:space="0" w:color="auto"/>
              <w:left w:val="nil"/>
              <w:bottom w:val="nil"/>
              <w:right w:val="nil"/>
            </w:tcBorders>
            <w:shd w:val="clear" w:color="auto" w:fill="auto"/>
            <w:noWrap/>
            <w:vAlign w:val="center"/>
            <w:hideMark/>
          </w:tcPr>
          <w:p w14:paraId="63342C28" w14:textId="4355479B" w:rsidR="00863788" w:rsidRPr="00750AAD" w:rsidRDefault="009D3385" w:rsidP="00AF1ACF">
            <w:pPr>
              <w:tabs>
                <w:tab w:val="clear" w:pos="260"/>
              </w:tabs>
              <w:spacing w:after="0" w:line="240" w:lineRule="auto"/>
              <w:jc w:val="center"/>
              <w:rPr>
                <w:rFonts w:ascii="Aptos Narrow" w:eastAsia="Times New Roman" w:hAnsi="Aptos Narrow"/>
                <w:color w:val="000000"/>
                <w:sz w:val="16"/>
                <w:szCs w:val="16"/>
                <w:lang w:val="es-US" w:eastAsia="es-MX"/>
              </w:rPr>
            </w:pPr>
            <w:r>
              <w:rPr>
                <w:rFonts w:ascii="Aptos Narrow" w:hAnsi="Aptos Narrow"/>
                <w:color w:val="000000"/>
                <w:sz w:val="16"/>
                <w:szCs w:val="16"/>
              </w:rPr>
              <w:t>+</w:t>
            </w:r>
            <w:r w:rsidR="00863788" w:rsidRPr="00750AAD">
              <w:rPr>
                <w:rFonts w:ascii="Aptos Narrow" w:hAnsi="Aptos Narrow"/>
                <w:color w:val="000000"/>
                <w:sz w:val="16"/>
                <w:szCs w:val="16"/>
              </w:rPr>
              <w:t>1.4</w:t>
            </w:r>
          </w:p>
        </w:tc>
      </w:tr>
      <w:tr w:rsidR="00863788" w:rsidRPr="003C1E77" w14:paraId="531E6A04" w14:textId="77777777" w:rsidTr="000A2288">
        <w:trPr>
          <w:trHeight w:val="20"/>
        </w:trPr>
        <w:tc>
          <w:tcPr>
            <w:tcW w:w="1584" w:type="dxa"/>
            <w:tcBorders>
              <w:top w:val="nil"/>
              <w:left w:val="nil"/>
              <w:bottom w:val="nil"/>
              <w:right w:val="nil"/>
            </w:tcBorders>
            <w:shd w:val="clear" w:color="auto" w:fill="auto"/>
            <w:noWrap/>
            <w:vAlign w:val="center"/>
            <w:hideMark/>
          </w:tcPr>
          <w:p w14:paraId="7A0E6B53" w14:textId="7D108060" w:rsidR="00863788" w:rsidRPr="00750AAD" w:rsidRDefault="00FB6638" w:rsidP="00AF1ACF">
            <w:pPr>
              <w:tabs>
                <w:tab w:val="clear" w:pos="260"/>
              </w:tabs>
              <w:spacing w:after="0" w:line="240" w:lineRule="auto"/>
              <w:jc w:val="left"/>
              <w:rPr>
                <w:rFonts w:ascii="Aptos Narrow" w:eastAsia="Times New Roman" w:hAnsi="Aptos Narrow"/>
                <w:color w:val="000000"/>
                <w:sz w:val="16"/>
                <w:szCs w:val="16"/>
                <w:lang w:val="es-US" w:eastAsia="es-MX"/>
              </w:rPr>
            </w:pPr>
            <w:r>
              <w:rPr>
                <w:rFonts w:ascii="Aptos Narrow" w:hAnsi="Aptos Narrow"/>
                <w:color w:val="000000"/>
                <w:sz w:val="16"/>
                <w:szCs w:val="16"/>
              </w:rPr>
              <w:t>Northeast</w:t>
            </w:r>
          </w:p>
        </w:tc>
        <w:tc>
          <w:tcPr>
            <w:tcW w:w="720" w:type="dxa"/>
            <w:tcBorders>
              <w:top w:val="nil"/>
              <w:left w:val="nil"/>
              <w:bottom w:val="nil"/>
              <w:right w:val="nil"/>
            </w:tcBorders>
            <w:shd w:val="clear" w:color="auto" w:fill="auto"/>
            <w:noWrap/>
            <w:vAlign w:val="center"/>
            <w:hideMark/>
          </w:tcPr>
          <w:p w14:paraId="16385AAC" w14:textId="3B8A48FD"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253</w:t>
            </w:r>
          </w:p>
        </w:tc>
        <w:tc>
          <w:tcPr>
            <w:tcW w:w="1476" w:type="dxa"/>
            <w:tcBorders>
              <w:top w:val="nil"/>
              <w:left w:val="nil"/>
              <w:bottom w:val="nil"/>
              <w:right w:val="nil"/>
            </w:tcBorders>
            <w:shd w:val="clear" w:color="auto" w:fill="auto"/>
            <w:noWrap/>
            <w:vAlign w:val="center"/>
            <w:hideMark/>
          </w:tcPr>
          <w:p w14:paraId="0AFB3435" w14:textId="13D6E6EF"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3,483,720</w:t>
            </w:r>
          </w:p>
        </w:tc>
        <w:tc>
          <w:tcPr>
            <w:tcW w:w="1260" w:type="dxa"/>
            <w:tcBorders>
              <w:top w:val="nil"/>
              <w:left w:val="nil"/>
              <w:bottom w:val="nil"/>
              <w:right w:val="nil"/>
            </w:tcBorders>
            <w:shd w:val="clear" w:color="auto" w:fill="auto"/>
            <w:noWrap/>
            <w:vAlign w:val="center"/>
            <w:hideMark/>
          </w:tcPr>
          <w:p w14:paraId="620E7FD0" w14:textId="04AAE7B8"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1,055,423</w:t>
            </w:r>
          </w:p>
        </w:tc>
        <w:tc>
          <w:tcPr>
            <w:tcW w:w="1620" w:type="dxa"/>
            <w:tcBorders>
              <w:top w:val="nil"/>
              <w:left w:val="nil"/>
              <w:bottom w:val="nil"/>
              <w:right w:val="nil"/>
            </w:tcBorders>
            <w:shd w:val="clear" w:color="auto" w:fill="auto"/>
            <w:noWrap/>
            <w:vAlign w:val="center"/>
            <w:hideMark/>
          </w:tcPr>
          <w:p w14:paraId="709646E2" w14:textId="4A37BB1D" w:rsidR="00A63E7F"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1</w:t>
            </w:r>
            <w:r w:rsidR="00724617">
              <w:rPr>
                <w:rFonts w:ascii="Aptos Narrow" w:hAnsi="Aptos Narrow"/>
                <w:color w:val="000000"/>
                <w:sz w:val="16"/>
                <w:szCs w:val="16"/>
              </w:rPr>
              <w:t>,</w:t>
            </w:r>
            <w:r w:rsidRPr="00750AAD">
              <w:rPr>
                <w:rFonts w:ascii="Aptos Narrow" w:hAnsi="Aptos Narrow"/>
                <w:color w:val="000000"/>
                <w:sz w:val="16"/>
                <w:szCs w:val="16"/>
              </w:rPr>
              <w:t>055</w:t>
            </w:r>
            <w:r w:rsidR="00724617">
              <w:rPr>
                <w:rFonts w:ascii="Aptos Narrow" w:hAnsi="Aptos Narrow"/>
                <w:color w:val="000000"/>
                <w:sz w:val="16"/>
                <w:szCs w:val="16"/>
              </w:rPr>
              <w:t>,</w:t>
            </w:r>
            <w:r w:rsidRPr="00750AAD">
              <w:rPr>
                <w:rFonts w:ascii="Aptos Narrow" w:hAnsi="Aptos Narrow"/>
                <w:color w:val="000000"/>
                <w:sz w:val="16"/>
                <w:szCs w:val="16"/>
              </w:rPr>
              <w:t>422</w:t>
            </w:r>
          </w:p>
          <w:p w14:paraId="75F9BDB5" w14:textId="34C090FB"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w:t>
            </w:r>
            <w:r w:rsidR="00724617">
              <w:rPr>
                <w:rFonts w:ascii="Aptos Narrow" w:hAnsi="Aptos Narrow"/>
                <w:color w:val="000000"/>
                <w:sz w:val="16"/>
                <w:szCs w:val="16"/>
              </w:rPr>
              <w:t>,</w:t>
            </w:r>
            <w:r w:rsidRPr="00750AAD">
              <w:rPr>
                <w:rFonts w:ascii="Aptos Narrow" w:hAnsi="Aptos Narrow"/>
                <w:color w:val="000000"/>
                <w:sz w:val="16"/>
                <w:szCs w:val="16"/>
              </w:rPr>
              <w:t>055</w:t>
            </w:r>
            <w:r w:rsidR="00724617">
              <w:rPr>
                <w:rFonts w:ascii="Aptos Narrow" w:hAnsi="Aptos Narrow"/>
                <w:color w:val="000000"/>
                <w:sz w:val="16"/>
                <w:szCs w:val="16"/>
              </w:rPr>
              <w:t>,</w:t>
            </w:r>
            <w:r w:rsidRPr="00750AAD">
              <w:rPr>
                <w:rFonts w:ascii="Aptos Narrow" w:hAnsi="Aptos Narrow"/>
                <w:color w:val="000000"/>
                <w:sz w:val="16"/>
                <w:szCs w:val="16"/>
              </w:rPr>
              <w:t>312, 1</w:t>
            </w:r>
            <w:r w:rsidR="00724617">
              <w:rPr>
                <w:rFonts w:ascii="Aptos Narrow" w:hAnsi="Aptos Narrow"/>
                <w:color w:val="000000"/>
                <w:sz w:val="16"/>
                <w:szCs w:val="16"/>
              </w:rPr>
              <w:t>,</w:t>
            </w:r>
            <w:r w:rsidRPr="00750AAD">
              <w:rPr>
                <w:rFonts w:ascii="Aptos Narrow" w:hAnsi="Aptos Narrow"/>
                <w:color w:val="000000"/>
                <w:sz w:val="16"/>
                <w:szCs w:val="16"/>
              </w:rPr>
              <w:t>055</w:t>
            </w:r>
            <w:r w:rsidR="00724617">
              <w:rPr>
                <w:rFonts w:ascii="Aptos Narrow" w:hAnsi="Aptos Narrow"/>
                <w:color w:val="000000"/>
                <w:sz w:val="16"/>
                <w:szCs w:val="16"/>
              </w:rPr>
              <w:t>,</w:t>
            </w:r>
            <w:r w:rsidRPr="00750AAD">
              <w:rPr>
                <w:rFonts w:ascii="Aptos Narrow" w:hAnsi="Aptos Narrow"/>
                <w:color w:val="000000"/>
                <w:sz w:val="16"/>
                <w:szCs w:val="16"/>
              </w:rPr>
              <w:t>526)</w:t>
            </w:r>
          </w:p>
        </w:tc>
        <w:tc>
          <w:tcPr>
            <w:tcW w:w="1530" w:type="dxa"/>
            <w:tcBorders>
              <w:top w:val="nil"/>
              <w:left w:val="nil"/>
              <w:bottom w:val="nil"/>
              <w:right w:val="nil"/>
            </w:tcBorders>
            <w:shd w:val="clear" w:color="auto" w:fill="auto"/>
            <w:noWrap/>
            <w:vAlign w:val="center"/>
            <w:hideMark/>
          </w:tcPr>
          <w:p w14:paraId="208BEE45" w14:textId="57121503" w:rsidR="00A63E7F" w:rsidRDefault="009D3385" w:rsidP="00AF1ACF">
            <w:pPr>
              <w:tabs>
                <w:tab w:val="clear" w:pos="260"/>
              </w:tabs>
              <w:spacing w:after="0" w:line="240" w:lineRule="auto"/>
              <w:jc w:val="center"/>
              <w:rPr>
                <w:rFonts w:ascii="Aptos Narrow" w:hAnsi="Aptos Narrow"/>
                <w:color w:val="000000"/>
                <w:sz w:val="16"/>
                <w:szCs w:val="16"/>
              </w:rPr>
            </w:pPr>
            <w:r>
              <w:rPr>
                <w:rFonts w:ascii="Aptos Narrow" w:hAnsi="Aptos Narrow"/>
                <w:color w:val="000000"/>
                <w:sz w:val="16"/>
                <w:szCs w:val="16"/>
              </w:rPr>
              <w:t>+</w:t>
            </w:r>
            <w:r w:rsidR="00863788" w:rsidRPr="00750AAD">
              <w:rPr>
                <w:rFonts w:ascii="Aptos Narrow" w:hAnsi="Aptos Narrow"/>
                <w:color w:val="000000"/>
                <w:sz w:val="16"/>
                <w:szCs w:val="16"/>
              </w:rPr>
              <w:t>16</w:t>
            </w:r>
            <w:r w:rsidR="00797AAE">
              <w:rPr>
                <w:rFonts w:ascii="Aptos Narrow" w:hAnsi="Aptos Narrow"/>
                <w:color w:val="000000"/>
                <w:sz w:val="16"/>
                <w:szCs w:val="16"/>
              </w:rPr>
              <w:t>,</w:t>
            </w:r>
            <w:r w:rsidR="00863788" w:rsidRPr="00750AAD">
              <w:rPr>
                <w:rFonts w:ascii="Aptos Narrow" w:hAnsi="Aptos Narrow"/>
                <w:color w:val="000000"/>
                <w:sz w:val="16"/>
                <w:szCs w:val="16"/>
              </w:rPr>
              <w:t>712</w:t>
            </w:r>
          </w:p>
          <w:p w14:paraId="6F510F87" w14:textId="53C058B3"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(16</w:t>
            </w:r>
            <w:r w:rsidR="009D3385">
              <w:rPr>
                <w:rFonts w:ascii="Aptos Narrow" w:hAnsi="Aptos Narrow"/>
                <w:color w:val="000000"/>
                <w:sz w:val="16"/>
                <w:szCs w:val="16"/>
              </w:rPr>
              <w:t>,</w:t>
            </w:r>
            <w:r w:rsidRPr="00750AAD">
              <w:rPr>
                <w:rFonts w:ascii="Aptos Narrow" w:hAnsi="Aptos Narrow"/>
                <w:color w:val="000000"/>
                <w:sz w:val="16"/>
                <w:szCs w:val="16"/>
              </w:rPr>
              <w:t>493, 16</w:t>
            </w:r>
            <w:r w:rsidR="009D3385">
              <w:rPr>
                <w:rFonts w:ascii="Aptos Narrow" w:hAnsi="Aptos Narrow"/>
                <w:color w:val="000000"/>
                <w:sz w:val="16"/>
                <w:szCs w:val="16"/>
              </w:rPr>
              <w:t>,</w:t>
            </w:r>
            <w:r w:rsidRPr="00750AAD">
              <w:rPr>
                <w:rFonts w:ascii="Aptos Narrow" w:hAnsi="Aptos Narrow"/>
                <w:color w:val="000000"/>
                <w:sz w:val="16"/>
                <w:szCs w:val="16"/>
              </w:rPr>
              <w:t>914)</w:t>
            </w:r>
          </w:p>
        </w:tc>
        <w:tc>
          <w:tcPr>
            <w:tcW w:w="1260" w:type="dxa"/>
            <w:tcBorders>
              <w:top w:val="nil"/>
              <w:left w:val="nil"/>
              <w:bottom w:val="nil"/>
              <w:right w:val="nil"/>
            </w:tcBorders>
            <w:shd w:val="clear" w:color="auto" w:fill="auto"/>
            <w:noWrap/>
            <w:vAlign w:val="center"/>
            <w:hideMark/>
          </w:tcPr>
          <w:p w14:paraId="13CDA422" w14:textId="39A8D4CF" w:rsidR="00863788" w:rsidRPr="00750AAD" w:rsidRDefault="009D3385" w:rsidP="00AF1ACF">
            <w:pPr>
              <w:tabs>
                <w:tab w:val="clear" w:pos="260"/>
              </w:tabs>
              <w:spacing w:after="0" w:line="240" w:lineRule="auto"/>
              <w:jc w:val="center"/>
              <w:rPr>
                <w:rFonts w:ascii="Aptos Narrow" w:eastAsia="Times New Roman" w:hAnsi="Aptos Narrow"/>
                <w:color w:val="000000"/>
                <w:sz w:val="16"/>
                <w:szCs w:val="16"/>
                <w:lang w:val="es-US" w:eastAsia="es-MX"/>
              </w:rPr>
            </w:pPr>
            <w:r>
              <w:rPr>
                <w:rFonts w:ascii="Aptos Narrow" w:hAnsi="Aptos Narrow"/>
                <w:color w:val="000000"/>
                <w:sz w:val="16"/>
                <w:szCs w:val="16"/>
              </w:rPr>
              <w:t>+</w:t>
            </w:r>
            <w:r w:rsidR="00863788" w:rsidRPr="00750AAD">
              <w:rPr>
                <w:rFonts w:ascii="Aptos Narrow" w:hAnsi="Aptos Narrow"/>
                <w:color w:val="000000"/>
                <w:sz w:val="16"/>
                <w:szCs w:val="16"/>
              </w:rPr>
              <w:t>1.6</w:t>
            </w:r>
          </w:p>
        </w:tc>
      </w:tr>
      <w:tr w:rsidR="00863788" w:rsidRPr="003C1E77" w14:paraId="0E361DA1" w14:textId="77777777" w:rsidTr="000A2288">
        <w:trPr>
          <w:trHeight w:val="20"/>
        </w:trPr>
        <w:tc>
          <w:tcPr>
            <w:tcW w:w="1584" w:type="dxa"/>
            <w:tcBorders>
              <w:top w:val="nil"/>
              <w:left w:val="nil"/>
              <w:bottom w:val="nil"/>
              <w:right w:val="nil"/>
            </w:tcBorders>
            <w:shd w:val="clear" w:color="auto" w:fill="auto"/>
            <w:noWrap/>
            <w:vAlign w:val="center"/>
            <w:hideMark/>
          </w:tcPr>
          <w:p w14:paraId="50D60819" w14:textId="432534AB" w:rsidR="00863788" w:rsidRPr="00750AAD" w:rsidRDefault="00863788" w:rsidP="00AF1ACF">
            <w:pPr>
              <w:tabs>
                <w:tab w:val="clear" w:pos="260"/>
              </w:tabs>
              <w:spacing w:after="0" w:line="240" w:lineRule="auto"/>
              <w:jc w:val="left"/>
              <w:rPr>
                <w:rFonts w:ascii="Aptos Narrow" w:eastAsia="Times New Roman" w:hAnsi="Aptos Narrow"/>
                <w:color w:val="000000"/>
                <w:sz w:val="16"/>
                <w:szCs w:val="16"/>
                <w:lang w:val="es-US" w:eastAsia="es-MX"/>
              </w:rPr>
            </w:pPr>
            <w:r w:rsidRPr="00750AAD">
              <w:rPr>
                <w:rFonts w:ascii="Aptos Narrow" w:hAnsi="Aptos Narrow"/>
                <w:color w:val="000000"/>
                <w:sz w:val="16"/>
                <w:szCs w:val="16"/>
              </w:rPr>
              <w:t>Northern Great Plains</w:t>
            </w:r>
          </w:p>
        </w:tc>
        <w:tc>
          <w:tcPr>
            <w:tcW w:w="720" w:type="dxa"/>
            <w:tcBorders>
              <w:top w:val="nil"/>
              <w:left w:val="nil"/>
              <w:bottom w:val="nil"/>
              <w:right w:val="nil"/>
            </w:tcBorders>
            <w:shd w:val="clear" w:color="auto" w:fill="auto"/>
            <w:noWrap/>
            <w:vAlign w:val="center"/>
            <w:hideMark/>
          </w:tcPr>
          <w:p w14:paraId="3E018F75" w14:textId="28234A68"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76</w:t>
            </w:r>
          </w:p>
        </w:tc>
        <w:tc>
          <w:tcPr>
            <w:tcW w:w="1476" w:type="dxa"/>
            <w:tcBorders>
              <w:top w:val="nil"/>
              <w:left w:val="nil"/>
              <w:bottom w:val="nil"/>
              <w:right w:val="nil"/>
            </w:tcBorders>
            <w:shd w:val="clear" w:color="auto" w:fill="auto"/>
            <w:noWrap/>
            <w:vAlign w:val="center"/>
            <w:hideMark/>
          </w:tcPr>
          <w:p w14:paraId="5CE95651" w14:textId="6FEEC49C"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286,049</w:t>
            </w:r>
          </w:p>
        </w:tc>
        <w:tc>
          <w:tcPr>
            <w:tcW w:w="1260" w:type="dxa"/>
            <w:tcBorders>
              <w:top w:val="nil"/>
              <w:left w:val="nil"/>
              <w:bottom w:val="nil"/>
              <w:right w:val="nil"/>
            </w:tcBorders>
            <w:shd w:val="clear" w:color="auto" w:fill="auto"/>
            <w:noWrap/>
            <w:vAlign w:val="center"/>
            <w:hideMark/>
          </w:tcPr>
          <w:p w14:paraId="7EA140F5" w14:textId="40E87D1C"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83,857</w:t>
            </w:r>
          </w:p>
        </w:tc>
        <w:tc>
          <w:tcPr>
            <w:tcW w:w="1620" w:type="dxa"/>
            <w:tcBorders>
              <w:top w:val="nil"/>
              <w:left w:val="nil"/>
              <w:bottom w:val="nil"/>
              <w:right w:val="nil"/>
            </w:tcBorders>
            <w:shd w:val="clear" w:color="auto" w:fill="auto"/>
            <w:noWrap/>
            <w:vAlign w:val="center"/>
            <w:hideMark/>
          </w:tcPr>
          <w:p w14:paraId="75DB1FA2" w14:textId="6BBCE6E2" w:rsidR="00A63E7F"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83</w:t>
            </w:r>
            <w:r w:rsidR="00724617">
              <w:rPr>
                <w:rFonts w:ascii="Aptos Narrow" w:hAnsi="Aptos Narrow"/>
                <w:color w:val="000000"/>
                <w:sz w:val="16"/>
                <w:szCs w:val="16"/>
              </w:rPr>
              <w:t>,</w:t>
            </w:r>
            <w:r w:rsidRPr="00750AAD">
              <w:rPr>
                <w:rFonts w:ascii="Aptos Narrow" w:hAnsi="Aptos Narrow"/>
                <w:color w:val="000000"/>
                <w:sz w:val="16"/>
                <w:szCs w:val="16"/>
              </w:rPr>
              <w:t>855</w:t>
            </w:r>
          </w:p>
          <w:p w14:paraId="13D0B8F5" w14:textId="5E911006"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(83</w:t>
            </w:r>
            <w:r w:rsidR="00724617">
              <w:rPr>
                <w:rFonts w:ascii="Aptos Narrow" w:hAnsi="Aptos Narrow"/>
                <w:color w:val="000000"/>
                <w:sz w:val="16"/>
                <w:szCs w:val="16"/>
              </w:rPr>
              <w:t>,</w:t>
            </w:r>
            <w:r w:rsidRPr="00750AAD">
              <w:rPr>
                <w:rFonts w:ascii="Aptos Narrow" w:hAnsi="Aptos Narrow"/>
                <w:color w:val="000000"/>
                <w:sz w:val="16"/>
                <w:szCs w:val="16"/>
              </w:rPr>
              <w:t>825, 83</w:t>
            </w:r>
            <w:r w:rsidR="00724617">
              <w:rPr>
                <w:rFonts w:ascii="Aptos Narrow" w:hAnsi="Aptos Narrow"/>
                <w:color w:val="000000"/>
                <w:sz w:val="16"/>
                <w:szCs w:val="16"/>
              </w:rPr>
              <w:t>,</w:t>
            </w:r>
            <w:r w:rsidRPr="00750AAD">
              <w:rPr>
                <w:rFonts w:ascii="Aptos Narrow" w:hAnsi="Aptos Narrow"/>
                <w:color w:val="000000"/>
                <w:sz w:val="16"/>
                <w:szCs w:val="16"/>
              </w:rPr>
              <w:t>887)</w:t>
            </w:r>
          </w:p>
        </w:tc>
        <w:tc>
          <w:tcPr>
            <w:tcW w:w="1530" w:type="dxa"/>
            <w:tcBorders>
              <w:top w:val="nil"/>
              <w:left w:val="nil"/>
              <w:bottom w:val="nil"/>
              <w:right w:val="nil"/>
            </w:tcBorders>
            <w:shd w:val="clear" w:color="auto" w:fill="auto"/>
            <w:noWrap/>
            <w:vAlign w:val="center"/>
            <w:hideMark/>
          </w:tcPr>
          <w:p w14:paraId="4EFA2A5D" w14:textId="48F2614A" w:rsidR="00A63E7F" w:rsidRDefault="009D3385" w:rsidP="00AF1ACF">
            <w:pPr>
              <w:tabs>
                <w:tab w:val="clear" w:pos="260"/>
              </w:tabs>
              <w:spacing w:after="0" w:line="240" w:lineRule="auto"/>
              <w:jc w:val="center"/>
              <w:rPr>
                <w:rFonts w:ascii="Aptos Narrow" w:hAnsi="Aptos Narrow"/>
                <w:color w:val="000000"/>
                <w:sz w:val="16"/>
                <w:szCs w:val="16"/>
              </w:rPr>
            </w:pPr>
            <w:r>
              <w:rPr>
                <w:rFonts w:ascii="Aptos Narrow" w:hAnsi="Aptos Narrow"/>
                <w:color w:val="000000"/>
                <w:sz w:val="16"/>
                <w:szCs w:val="16"/>
              </w:rPr>
              <w:t>+</w:t>
            </w:r>
            <w:r w:rsidR="00863788" w:rsidRPr="00750AAD">
              <w:rPr>
                <w:rFonts w:ascii="Aptos Narrow" w:hAnsi="Aptos Narrow"/>
                <w:color w:val="000000"/>
                <w:sz w:val="16"/>
                <w:szCs w:val="16"/>
              </w:rPr>
              <w:t>1</w:t>
            </w:r>
            <w:r>
              <w:rPr>
                <w:rFonts w:ascii="Aptos Narrow" w:hAnsi="Aptos Narrow"/>
                <w:color w:val="000000"/>
                <w:sz w:val="16"/>
                <w:szCs w:val="16"/>
              </w:rPr>
              <w:t>,</w:t>
            </w:r>
            <w:r w:rsidR="00863788" w:rsidRPr="00750AAD">
              <w:rPr>
                <w:rFonts w:ascii="Aptos Narrow" w:hAnsi="Aptos Narrow"/>
                <w:color w:val="000000"/>
                <w:sz w:val="16"/>
                <w:szCs w:val="16"/>
              </w:rPr>
              <w:t>022</w:t>
            </w:r>
          </w:p>
          <w:p w14:paraId="430DFD42" w14:textId="48337DC7"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(964, 1</w:t>
            </w:r>
            <w:r w:rsidR="009D3385">
              <w:rPr>
                <w:rFonts w:ascii="Aptos Narrow" w:hAnsi="Aptos Narrow"/>
                <w:color w:val="000000"/>
                <w:sz w:val="16"/>
                <w:szCs w:val="16"/>
              </w:rPr>
              <w:t>,</w:t>
            </w:r>
            <w:r w:rsidRPr="00750AAD">
              <w:rPr>
                <w:rFonts w:ascii="Aptos Narrow" w:hAnsi="Aptos Narrow"/>
                <w:color w:val="000000"/>
                <w:sz w:val="16"/>
                <w:szCs w:val="16"/>
              </w:rPr>
              <w:t>083)</w:t>
            </w:r>
          </w:p>
        </w:tc>
        <w:tc>
          <w:tcPr>
            <w:tcW w:w="1260" w:type="dxa"/>
            <w:tcBorders>
              <w:top w:val="nil"/>
              <w:left w:val="nil"/>
              <w:bottom w:val="nil"/>
              <w:right w:val="nil"/>
            </w:tcBorders>
            <w:shd w:val="clear" w:color="auto" w:fill="auto"/>
            <w:noWrap/>
            <w:vAlign w:val="center"/>
            <w:hideMark/>
          </w:tcPr>
          <w:p w14:paraId="0AB99FDA" w14:textId="1CF8D853" w:rsidR="00863788" w:rsidRPr="00750AAD" w:rsidRDefault="009D3385" w:rsidP="00AF1ACF">
            <w:pPr>
              <w:tabs>
                <w:tab w:val="clear" w:pos="260"/>
              </w:tabs>
              <w:spacing w:after="0" w:line="240" w:lineRule="auto"/>
              <w:jc w:val="center"/>
              <w:rPr>
                <w:rFonts w:ascii="Aptos Narrow" w:eastAsia="Times New Roman" w:hAnsi="Aptos Narrow"/>
                <w:color w:val="000000"/>
                <w:sz w:val="16"/>
                <w:szCs w:val="16"/>
                <w:lang w:val="es-US" w:eastAsia="es-MX"/>
              </w:rPr>
            </w:pPr>
            <w:r>
              <w:rPr>
                <w:rFonts w:ascii="Aptos Narrow" w:hAnsi="Aptos Narrow"/>
                <w:color w:val="000000"/>
                <w:sz w:val="16"/>
                <w:szCs w:val="16"/>
              </w:rPr>
              <w:t>+</w:t>
            </w:r>
            <w:r w:rsidR="00863788" w:rsidRPr="00750AAD">
              <w:rPr>
                <w:rFonts w:ascii="Aptos Narrow" w:hAnsi="Aptos Narrow"/>
                <w:color w:val="000000"/>
                <w:sz w:val="16"/>
                <w:szCs w:val="16"/>
              </w:rPr>
              <w:t>1.2</w:t>
            </w:r>
          </w:p>
        </w:tc>
      </w:tr>
      <w:tr w:rsidR="00863788" w:rsidRPr="003C1E77" w14:paraId="4018980D" w14:textId="77777777" w:rsidTr="000A2288">
        <w:trPr>
          <w:trHeight w:val="20"/>
        </w:trPr>
        <w:tc>
          <w:tcPr>
            <w:tcW w:w="1584" w:type="dxa"/>
            <w:tcBorders>
              <w:top w:val="nil"/>
              <w:left w:val="nil"/>
              <w:bottom w:val="nil"/>
              <w:right w:val="nil"/>
            </w:tcBorders>
            <w:shd w:val="clear" w:color="auto" w:fill="auto"/>
            <w:noWrap/>
            <w:vAlign w:val="center"/>
            <w:hideMark/>
          </w:tcPr>
          <w:p w14:paraId="4D1B5C24" w14:textId="6F682307" w:rsidR="00863788" w:rsidRPr="00750AAD" w:rsidRDefault="00863788" w:rsidP="00AF1ACF">
            <w:pPr>
              <w:tabs>
                <w:tab w:val="clear" w:pos="260"/>
              </w:tabs>
              <w:spacing w:after="0" w:line="240" w:lineRule="auto"/>
              <w:jc w:val="left"/>
              <w:rPr>
                <w:rFonts w:ascii="Aptos Narrow" w:eastAsia="Times New Roman" w:hAnsi="Aptos Narrow"/>
                <w:color w:val="000000"/>
                <w:sz w:val="16"/>
                <w:szCs w:val="16"/>
                <w:lang w:val="es-US" w:eastAsia="es-MX"/>
              </w:rPr>
            </w:pPr>
            <w:r w:rsidRPr="00750AAD">
              <w:rPr>
                <w:rFonts w:ascii="Aptos Narrow" w:hAnsi="Aptos Narrow"/>
                <w:color w:val="000000"/>
                <w:sz w:val="16"/>
                <w:szCs w:val="16"/>
              </w:rPr>
              <w:t>Northwest</w:t>
            </w:r>
          </w:p>
        </w:tc>
        <w:tc>
          <w:tcPr>
            <w:tcW w:w="720" w:type="dxa"/>
            <w:tcBorders>
              <w:top w:val="nil"/>
              <w:left w:val="nil"/>
              <w:bottom w:val="nil"/>
              <w:right w:val="nil"/>
            </w:tcBorders>
            <w:shd w:val="clear" w:color="auto" w:fill="auto"/>
            <w:noWrap/>
            <w:vAlign w:val="center"/>
            <w:hideMark/>
          </w:tcPr>
          <w:p w14:paraId="2DAAA2D4" w14:textId="791FB0BD"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60</w:t>
            </w:r>
          </w:p>
        </w:tc>
        <w:tc>
          <w:tcPr>
            <w:tcW w:w="1476" w:type="dxa"/>
            <w:tcBorders>
              <w:top w:val="nil"/>
              <w:left w:val="nil"/>
              <w:bottom w:val="nil"/>
              <w:right w:val="nil"/>
            </w:tcBorders>
            <w:shd w:val="clear" w:color="auto" w:fill="auto"/>
            <w:noWrap/>
            <w:vAlign w:val="center"/>
            <w:hideMark/>
          </w:tcPr>
          <w:p w14:paraId="06355904" w14:textId="699B508D"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501,741</w:t>
            </w:r>
          </w:p>
        </w:tc>
        <w:tc>
          <w:tcPr>
            <w:tcW w:w="1260" w:type="dxa"/>
            <w:tcBorders>
              <w:top w:val="nil"/>
              <w:left w:val="nil"/>
              <w:bottom w:val="nil"/>
              <w:right w:val="nil"/>
            </w:tcBorders>
            <w:shd w:val="clear" w:color="auto" w:fill="auto"/>
            <w:noWrap/>
            <w:vAlign w:val="center"/>
            <w:hideMark/>
          </w:tcPr>
          <w:p w14:paraId="47A49232" w14:textId="495A3793"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130,086</w:t>
            </w:r>
          </w:p>
        </w:tc>
        <w:tc>
          <w:tcPr>
            <w:tcW w:w="1620" w:type="dxa"/>
            <w:tcBorders>
              <w:top w:val="nil"/>
              <w:left w:val="nil"/>
              <w:bottom w:val="nil"/>
              <w:right w:val="nil"/>
            </w:tcBorders>
            <w:shd w:val="clear" w:color="auto" w:fill="auto"/>
            <w:noWrap/>
            <w:vAlign w:val="center"/>
            <w:hideMark/>
          </w:tcPr>
          <w:p w14:paraId="555F3400" w14:textId="158B3106" w:rsidR="00A63E7F"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130</w:t>
            </w:r>
            <w:r w:rsidR="00724617">
              <w:rPr>
                <w:rFonts w:ascii="Aptos Narrow" w:hAnsi="Aptos Narrow"/>
                <w:color w:val="000000"/>
                <w:sz w:val="16"/>
                <w:szCs w:val="16"/>
              </w:rPr>
              <w:t>,</w:t>
            </w:r>
            <w:r w:rsidRPr="00750AAD">
              <w:rPr>
                <w:rFonts w:ascii="Aptos Narrow" w:hAnsi="Aptos Narrow"/>
                <w:color w:val="000000"/>
                <w:sz w:val="16"/>
                <w:szCs w:val="16"/>
              </w:rPr>
              <w:t>084</w:t>
            </w:r>
          </w:p>
          <w:p w14:paraId="227389B4" w14:textId="6C7E3330"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(130</w:t>
            </w:r>
            <w:r w:rsidR="00724617">
              <w:rPr>
                <w:rFonts w:ascii="Aptos Narrow" w:hAnsi="Aptos Narrow"/>
                <w:color w:val="000000"/>
                <w:sz w:val="16"/>
                <w:szCs w:val="16"/>
              </w:rPr>
              <w:t>,</w:t>
            </w:r>
            <w:r w:rsidRPr="00750AAD">
              <w:rPr>
                <w:rFonts w:ascii="Aptos Narrow" w:hAnsi="Aptos Narrow"/>
                <w:color w:val="000000"/>
                <w:sz w:val="16"/>
                <w:szCs w:val="16"/>
              </w:rPr>
              <w:t>046, 130</w:t>
            </w:r>
            <w:r w:rsidR="00724617">
              <w:rPr>
                <w:rFonts w:ascii="Aptos Narrow" w:hAnsi="Aptos Narrow"/>
                <w:color w:val="000000"/>
                <w:sz w:val="16"/>
                <w:szCs w:val="16"/>
              </w:rPr>
              <w:t>,</w:t>
            </w:r>
            <w:r w:rsidRPr="00750AAD">
              <w:rPr>
                <w:rFonts w:ascii="Aptos Narrow" w:hAnsi="Aptos Narrow"/>
                <w:color w:val="000000"/>
                <w:sz w:val="16"/>
                <w:szCs w:val="16"/>
              </w:rPr>
              <w:t>126)</w:t>
            </w:r>
          </w:p>
        </w:tc>
        <w:tc>
          <w:tcPr>
            <w:tcW w:w="1530" w:type="dxa"/>
            <w:tcBorders>
              <w:top w:val="nil"/>
              <w:left w:val="nil"/>
              <w:bottom w:val="nil"/>
              <w:right w:val="nil"/>
            </w:tcBorders>
            <w:shd w:val="clear" w:color="auto" w:fill="auto"/>
            <w:noWrap/>
            <w:vAlign w:val="center"/>
            <w:hideMark/>
          </w:tcPr>
          <w:p w14:paraId="7684B1E8" w14:textId="17E45E31" w:rsidR="00A63E7F" w:rsidRDefault="009D3385" w:rsidP="00AF1ACF">
            <w:pPr>
              <w:tabs>
                <w:tab w:val="clear" w:pos="260"/>
              </w:tabs>
              <w:spacing w:after="0" w:line="240" w:lineRule="auto"/>
              <w:jc w:val="center"/>
              <w:rPr>
                <w:rFonts w:ascii="Aptos Narrow" w:hAnsi="Aptos Narrow"/>
                <w:color w:val="000000"/>
                <w:sz w:val="16"/>
                <w:szCs w:val="16"/>
              </w:rPr>
            </w:pPr>
            <w:r>
              <w:rPr>
                <w:rFonts w:ascii="Aptos Narrow" w:hAnsi="Aptos Narrow"/>
                <w:color w:val="000000"/>
                <w:sz w:val="16"/>
                <w:szCs w:val="16"/>
              </w:rPr>
              <w:t>+</w:t>
            </w:r>
            <w:r w:rsidR="00863788" w:rsidRPr="00750AAD">
              <w:rPr>
                <w:rFonts w:ascii="Aptos Narrow" w:hAnsi="Aptos Narrow"/>
                <w:color w:val="000000"/>
                <w:sz w:val="16"/>
                <w:szCs w:val="16"/>
              </w:rPr>
              <w:t>2</w:t>
            </w:r>
            <w:r>
              <w:rPr>
                <w:rFonts w:ascii="Aptos Narrow" w:hAnsi="Aptos Narrow"/>
                <w:color w:val="000000"/>
                <w:sz w:val="16"/>
                <w:szCs w:val="16"/>
              </w:rPr>
              <w:t>,</w:t>
            </w:r>
            <w:r w:rsidR="00863788" w:rsidRPr="00750AAD">
              <w:rPr>
                <w:rFonts w:ascii="Aptos Narrow" w:hAnsi="Aptos Narrow"/>
                <w:color w:val="000000"/>
                <w:sz w:val="16"/>
                <w:szCs w:val="16"/>
              </w:rPr>
              <w:t>005</w:t>
            </w:r>
          </w:p>
          <w:p w14:paraId="6FB29883" w14:textId="41006F22"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w:t>
            </w:r>
            <w:r w:rsidR="009D3385">
              <w:rPr>
                <w:rFonts w:ascii="Aptos Narrow" w:hAnsi="Aptos Narrow"/>
                <w:color w:val="000000"/>
                <w:sz w:val="16"/>
                <w:szCs w:val="16"/>
              </w:rPr>
              <w:t>,</w:t>
            </w:r>
            <w:r w:rsidRPr="00750AAD">
              <w:rPr>
                <w:rFonts w:ascii="Aptos Narrow" w:hAnsi="Aptos Narrow"/>
                <w:color w:val="000000"/>
                <w:sz w:val="16"/>
                <w:szCs w:val="16"/>
              </w:rPr>
              <w:t>935, 2</w:t>
            </w:r>
            <w:r w:rsidR="00861AF4">
              <w:rPr>
                <w:rFonts w:ascii="Aptos Narrow" w:hAnsi="Aptos Narrow"/>
                <w:color w:val="000000"/>
                <w:sz w:val="16"/>
                <w:szCs w:val="16"/>
              </w:rPr>
              <w:t>,</w:t>
            </w:r>
            <w:r w:rsidRPr="00750AAD">
              <w:rPr>
                <w:rFonts w:ascii="Aptos Narrow" w:hAnsi="Aptos Narrow"/>
                <w:color w:val="000000"/>
                <w:sz w:val="16"/>
                <w:szCs w:val="16"/>
              </w:rPr>
              <w:t>083)</w:t>
            </w:r>
          </w:p>
        </w:tc>
        <w:tc>
          <w:tcPr>
            <w:tcW w:w="1260" w:type="dxa"/>
            <w:tcBorders>
              <w:top w:val="nil"/>
              <w:left w:val="nil"/>
              <w:bottom w:val="nil"/>
              <w:right w:val="nil"/>
            </w:tcBorders>
            <w:shd w:val="clear" w:color="auto" w:fill="auto"/>
            <w:noWrap/>
            <w:vAlign w:val="center"/>
            <w:hideMark/>
          </w:tcPr>
          <w:p w14:paraId="3191C3FD" w14:textId="118FBACD" w:rsidR="00863788" w:rsidRPr="00750AAD" w:rsidRDefault="009D3385" w:rsidP="00AF1ACF">
            <w:pPr>
              <w:tabs>
                <w:tab w:val="clear" w:pos="260"/>
              </w:tabs>
              <w:spacing w:after="0" w:line="240" w:lineRule="auto"/>
              <w:jc w:val="center"/>
              <w:rPr>
                <w:rFonts w:ascii="Aptos Narrow" w:eastAsia="Times New Roman" w:hAnsi="Aptos Narrow"/>
                <w:color w:val="000000"/>
                <w:sz w:val="16"/>
                <w:szCs w:val="16"/>
                <w:lang w:val="es-US" w:eastAsia="es-MX"/>
              </w:rPr>
            </w:pPr>
            <w:r>
              <w:rPr>
                <w:rFonts w:ascii="Aptos Narrow" w:hAnsi="Aptos Narrow"/>
                <w:color w:val="000000"/>
                <w:sz w:val="16"/>
                <w:szCs w:val="16"/>
              </w:rPr>
              <w:t>+</w:t>
            </w:r>
            <w:r w:rsidR="00863788" w:rsidRPr="00750AAD">
              <w:rPr>
                <w:rFonts w:ascii="Aptos Narrow" w:hAnsi="Aptos Narrow"/>
                <w:color w:val="000000"/>
                <w:sz w:val="16"/>
                <w:szCs w:val="16"/>
              </w:rPr>
              <w:t>1.5</w:t>
            </w:r>
          </w:p>
        </w:tc>
      </w:tr>
      <w:tr w:rsidR="00863788" w:rsidRPr="003C1E77" w14:paraId="23D8F7AA" w14:textId="77777777" w:rsidTr="000A2288">
        <w:trPr>
          <w:trHeight w:val="20"/>
        </w:trPr>
        <w:tc>
          <w:tcPr>
            <w:tcW w:w="1584" w:type="dxa"/>
            <w:tcBorders>
              <w:top w:val="nil"/>
              <w:left w:val="nil"/>
              <w:bottom w:val="nil"/>
              <w:right w:val="nil"/>
            </w:tcBorders>
            <w:shd w:val="clear" w:color="auto" w:fill="auto"/>
            <w:noWrap/>
            <w:vAlign w:val="center"/>
            <w:hideMark/>
          </w:tcPr>
          <w:p w14:paraId="0A8E0E15" w14:textId="784F211C" w:rsidR="00863788" w:rsidRPr="00750AAD" w:rsidRDefault="00863788" w:rsidP="00AF1ACF">
            <w:pPr>
              <w:tabs>
                <w:tab w:val="clear" w:pos="260"/>
              </w:tabs>
              <w:spacing w:after="0" w:line="240" w:lineRule="auto"/>
              <w:jc w:val="left"/>
              <w:rPr>
                <w:rFonts w:ascii="Aptos Narrow" w:eastAsia="Times New Roman" w:hAnsi="Aptos Narrow"/>
                <w:color w:val="000000"/>
                <w:sz w:val="16"/>
                <w:szCs w:val="16"/>
                <w:lang w:val="es-US" w:eastAsia="es-MX"/>
              </w:rPr>
            </w:pPr>
            <w:r w:rsidRPr="00750AAD">
              <w:rPr>
                <w:rFonts w:ascii="Aptos Narrow" w:hAnsi="Aptos Narrow"/>
                <w:color w:val="000000"/>
                <w:sz w:val="16"/>
                <w:szCs w:val="16"/>
              </w:rPr>
              <w:t>Southeast</w:t>
            </w:r>
          </w:p>
        </w:tc>
        <w:tc>
          <w:tcPr>
            <w:tcW w:w="720" w:type="dxa"/>
            <w:tcBorders>
              <w:top w:val="nil"/>
              <w:left w:val="nil"/>
              <w:bottom w:val="nil"/>
              <w:right w:val="nil"/>
            </w:tcBorders>
            <w:shd w:val="clear" w:color="auto" w:fill="auto"/>
            <w:noWrap/>
            <w:vAlign w:val="center"/>
            <w:hideMark/>
          </w:tcPr>
          <w:p w14:paraId="06BEE990" w14:textId="7EF0BFDC"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795</w:t>
            </w:r>
          </w:p>
        </w:tc>
        <w:tc>
          <w:tcPr>
            <w:tcW w:w="1476" w:type="dxa"/>
            <w:tcBorders>
              <w:top w:val="nil"/>
              <w:left w:val="nil"/>
              <w:bottom w:val="nil"/>
              <w:right w:val="nil"/>
            </w:tcBorders>
            <w:shd w:val="clear" w:color="auto" w:fill="auto"/>
            <w:noWrap/>
            <w:vAlign w:val="center"/>
            <w:hideMark/>
          </w:tcPr>
          <w:p w14:paraId="6512FA0C" w14:textId="35085E88"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5,778,368</w:t>
            </w:r>
          </w:p>
        </w:tc>
        <w:tc>
          <w:tcPr>
            <w:tcW w:w="1260" w:type="dxa"/>
            <w:tcBorders>
              <w:top w:val="nil"/>
              <w:left w:val="nil"/>
              <w:bottom w:val="nil"/>
              <w:right w:val="nil"/>
            </w:tcBorders>
            <w:shd w:val="clear" w:color="auto" w:fill="auto"/>
            <w:noWrap/>
            <w:vAlign w:val="center"/>
            <w:hideMark/>
          </w:tcPr>
          <w:p w14:paraId="240F9C2A" w14:textId="58ABB681"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2,186,146</w:t>
            </w:r>
          </w:p>
        </w:tc>
        <w:tc>
          <w:tcPr>
            <w:tcW w:w="1620" w:type="dxa"/>
            <w:tcBorders>
              <w:top w:val="nil"/>
              <w:left w:val="nil"/>
              <w:bottom w:val="nil"/>
              <w:right w:val="nil"/>
            </w:tcBorders>
            <w:shd w:val="clear" w:color="auto" w:fill="auto"/>
            <w:noWrap/>
            <w:vAlign w:val="center"/>
            <w:hideMark/>
          </w:tcPr>
          <w:p w14:paraId="51AEED11" w14:textId="2EFE3B51" w:rsidR="00A63E7F"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2</w:t>
            </w:r>
            <w:r w:rsidR="00724617">
              <w:rPr>
                <w:rFonts w:ascii="Aptos Narrow" w:hAnsi="Aptos Narrow"/>
                <w:color w:val="000000"/>
                <w:sz w:val="16"/>
                <w:szCs w:val="16"/>
              </w:rPr>
              <w:t>,</w:t>
            </w:r>
            <w:r w:rsidRPr="00750AAD">
              <w:rPr>
                <w:rFonts w:ascii="Aptos Narrow" w:hAnsi="Aptos Narrow"/>
                <w:color w:val="000000"/>
                <w:sz w:val="16"/>
                <w:szCs w:val="16"/>
              </w:rPr>
              <w:t>186</w:t>
            </w:r>
            <w:r w:rsidR="00724617">
              <w:rPr>
                <w:rFonts w:ascii="Aptos Narrow" w:hAnsi="Aptos Narrow"/>
                <w:color w:val="000000"/>
                <w:sz w:val="16"/>
                <w:szCs w:val="16"/>
              </w:rPr>
              <w:t>,</w:t>
            </w:r>
            <w:r w:rsidRPr="00750AAD">
              <w:rPr>
                <w:rFonts w:ascii="Aptos Narrow" w:hAnsi="Aptos Narrow"/>
                <w:color w:val="000000"/>
                <w:sz w:val="16"/>
                <w:szCs w:val="16"/>
              </w:rPr>
              <w:t>152</w:t>
            </w:r>
          </w:p>
          <w:p w14:paraId="02CB1F70" w14:textId="47F6C6DB"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w:t>
            </w:r>
            <w:r w:rsidR="00724617">
              <w:rPr>
                <w:rFonts w:ascii="Aptos Narrow" w:hAnsi="Aptos Narrow"/>
                <w:color w:val="000000"/>
                <w:sz w:val="16"/>
                <w:szCs w:val="16"/>
              </w:rPr>
              <w:t>,</w:t>
            </w:r>
            <w:r w:rsidRPr="00750AAD">
              <w:rPr>
                <w:rFonts w:ascii="Aptos Narrow" w:hAnsi="Aptos Narrow"/>
                <w:color w:val="000000"/>
                <w:sz w:val="16"/>
                <w:szCs w:val="16"/>
              </w:rPr>
              <w:t>186</w:t>
            </w:r>
            <w:r w:rsidR="00724617">
              <w:rPr>
                <w:rFonts w:ascii="Aptos Narrow" w:hAnsi="Aptos Narrow"/>
                <w:color w:val="000000"/>
                <w:sz w:val="16"/>
                <w:szCs w:val="16"/>
              </w:rPr>
              <w:t>,</w:t>
            </w:r>
            <w:r w:rsidRPr="00750AAD">
              <w:rPr>
                <w:rFonts w:ascii="Aptos Narrow" w:hAnsi="Aptos Narrow"/>
                <w:color w:val="000000"/>
                <w:sz w:val="16"/>
                <w:szCs w:val="16"/>
              </w:rPr>
              <w:t>014, 2</w:t>
            </w:r>
            <w:r w:rsidR="00724617">
              <w:rPr>
                <w:rFonts w:ascii="Aptos Narrow" w:hAnsi="Aptos Narrow"/>
                <w:color w:val="000000"/>
                <w:sz w:val="16"/>
                <w:szCs w:val="16"/>
              </w:rPr>
              <w:t>,</w:t>
            </w:r>
            <w:r w:rsidRPr="00750AAD">
              <w:rPr>
                <w:rFonts w:ascii="Aptos Narrow" w:hAnsi="Aptos Narrow"/>
                <w:color w:val="000000"/>
                <w:sz w:val="16"/>
                <w:szCs w:val="16"/>
              </w:rPr>
              <w:t>186</w:t>
            </w:r>
            <w:r w:rsidR="00724617">
              <w:rPr>
                <w:rFonts w:ascii="Aptos Narrow" w:hAnsi="Aptos Narrow"/>
                <w:color w:val="000000"/>
                <w:sz w:val="16"/>
                <w:szCs w:val="16"/>
              </w:rPr>
              <w:t>,</w:t>
            </w:r>
            <w:r w:rsidRPr="00750AAD">
              <w:rPr>
                <w:rFonts w:ascii="Aptos Narrow" w:hAnsi="Aptos Narrow"/>
                <w:color w:val="000000"/>
                <w:sz w:val="16"/>
                <w:szCs w:val="16"/>
              </w:rPr>
              <w:t>320)</w:t>
            </w:r>
          </w:p>
        </w:tc>
        <w:tc>
          <w:tcPr>
            <w:tcW w:w="1530" w:type="dxa"/>
            <w:tcBorders>
              <w:top w:val="nil"/>
              <w:left w:val="nil"/>
              <w:bottom w:val="nil"/>
              <w:right w:val="nil"/>
            </w:tcBorders>
            <w:shd w:val="clear" w:color="auto" w:fill="auto"/>
            <w:noWrap/>
            <w:vAlign w:val="center"/>
            <w:hideMark/>
          </w:tcPr>
          <w:p w14:paraId="25D81A85" w14:textId="6A367122" w:rsidR="00A63E7F" w:rsidRDefault="009D3385" w:rsidP="00AF1ACF">
            <w:pPr>
              <w:tabs>
                <w:tab w:val="clear" w:pos="260"/>
              </w:tabs>
              <w:spacing w:after="0" w:line="240" w:lineRule="auto"/>
              <w:jc w:val="center"/>
              <w:rPr>
                <w:rFonts w:ascii="Aptos Narrow" w:hAnsi="Aptos Narrow"/>
                <w:color w:val="000000"/>
                <w:sz w:val="16"/>
                <w:szCs w:val="16"/>
              </w:rPr>
            </w:pPr>
            <w:r>
              <w:rPr>
                <w:rFonts w:ascii="Aptos Narrow" w:hAnsi="Aptos Narrow"/>
                <w:color w:val="000000"/>
                <w:sz w:val="16"/>
                <w:szCs w:val="16"/>
              </w:rPr>
              <w:t>+</w:t>
            </w:r>
            <w:r w:rsidR="00863788" w:rsidRPr="00750AAD">
              <w:rPr>
                <w:rFonts w:ascii="Aptos Narrow" w:hAnsi="Aptos Narrow"/>
                <w:color w:val="000000"/>
                <w:sz w:val="16"/>
                <w:szCs w:val="16"/>
              </w:rPr>
              <w:t>23</w:t>
            </w:r>
            <w:r w:rsidR="00797AAE">
              <w:rPr>
                <w:rFonts w:ascii="Aptos Narrow" w:hAnsi="Aptos Narrow"/>
                <w:color w:val="000000"/>
                <w:sz w:val="16"/>
                <w:szCs w:val="16"/>
              </w:rPr>
              <w:t>,</w:t>
            </w:r>
            <w:r w:rsidR="00863788" w:rsidRPr="00750AAD">
              <w:rPr>
                <w:rFonts w:ascii="Aptos Narrow" w:hAnsi="Aptos Narrow"/>
                <w:color w:val="000000"/>
                <w:sz w:val="16"/>
                <w:szCs w:val="16"/>
              </w:rPr>
              <w:t>732</w:t>
            </w:r>
          </w:p>
          <w:p w14:paraId="1FC5C675" w14:textId="5BAA0D96"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(23283, 24168)</w:t>
            </w:r>
          </w:p>
        </w:tc>
        <w:tc>
          <w:tcPr>
            <w:tcW w:w="1260" w:type="dxa"/>
            <w:tcBorders>
              <w:top w:val="nil"/>
              <w:left w:val="nil"/>
              <w:bottom w:val="nil"/>
              <w:right w:val="nil"/>
            </w:tcBorders>
            <w:shd w:val="clear" w:color="auto" w:fill="auto"/>
            <w:noWrap/>
            <w:vAlign w:val="center"/>
            <w:hideMark/>
          </w:tcPr>
          <w:p w14:paraId="015B3A51" w14:textId="51FE0B5C" w:rsidR="00863788" w:rsidRPr="00750AAD" w:rsidRDefault="009D3385" w:rsidP="00AF1ACF">
            <w:pPr>
              <w:tabs>
                <w:tab w:val="clear" w:pos="260"/>
              </w:tabs>
              <w:spacing w:after="0" w:line="240" w:lineRule="auto"/>
              <w:jc w:val="center"/>
              <w:rPr>
                <w:rFonts w:ascii="Aptos Narrow" w:eastAsia="Times New Roman" w:hAnsi="Aptos Narrow"/>
                <w:color w:val="000000"/>
                <w:sz w:val="16"/>
                <w:szCs w:val="16"/>
                <w:lang w:val="es-US" w:eastAsia="es-MX"/>
              </w:rPr>
            </w:pPr>
            <w:r>
              <w:rPr>
                <w:rFonts w:ascii="Aptos Narrow" w:hAnsi="Aptos Narrow"/>
                <w:color w:val="000000"/>
                <w:sz w:val="16"/>
                <w:szCs w:val="16"/>
              </w:rPr>
              <w:t>+</w:t>
            </w:r>
            <w:r w:rsidR="00863788" w:rsidRPr="00750AAD">
              <w:rPr>
                <w:rFonts w:ascii="Aptos Narrow" w:hAnsi="Aptos Narrow"/>
                <w:color w:val="000000"/>
                <w:sz w:val="16"/>
                <w:szCs w:val="16"/>
              </w:rPr>
              <w:t>1.1</w:t>
            </w:r>
          </w:p>
        </w:tc>
      </w:tr>
      <w:tr w:rsidR="00863788" w:rsidRPr="003C1E77" w14:paraId="79DB9F1C" w14:textId="77777777" w:rsidTr="000A2288">
        <w:trPr>
          <w:trHeight w:val="20"/>
        </w:trPr>
        <w:tc>
          <w:tcPr>
            <w:tcW w:w="1584" w:type="dxa"/>
            <w:tcBorders>
              <w:top w:val="nil"/>
              <w:left w:val="nil"/>
              <w:right w:val="nil"/>
            </w:tcBorders>
            <w:shd w:val="clear" w:color="auto" w:fill="auto"/>
            <w:noWrap/>
            <w:vAlign w:val="center"/>
            <w:hideMark/>
          </w:tcPr>
          <w:p w14:paraId="55A1FE1D" w14:textId="00DDF917" w:rsidR="00863788" w:rsidRPr="00750AAD" w:rsidRDefault="00863788" w:rsidP="00AF1ACF">
            <w:pPr>
              <w:tabs>
                <w:tab w:val="clear" w:pos="260"/>
              </w:tabs>
              <w:spacing w:after="0" w:line="240" w:lineRule="auto"/>
              <w:jc w:val="left"/>
              <w:rPr>
                <w:rFonts w:ascii="Aptos Narrow" w:eastAsia="Times New Roman" w:hAnsi="Aptos Narrow"/>
                <w:color w:val="000000"/>
                <w:sz w:val="16"/>
                <w:szCs w:val="16"/>
                <w:lang w:val="es-US" w:eastAsia="es-MX"/>
              </w:rPr>
            </w:pPr>
            <w:r w:rsidRPr="00750AAD">
              <w:rPr>
                <w:rFonts w:ascii="Aptos Narrow" w:hAnsi="Aptos Narrow"/>
                <w:color w:val="000000"/>
                <w:sz w:val="16"/>
                <w:szCs w:val="16"/>
              </w:rPr>
              <w:t>Southern Great Plains</w:t>
            </w:r>
          </w:p>
        </w:tc>
        <w:tc>
          <w:tcPr>
            <w:tcW w:w="720" w:type="dxa"/>
            <w:tcBorders>
              <w:top w:val="nil"/>
              <w:left w:val="nil"/>
              <w:right w:val="nil"/>
            </w:tcBorders>
            <w:shd w:val="clear" w:color="auto" w:fill="auto"/>
            <w:noWrap/>
            <w:vAlign w:val="center"/>
            <w:hideMark/>
          </w:tcPr>
          <w:p w14:paraId="429E7D35" w14:textId="2AA01AD2"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259</w:t>
            </w:r>
          </w:p>
        </w:tc>
        <w:tc>
          <w:tcPr>
            <w:tcW w:w="1476" w:type="dxa"/>
            <w:tcBorders>
              <w:top w:val="nil"/>
              <w:left w:val="nil"/>
              <w:right w:val="nil"/>
            </w:tcBorders>
            <w:shd w:val="clear" w:color="auto" w:fill="auto"/>
            <w:noWrap/>
            <w:vAlign w:val="center"/>
            <w:hideMark/>
          </w:tcPr>
          <w:p w14:paraId="5536343E" w14:textId="1F99F386"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2,937,845</w:t>
            </w:r>
          </w:p>
        </w:tc>
        <w:tc>
          <w:tcPr>
            <w:tcW w:w="1260" w:type="dxa"/>
            <w:tcBorders>
              <w:top w:val="nil"/>
              <w:left w:val="nil"/>
              <w:right w:val="nil"/>
            </w:tcBorders>
            <w:shd w:val="clear" w:color="auto" w:fill="auto"/>
            <w:noWrap/>
            <w:vAlign w:val="center"/>
            <w:hideMark/>
          </w:tcPr>
          <w:p w14:paraId="1B7F0E22" w14:textId="1C1CDEBC"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907,101</w:t>
            </w:r>
          </w:p>
        </w:tc>
        <w:tc>
          <w:tcPr>
            <w:tcW w:w="1620" w:type="dxa"/>
            <w:tcBorders>
              <w:top w:val="nil"/>
              <w:left w:val="nil"/>
              <w:right w:val="nil"/>
            </w:tcBorders>
            <w:shd w:val="clear" w:color="auto" w:fill="auto"/>
            <w:noWrap/>
            <w:vAlign w:val="center"/>
            <w:hideMark/>
          </w:tcPr>
          <w:p w14:paraId="39B2E90B" w14:textId="459F15F8" w:rsidR="00A63E7F"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907</w:t>
            </w:r>
            <w:r w:rsidR="00724617">
              <w:rPr>
                <w:rFonts w:ascii="Aptos Narrow" w:hAnsi="Aptos Narrow"/>
                <w:color w:val="000000"/>
                <w:sz w:val="16"/>
                <w:szCs w:val="16"/>
              </w:rPr>
              <w:t>,</w:t>
            </w:r>
            <w:r w:rsidRPr="00750AAD">
              <w:rPr>
                <w:rFonts w:ascii="Aptos Narrow" w:hAnsi="Aptos Narrow"/>
                <w:color w:val="000000"/>
                <w:sz w:val="16"/>
                <w:szCs w:val="16"/>
              </w:rPr>
              <w:t>092</w:t>
            </w:r>
          </w:p>
          <w:p w14:paraId="6F4FA079" w14:textId="7CFC3A25"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(906</w:t>
            </w:r>
            <w:r w:rsidR="00724617">
              <w:rPr>
                <w:rFonts w:ascii="Aptos Narrow" w:hAnsi="Aptos Narrow"/>
                <w:color w:val="000000"/>
                <w:sz w:val="16"/>
                <w:szCs w:val="16"/>
              </w:rPr>
              <w:t>,</w:t>
            </w:r>
            <w:r w:rsidRPr="00750AAD">
              <w:rPr>
                <w:rFonts w:ascii="Aptos Narrow" w:hAnsi="Aptos Narrow"/>
                <w:color w:val="000000"/>
                <w:sz w:val="16"/>
                <w:szCs w:val="16"/>
              </w:rPr>
              <w:t>978, 907</w:t>
            </w:r>
            <w:r w:rsidR="00724617">
              <w:rPr>
                <w:rFonts w:ascii="Aptos Narrow" w:hAnsi="Aptos Narrow"/>
                <w:color w:val="000000"/>
                <w:sz w:val="16"/>
                <w:szCs w:val="16"/>
              </w:rPr>
              <w:t>,</w:t>
            </w:r>
            <w:r w:rsidRPr="00750AAD">
              <w:rPr>
                <w:rFonts w:ascii="Aptos Narrow" w:hAnsi="Aptos Narrow"/>
                <w:color w:val="000000"/>
                <w:sz w:val="16"/>
                <w:szCs w:val="16"/>
              </w:rPr>
              <w:t>228)</w:t>
            </w:r>
          </w:p>
        </w:tc>
        <w:tc>
          <w:tcPr>
            <w:tcW w:w="1530" w:type="dxa"/>
            <w:tcBorders>
              <w:top w:val="nil"/>
              <w:left w:val="nil"/>
              <w:right w:val="nil"/>
            </w:tcBorders>
            <w:shd w:val="clear" w:color="auto" w:fill="auto"/>
            <w:noWrap/>
            <w:vAlign w:val="center"/>
            <w:hideMark/>
          </w:tcPr>
          <w:p w14:paraId="7A22925E" w14:textId="031AA529" w:rsidR="00A63E7F" w:rsidRDefault="00797AAE" w:rsidP="00AF1ACF">
            <w:pPr>
              <w:tabs>
                <w:tab w:val="clear" w:pos="260"/>
              </w:tabs>
              <w:spacing w:after="0" w:line="240" w:lineRule="auto"/>
              <w:jc w:val="center"/>
              <w:rPr>
                <w:rFonts w:ascii="Aptos Narrow" w:hAnsi="Aptos Narrow"/>
                <w:color w:val="000000"/>
                <w:sz w:val="16"/>
                <w:szCs w:val="16"/>
              </w:rPr>
            </w:pPr>
            <w:r>
              <w:rPr>
                <w:rFonts w:ascii="Aptos Narrow" w:hAnsi="Aptos Narrow"/>
                <w:color w:val="000000"/>
                <w:sz w:val="16"/>
                <w:szCs w:val="16"/>
              </w:rPr>
              <w:t>+</w:t>
            </w:r>
            <w:r w:rsidR="00863788" w:rsidRPr="00750AAD">
              <w:rPr>
                <w:rFonts w:ascii="Aptos Narrow" w:hAnsi="Aptos Narrow"/>
                <w:color w:val="000000"/>
                <w:sz w:val="16"/>
                <w:szCs w:val="16"/>
              </w:rPr>
              <w:t>10</w:t>
            </w:r>
            <w:r>
              <w:rPr>
                <w:rFonts w:ascii="Aptos Narrow" w:hAnsi="Aptos Narrow"/>
                <w:color w:val="000000"/>
                <w:sz w:val="16"/>
                <w:szCs w:val="16"/>
              </w:rPr>
              <w:t>,</w:t>
            </w:r>
            <w:r w:rsidR="00863788" w:rsidRPr="00750AAD">
              <w:rPr>
                <w:rFonts w:ascii="Aptos Narrow" w:hAnsi="Aptos Narrow"/>
                <w:color w:val="000000"/>
                <w:sz w:val="16"/>
                <w:szCs w:val="16"/>
              </w:rPr>
              <w:t>873</w:t>
            </w:r>
          </w:p>
          <w:p w14:paraId="1FE8551D" w14:textId="4D622A8A"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(10</w:t>
            </w:r>
            <w:r w:rsidR="00797AAE">
              <w:rPr>
                <w:rFonts w:ascii="Aptos Narrow" w:hAnsi="Aptos Narrow"/>
                <w:color w:val="000000"/>
                <w:sz w:val="16"/>
                <w:szCs w:val="16"/>
              </w:rPr>
              <w:t>,</w:t>
            </w:r>
            <w:r w:rsidRPr="00750AAD">
              <w:rPr>
                <w:rFonts w:ascii="Aptos Narrow" w:hAnsi="Aptos Narrow"/>
                <w:color w:val="000000"/>
                <w:sz w:val="16"/>
                <w:szCs w:val="16"/>
              </w:rPr>
              <w:t>654, 11</w:t>
            </w:r>
            <w:r w:rsidR="00797AAE">
              <w:rPr>
                <w:rFonts w:ascii="Aptos Narrow" w:hAnsi="Aptos Narrow"/>
                <w:color w:val="000000"/>
                <w:sz w:val="16"/>
                <w:szCs w:val="16"/>
              </w:rPr>
              <w:t>,</w:t>
            </w:r>
            <w:r w:rsidRPr="00750AAD">
              <w:rPr>
                <w:rFonts w:ascii="Aptos Narrow" w:hAnsi="Aptos Narrow"/>
                <w:color w:val="000000"/>
                <w:sz w:val="16"/>
                <w:szCs w:val="16"/>
              </w:rPr>
              <w:t>118)</w:t>
            </w:r>
          </w:p>
        </w:tc>
        <w:tc>
          <w:tcPr>
            <w:tcW w:w="1260" w:type="dxa"/>
            <w:tcBorders>
              <w:top w:val="nil"/>
              <w:left w:val="nil"/>
              <w:right w:val="nil"/>
            </w:tcBorders>
            <w:shd w:val="clear" w:color="auto" w:fill="auto"/>
            <w:noWrap/>
            <w:vAlign w:val="center"/>
            <w:hideMark/>
          </w:tcPr>
          <w:p w14:paraId="2F15FEC5" w14:textId="1A06ADCD" w:rsidR="00863788" w:rsidRPr="00750AAD" w:rsidRDefault="009D3385" w:rsidP="00AF1ACF">
            <w:pPr>
              <w:tabs>
                <w:tab w:val="clear" w:pos="260"/>
              </w:tabs>
              <w:spacing w:after="0" w:line="240" w:lineRule="auto"/>
              <w:jc w:val="center"/>
              <w:rPr>
                <w:rFonts w:ascii="Aptos Narrow" w:eastAsia="Times New Roman" w:hAnsi="Aptos Narrow"/>
                <w:color w:val="000000"/>
                <w:sz w:val="16"/>
                <w:szCs w:val="16"/>
                <w:lang w:val="es-US" w:eastAsia="es-MX"/>
              </w:rPr>
            </w:pPr>
            <w:r>
              <w:rPr>
                <w:rFonts w:ascii="Aptos Narrow" w:hAnsi="Aptos Narrow"/>
                <w:color w:val="000000"/>
                <w:sz w:val="16"/>
                <w:szCs w:val="16"/>
              </w:rPr>
              <w:t>+</w:t>
            </w:r>
            <w:r w:rsidR="00863788" w:rsidRPr="00750AAD">
              <w:rPr>
                <w:rFonts w:ascii="Aptos Narrow" w:hAnsi="Aptos Narrow"/>
                <w:color w:val="000000"/>
                <w:sz w:val="16"/>
                <w:szCs w:val="16"/>
              </w:rPr>
              <w:t>1.2</w:t>
            </w:r>
          </w:p>
        </w:tc>
      </w:tr>
      <w:tr w:rsidR="00863788" w:rsidRPr="003C1E77" w14:paraId="1F1A7D89" w14:textId="77777777" w:rsidTr="000A2288">
        <w:trPr>
          <w:trHeight w:val="20"/>
        </w:trPr>
        <w:tc>
          <w:tcPr>
            <w:tcW w:w="1584" w:type="dxa"/>
            <w:tcBorders>
              <w:top w:val="nil"/>
              <w:left w:val="nil"/>
              <w:bottom w:val="single" w:sz="4" w:space="0" w:color="auto"/>
              <w:right w:val="nil"/>
            </w:tcBorders>
            <w:shd w:val="clear" w:color="auto" w:fill="auto"/>
            <w:noWrap/>
            <w:vAlign w:val="center"/>
            <w:hideMark/>
          </w:tcPr>
          <w:p w14:paraId="7973E350" w14:textId="51E60309" w:rsidR="00863788" w:rsidRPr="00750AAD" w:rsidRDefault="00863788" w:rsidP="00AF1ACF">
            <w:pPr>
              <w:tabs>
                <w:tab w:val="clear" w:pos="260"/>
              </w:tabs>
              <w:spacing w:after="0" w:line="240" w:lineRule="auto"/>
              <w:jc w:val="left"/>
              <w:rPr>
                <w:rFonts w:ascii="Aptos Narrow" w:eastAsia="Times New Roman" w:hAnsi="Aptos Narrow"/>
                <w:color w:val="000000"/>
                <w:sz w:val="16"/>
                <w:szCs w:val="16"/>
                <w:lang w:val="es-US" w:eastAsia="es-MX"/>
              </w:rPr>
            </w:pPr>
            <w:r w:rsidRPr="00750AAD">
              <w:rPr>
                <w:rFonts w:ascii="Aptos Narrow" w:hAnsi="Aptos Narrow"/>
                <w:color w:val="000000"/>
                <w:sz w:val="16"/>
                <w:szCs w:val="16"/>
              </w:rPr>
              <w:t>Southwest</w:t>
            </w:r>
          </w:p>
        </w:tc>
        <w:tc>
          <w:tcPr>
            <w:tcW w:w="720" w:type="dxa"/>
            <w:tcBorders>
              <w:top w:val="nil"/>
              <w:left w:val="nil"/>
              <w:bottom w:val="single" w:sz="4" w:space="0" w:color="auto"/>
              <w:right w:val="nil"/>
            </w:tcBorders>
            <w:shd w:val="clear" w:color="auto" w:fill="auto"/>
            <w:noWrap/>
            <w:vAlign w:val="center"/>
            <w:hideMark/>
          </w:tcPr>
          <w:p w14:paraId="6DE474B6" w14:textId="6419B72C"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142</w:t>
            </w:r>
          </w:p>
        </w:tc>
        <w:tc>
          <w:tcPr>
            <w:tcW w:w="1476" w:type="dxa"/>
            <w:tcBorders>
              <w:top w:val="nil"/>
              <w:left w:val="nil"/>
              <w:bottom w:val="single" w:sz="4" w:space="0" w:color="auto"/>
              <w:right w:val="nil"/>
            </w:tcBorders>
            <w:shd w:val="clear" w:color="auto" w:fill="auto"/>
            <w:noWrap/>
            <w:vAlign w:val="center"/>
            <w:hideMark/>
          </w:tcPr>
          <w:p w14:paraId="705E65AC" w14:textId="7381A09C"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2,938,609</w:t>
            </w:r>
          </w:p>
        </w:tc>
        <w:tc>
          <w:tcPr>
            <w:tcW w:w="1260" w:type="dxa"/>
            <w:tcBorders>
              <w:top w:val="nil"/>
              <w:left w:val="nil"/>
              <w:bottom w:val="single" w:sz="4" w:space="0" w:color="auto"/>
              <w:right w:val="nil"/>
            </w:tcBorders>
            <w:shd w:val="clear" w:color="auto" w:fill="auto"/>
            <w:noWrap/>
            <w:vAlign w:val="center"/>
            <w:hideMark/>
          </w:tcPr>
          <w:p w14:paraId="706F658D" w14:textId="218063A4"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691,344</w:t>
            </w:r>
          </w:p>
        </w:tc>
        <w:tc>
          <w:tcPr>
            <w:tcW w:w="1620" w:type="dxa"/>
            <w:tcBorders>
              <w:top w:val="nil"/>
              <w:left w:val="nil"/>
              <w:bottom w:val="single" w:sz="4" w:space="0" w:color="auto"/>
              <w:right w:val="nil"/>
            </w:tcBorders>
            <w:shd w:val="clear" w:color="auto" w:fill="auto"/>
            <w:noWrap/>
            <w:vAlign w:val="center"/>
            <w:hideMark/>
          </w:tcPr>
          <w:p w14:paraId="5DD20FDC" w14:textId="303ED61C" w:rsidR="00A63E7F"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691337</w:t>
            </w:r>
          </w:p>
          <w:p w14:paraId="66793C77" w14:textId="475E0540"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(691</w:t>
            </w:r>
            <w:r w:rsidR="00724617">
              <w:rPr>
                <w:rFonts w:ascii="Aptos Narrow" w:hAnsi="Aptos Narrow"/>
                <w:color w:val="000000"/>
                <w:sz w:val="16"/>
                <w:szCs w:val="16"/>
              </w:rPr>
              <w:t>,</w:t>
            </w:r>
            <w:r w:rsidRPr="00750AAD">
              <w:rPr>
                <w:rFonts w:ascii="Aptos Narrow" w:hAnsi="Aptos Narrow"/>
                <w:color w:val="000000"/>
                <w:sz w:val="16"/>
                <w:szCs w:val="16"/>
              </w:rPr>
              <w:t>245, 691</w:t>
            </w:r>
            <w:r w:rsidR="00724617">
              <w:rPr>
                <w:rFonts w:ascii="Aptos Narrow" w:hAnsi="Aptos Narrow"/>
                <w:color w:val="000000"/>
                <w:sz w:val="16"/>
                <w:szCs w:val="16"/>
              </w:rPr>
              <w:t>,</w:t>
            </w:r>
            <w:r w:rsidRPr="00750AAD">
              <w:rPr>
                <w:rFonts w:ascii="Aptos Narrow" w:hAnsi="Aptos Narrow"/>
                <w:color w:val="000000"/>
                <w:sz w:val="16"/>
                <w:szCs w:val="16"/>
              </w:rPr>
              <w:t>433)</w:t>
            </w:r>
          </w:p>
        </w:tc>
        <w:tc>
          <w:tcPr>
            <w:tcW w:w="1530" w:type="dxa"/>
            <w:tcBorders>
              <w:top w:val="nil"/>
              <w:left w:val="nil"/>
              <w:bottom w:val="single" w:sz="4" w:space="0" w:color="auto"/>
              <w:right w:val="nil"/>
            </w:tcBorders>
            <w:shd w:val="clear" w:color="auto" w:fill="auto"/>
            <w:noWrap/>
            <w:vAlign w:val="center"/>
            <w:hideMark/>
          </w:tcPr>
          <w:p w14:paraId="4ECB54FB" w14:textId="75A8BD33" w:rsidR="00A63E7F"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7</w:t>
            </w:r>
            <w:r w:rsidR="009D3385">
              <w:rPr>
                <w:rFonts w:ascii="Aptos Narrow" w:hAnsi="Aptos Narrow"/>
                <w:color w:val="000000"/>
                <w:sz w:val="16"/>
                <w:szCs w:val="16"/>
              </w:rPr>
              <w:t>,</w:t>
            </w:r>
            <w:r w:rsidRPr="00750AAD">
              <w:rPr>
                <w:rFonts w:ascii="Aptos Narrow" w:hAnsi="Aptos Narrow"/>
                <w:color w:val="000000"/>
                <w:sz w:val="16"/>
                <w:szCs w:val="16"/>
              </w:rPr>
              <w:t>201</w:t>
            </w:r>
          </w:p>
          <w:p w14:paraId="4006D80E" w14:textId="6A163D4E"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(7</w:t>
            </w:r>
            <w:r w:rsidR="00797AAE">
              <w:rPr>
                <w:rFonts w:ascii="Aptos Narrow" w:hAnsi="Aptos Narrow"/>
                <w:color w:val="000000"/>
                <w:sz w:val="16"/>
                <w:szCs w:val="16"/>
              </w:rPr>
              <w:t>,</w:t>
            </w:r>
            <w:r w:rsidRPr="00750AAD">
              <w:rPr>
                <w:rFonts w:ascii="Aptos Narrow" w:hAnsi="Aptos Narrow"/>
                <w:color w:val="000000"/>
                <w:sz w:val="16"/>
                <w:szCs w:val="16"/>
              </w:rPr>
              <w:t>009, 7</w:t>
            </w:r>
            <w:r w:rsidR="00797AAE">
              <w:rPr>
                <w:rFonts w:ascii="Aptos Narrow" w:hAnsi="Aptos Narrow"/>
                <w:color w:val="000000"/>
                <w:sz w:val="16"/>
                <w:szCs w:val="16"/>
              </w:rPr>
              <w:t>,</w:t>
            </w:r>
            <w:r w:rsidRPr="00750AAD">
              <w:rPr>
                <w:rFonts w:ascii="Aptos Narrow" w:hAnsi="Aptos Narrow"/>
                <w:color w:val="000000"/>
                <w:sz w:val="16"/>
                <w:szCs w:val="16"/>
              </w:rPr>
              <w:t>374)</w:t>
            </w:r>
          </w:p>
        </w:tc>
        <w:tc>
          <w:tcPr>
            <w:tcW w:w="1260" w:type="dxa"/>
            <w:tcBorders>
              <w:top w:val="nil"/>
              <w:left w:val="nil"/>
              <w:bottom w:val="single" w:sz="4" w:space="0" w:color="auto"/>
              <w:right w:val="nil"/>
            </w:tcBorders>
            <w:shd w:val="clear" w:color="auto" w:fill="auto"/>
            <w:noWrap/>
            <w:vAlign w:val="center"/>
            <w:hideMark/>
          </w:tcPr>
          <w:p w14:paraId="619B550B" w14:textId="0D466219" w:rsidR="00863788" w:rsidRPr="00750AAD" w:rsidRDefault="009D3385" w:rsidP="00AF1ACF">
            <w:pPr>
              <w:tabs>
                <w:tab w:val="clear" w:pos="260"/>
              </w:tabs>
              <w:spacing w:after="0" w:line="240" w:lineRule="auto"/>
              <w:jc w:val="center"/>
              <w:rPr>
                <w:rFonts w:ascii="Aptos Narrow" w:eastAsia="Times New Roman" w:hAnsi="Aptos Narrow"/>
                <w:color w:val="000000"/>
                <w:sz w:val="16"/>
                <w:szCs w:val="16"/>
                <w:lang w:val="es-US" w:eastAsia="es-MX"/>
              </w:rPr>
            </w:pPr>
            <w:r>
              <w:rPr>
                <w:rFonts w:ascii="Aptos Narrow" w:hAnsi="Aptos Narrow"/>
                <w:color w:val="000000"/>
                <w:sz w:val="16"/>
                <w:szCs w:val="16"/>
              </w:rPr>
              <w:t>+</w:t>
            </w:r>
            <w:r w:rsidR="00863788" w:rsidRPr="00750AAD">
              <w:rPr>
                <w:rFonts w:ascii="Aptos Narrow" w:hAnsi="Aptos Narrow"/>
                <w:color w:val="000000"/>
                <w:sz w:val="16"/>
                <w:szCs w:val="16"/>
              </w:rPr>
              <w:t>1.0</w:t>
            </w:r>
          </w:p>
        </w:tc>
      </w:tr>
      <w:tr w:rsidR="00863788" w:rsidRPr="003C1E77" w14:paraId="4EF1E3BA" w14:textId="77777777" w:rsidTr="000A2288">
        <w:trPr>
          <w:trHeight w:val="20"/>
        </w:trPr>
        <w:tc>
          <w:tcPr>
            <w:tcW w:w="1584" w:type="dxa"/>
            <w:tcBorders>
              <w:top w:val="single" w:sz="4" w:space="0" w:color="auto"/>
              <w:left w:val="nil"/>
              <w:bottom w:val="single" w:sz="4" w:space="0" w:color="auto"/>
              <w:right w:val="nil"/>
            </w:tcBorders>
            <w:shd w:val="clear" w:color="auto" w:fill="auto"/>
            <w:noWrap/>
            <w:vAlign w:val="center"/>
          </w:tcPr>
          <w:p w14:paraId="564EB1E2" w14:textId="2DFEF5F3" w:rsidR="00863788" w:rsidRPr="00750AAD" w:rsidRDefault="00863788" w:rsidP="00AF1ACF">
            <w:pPr>
              <w:tabs>
                <w:tab w:val="clear" w:pos="260"/>
              </w:tabs>
              <w:spacing w:after="0" w:line="240" w:lineRule="auto"/>
              <w:jc w:val="left"/>
              <w:rPr>
                <w:rFonts w:ascii="Aptos Narrow" w:eastAsia="Times New Roman" w:hAnsi="Aptos Narrow"/>
                <w:color w:val="000000"/>
                <w:sz w:val="16"/>
                <w:szCs w:val="16"/>
                <w:lang w:val="es-US" w:eastAsia="es-MX"/>
              </w:rPr>
            </w:pPr>
            <w:r w:rsidRPr="00750AAD">
              <w:rPr>
                <w:rFonts w:ascii="Aptos Narrow" w:hAnsi="Aptos Narrow"/>
                <w:color w:val="000000"/>
                <w:sz w:val="16"/>
                <w:szCs w:val="16"/>
              </w:rPr>
              <w:t>All</w:t>
            </w:r>
          </w:p>
        </w:tc>
        <w:tc>
          <w:tcPr>
            <w:tcW w:w="720" w:type="dxa"/>
            <w:tcBorders>
              <w:top w:val="single" w:sz="4" w:space="0" w:color="auto"/>
              <w:left w:val="nil"/>
              <w:bottom w:val="single" w:sz="4" w:space="0" w:color="auto"/>
              <w:right w:val="nil"/>
            </w:tcBorders>
            <w:shd w:val="clear" w:color="auto" w:fill="auto"/>
            <w:noWrap/>
            <w:vAlign w:val="center"/>
          </w:tcPr>
          <w:p w14:paraId="240AFF06" w14:textId="6BD42776"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2,161</w:t>
            </w:r>
          </w:p>
        </w:tc>
        <w:tc>
          <w:tcPr>
            <w:tcW w:w="1476" w:type="dxa"/>
            <w:tcBorders>
              <w:top w:val="single" w:sz="4" w:space="0" w:color="auto"/>
              <w:left w:val="nil"/>
              <w:bottom w:val="single" w:sz="4" w:space="0" w:color="auto"/>
              <w:right w:val="nil"/>
            </w:tcBorders>
            <w:shd w:val="clear" w:color="auto" w:fill="auto"/>
            <w:noWrap/>
            <w:vAlign w:val="center"/>
          </w:tcPr>
          <w:p w14:paraId="54E64D70" w14:textId="637639C6"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eastAsia="es-MX"/>
              </w:rPr>
            </w:pPr>
            <w:r w:rsidRPr="00750AAD">
              <w:rPr>
                <w:rFonts w:ascii="Aptos Narrow" w:hAnsi="Aptos Narrow"/>
                <w:color w:val="000000"/>
                <w:sz w:val="16"/>
                <w:szCs w:val="16"/>
              </w:rPr>
              <w:t>21,090,141</w:t>
            </w:r>
          </w:p>
        </w:tc>
        <w:tc>
          <w:tcPr>
            <w:tcW w:w="1260" w:type="dxa"/>
            <w:tcBorders>
              <w:top w:val="single" w:sz="4" w:space="0" w:color="auto"/>
              <w:left w:val="nil"/>
              <w:bottom w:val="single" w:sz="4" w:space="0" w:color="auto"/>
              <w:right w:val="nil"/>
            </w:tcBorders>
            <w:shd w:val="clear" w:color="auto" w:fill="auto"/>
            <w:noWrap/>
            <w:vAlign w:val="center"/>
          </w:tcPr>
          <w:p w14:paraId="0056DC4B" w14:textId="49934F13" w:rsidR="00863788" w:rsidRPr="00750AAD" w:rsidRDefault="00863788" w:rsidP="00AF1ACF">
            <w:pPr>
              <w:tabs>
                <w:tab w:val="clear" w:pos="260"/>
              </w:tabs>
              <w:spacing w:after="0" w:line="240" w:lineRule="auto"/>
              <w:jc w:val="center"/>
              <w:rPr>
                <w:rFonts w:ascii="Aptos Narrow" w:eastAsia="Times New Roman" w:hAnsi="Aptos Narrow"/>
                <w:color w:val="000000"/>
                <w:sz w:val="16"/>
                <w:szCs w:val="16"/>
                <w:lang w:val="es-US" w:eastAsia="es-MX"/>
              </w:rPr>
            </w:pPr>
            <w:r w:rsidRPr="00750AAD">
              <w:rPr>
                <w:rFonts w:ascii="Aptos Narrow" w:hAnsi="Aptos Narrow"/>
                <w:color w:val="000000"/>
                <w:sz w:val="16"/>
                <w:szCs w:val="16"/>
              </w:rPr>
              <w:t>6,772,351</w:t>
            </w:r>
          </w:p>
        </w:tc>
        <w:tc>
          <w:tcPr>
            <w:tcW w:w="1620" w:type="dxa"/>
            <w:tcBorders>
              <w:top w:val="single" w:sz="4" w:space="0" w:color="auto"/>
              <w:left w:val="nil"/>
              <w:bottom w:val="single" w:sz="4" w:space="0" w:color="auto"/>
              <w:right w:val="nil"/>
            </w:tcBorders>
            <w:shd w:val="clear" w:color="auto" w:fill="auto"/>
            <w:noWrap/>
            <w:vAlign w:val="center"/>
          </w:tcPr>
          <w:p w14:paraId="029CF594" w14:textId="656F33E1" w:rsidR="00A63E7F"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6</w:t>
            </w:r>
            <w:r w:rsidR="00724617">
              <w:rPr>
                <w:rFonts w:ascii="Aptos Narrow" w:hAnsi="Aptos Narrow"/>
                <w:color w:val="000000"/>
                <w:sz w:val="16"/>
                <w:szCs w:val="16"/>
              </w:rPr>
              <w:t>,</w:t>
            </w:r>
            <w:r w:rsidRPr="00750AAD">
              <w:rPr>
                <w:rFonts w:ascii="Aptos Narrow" w:hAnsi="Aptos Narrow"/>
                <w:color w:val="000000"/>
                <w:sz w:val="16"/>
                <w:szCs w:val="16"/>
              </w:rPr>
              <w:t>772</w:t>
            </w:r>
            <w:r w:rsidR="00724617">
              <w:rPr>
                <w:rFonts w:ascii="Aptos Narrow" w:hAnsi="Aptos Narrow"/>
                <w:color w:val="000000"/>
                <w:sz w:val="16"/>
                <w:szCs w:val="16"/>
              </w:rPr>
              <w:t>,</w:t>
            </w:r>
            <w:r w:rsidRPr="00750AAD">
              <w:rPr>
                <w:rFonts w:ascii="Aptos Narrow" w:hAnsi="Aptos Narrow"/>
                <w:color w:val="000000"/>
                <w:sz w:val="16"/>
                <w:szCs w:val="16"/>
              </w:rPr>
              <w:t>338</w:t>
            </w:r>
          </w:p>
          <w:p w14:paraId="086FDE84" w14:textId="74C5125A" w:rsidR="00863788" w:rsidRPr="00750AAD"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(6</w:t>
            </w:r>
            <w:r w:rsidR="00724617">
              <w:rPr>
                <w:rFonts w:ascii="Aptos Narrow" w:hAnsi="Aptos Narrow"/>
                <w:color w:val="000000"/>
                <w:sz w:val="16"/>
                <w:szCs w:val="16"/>
              </w:rPr>
              <w:t>,</w:t>
            </w:r>
            <w:r w:rsidRPr="00750AAD">
              <w:rPr>
                <w:rFonts w:ascii="Aptos Narrow" w:hAnsi="Aptos Narrow"/>
                <w:color w:val="000000"/>
                <w:sz w:val="16"/>
                <w:szCs w:val="16"/>
              </w:rPr>
              <w:t>772</w:t>
            </w:r>
            <w:r w:rsidR="00724617">
              <w:rPr>
                <w:rFonts w:ascii="Aptos Narrow" w:hAnsi="Aptos Narrow"/>
                <w:color w:val="000000"/>
                <w:sz w:val="16"/>
                <w:szCs w:val="16"/>
              </w:rPr>
              <w:t>,</w:t>
            </w:r>
            <w:r w:rsidRPr="00750AAD">
              <w:rPr>
                <w:rFonts w:ascii="Aptos Narrow" w:hAnsi="Aptos Narrow"/>
                <w:color w:val="000000"/>
                <w:sz w:val="16"/>
                <w:szCs w:val="16"/>
              </w:rPr>
              <w:t>077, 6</w:t>
            </w:r>
            <w:r w:rsidR="00724617">
              <w:rPr>
                <w:rFonts w:ascii="Aptos Narrow" w:hAnsi="Aptos Narrow"/>
                <w:color w:val="000000"/>
                <w:sz w:val="16"/>
                <w:szCs w:val="16"/>
              </w:rPr>
              <w:t>,</w:t>
            </w:r>
            <w:r w:rsidRPr="00750AAD">
              <w:rPr>
                <w:rFonts w:ascii="Aptos Narrow" w:hAnsi="Aptos Narrow"/>
                <w:color w:val="000000"/>
                <w:sz w:val="16"/>
                <w:szCs w:val="16"/>
              </w:rPr>
              <w:t>772</w:t>
            </w:r>
            <w:r w:rsidR="00724617">
              <w:rPr>
                <w:rFonts w:ascii="Aptos Narrow" w:hAnsi="Aptos Narrow"/>
                <w:color w:val="000000"/>
                <w:sz w:val="16"/>
                <w:szCs w:val="16"/>
              </w:rPr>
              <w:t>,</w:t>
            </w:r>
            <w:r w:rsidRPr="00750AAD">
              <w:rPr>
                <w:rFonts w:ascii="Aptos Narrow" w:hAnsi="Aptos Narrow"/>
                <w:color w:val="000000"/>
                <w:sz w:val="16"/>
                <w:szCs w:val="16"/>
              </w:rPr>
              <w:t>616)</w:t>
            </w:r>
          </w:p>
        </w:tc>
        <w:tc>
          <w:tcPr>
            <w:tcW w:w="1530" w:type="dxa"/>
            <w:tcBorders>
              <w:top w:val="single" w:sz="4" w:space="0" w:color="auto"/>
              <w:left w:val="nil"/>
              <w:bottom w:val="single" w:sz="4" w:space="0" w:color="auto"/>
              <w:right w:val="nil"/>
            </w:tcBorders>
            <w:shd w:val="clear" w:color="auto" w:fill="auto"/>
            <w:noWrap/>
            <w:vAlign w:val="center"/>
          </w:tcPr>
          <w:p w14:paraId="21C13AD4" w14:textId="76261D38" w:rsidR="00A63E7F"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86</w:t>
            </w:r>
            <w:r w:rsidR="00797AAE">
              <w:rPr>
                <w:rFonts w:ascii="Aptos Narrow" w:hAnsi="Aptos Narrow"/>
                <w:color w:val="000000"/>
                <w:sz w:val="16"/>
                <w:szCs w:val="16"/>
              </w:rPr>
              <w:t>,</w:t>
            </w:r>
            <w:r w:rsidRPr="00750AAD">
              <w:rPr>
                <w:rFonts w:ascii="Aptos Narrow" w:hAnsi="Aptos Narrow"/>
                <w:color w:val="000000"/>
                <w:sz w:val="16"/>
                <w:szCs w:val="16"/>
              </w:rPr>
              <w:t>298</w:t>
            </w:r>
          </w:p>
          <w:p w14:paraId="1F2F7E6C" w14:textId="654DD942" w:rsidR="00863788" w:rsidRPr="00750AAD" w:rsidRDefault="00863788" w:rsidP="00AF1ACF">
            <w:pPr>
              <w:tabs>
                <w:tab w:val="clear" w:pos="260"/>
              </w:tabs>
              <w:spacing w:after="0" w:line="240" w:lineRule="auto"/>
              <w:jc w:val="center"/>
              <w:rPr>
                <w:rFonts w:ascii="Aptos Narrow" w:hAnsi="Aptos Narrow"/>
                <w:color w:val="000000"/>
                <w:sz w:val="16"/>
                <w:szCs w:val="16"/>
              </w:rPr>
            </w:pPr>
            <w:r w:rsidRPr="00750AAD">
              <w:rPr>
                <w:rFonts w:ascii="Aptos Narrow" w:hAnsi="Aptos Narrow"/>
                <w:color w:val="000000"/>
                <w:sz w:val="16"/>
                <w:szCs w:val="16"/>
              </w:rPr>
              <w:t>(85</w:t>
            </w:r>
            <w:r w:rsidR="00797AAE">
              <w:rPr>
                <w:rFonts w:ascii="Aptos Narrow" w:hAnsi="Aptos Narrow"/>
                <w:color w:val="000000"/>
                <w:sz w:val="16"/>
                <w:szCs w:val="16"/>
              </w:rPr>
              <w:t>,</w:t>
            </w:r>
            <w:r w:rsidRPr="00750AAD">
              <w:rPr>
                <w:rFonts w:ascii="Aptos Narrow" w:hAnsi="Aptos Narrow"/>
                <w:color w:val="000000"/>
                <w:sz w:val="16"/>
                <w:szCs w:val="16"/>
              </w:rPr>
              <w:t>688, 87</w:t>
            </w:r>
            <w:r w:rsidR="00797AAE">
              <w:rPr>
                <w:rFonts w:ascii="Aptos Narrow" w:hAnsi="Aptos Narrow"/>
                <w:color w:val="000000"/>
                <w:sz w:val="16"/>
                <w:szCs w:val="16"/>
              </w:rPr>
              <w:t>,</w:t>
            </w:r>
            <w:r w:rsidRPr="00750AAD">
              <w:rPr>
                <w:rFonts w:ascii="Aptos Narrow" w:hAnsi="Aptos Narrow"/>
                <w:color w:val="000000"/>
                <w:sz w:val="16"/>
                <w:szCs w:val="16"/>
              </w:rPr>
              <w:t>007)</w:t>
            </w:r>
          </w:p>
        </w:tc>
        <w:tc>
          <w:tcPr>
            <w:tcW w:w="1260" w:type="dxa"/>
            <w:tcBorders>
              <w:top w:val="single" w:sz="4" w:space="0" w:color="auto"/>
              <w:left w:val="nil"/>
              <w:bottom w:val="single" w:sz="4" w:space="0" w:color="auto"/>
              <w:right w:val="nil"/>
            </w:tcBorders>
            <w:shd w:val="clear" w:color="auto" w:fill="auto"/>
            <w:noWrap/>
            <w:vAlign w:val="center"/>
          </w:tcPr>
          <w:p w14:paraId="7C11B8F7" w14:textId="602E1DA4" w:rsidR="00863788" w:rsidRPr="00750AAD" w:rsidRDefault="009D3385" w:rsidP="00AF1ACF">
            <w:pPr>
              <w:tabs>
                <w:tab w:val="clear" w:pos="260"/>
              </w:tabs>
              <w:spacing w:after="0" w:line="240" w:lineRule="auto"/>
              <w:jc w:val="center"/>
              <w:rPr>
                <w:rFonts w:ascii="Aptos Narrow" w:eastAsia="Times New Roman" w:hAnsi="Aptos Narrow"/>
                <w:color w:val="000000"/>
                <w:sz w:val="16"/>
                <w:szCs w:val="16"/>
                <w:lang w:val="es-US" w:eastAsia="es-MX"/>
              </w:rPr>
            </w:pPr>
            <w:r>
              <w:rPr>
                <w:rFonts w:ascii="Aptos Narrow" w:hAnsi="Aptos Narrow"/>
                <w:color w:val="000000"/>
                <w:sz w:val="16"/>
                <w:szCs w:val="16"/>
              </w:rPr>
              <w:t>+</w:t>
            </w:r>
            <w:r w:rsidR="00863788" w:rsidRPr="00750AAD">
              <w:rPr>
                <w:rFonts w:ascii="Aptos Narrow" w:hAnsi="Aptos Narrow"/>
                <w:color w:val="000000"/>
                <w:sz w:val="16"/>
                <w:szCs w:val="16"/>
              </w:rPr>
              <w:t>1.3</w:t>
            </w:r>
          </w:p>
        </w:tc>
      </w:tr>
    </w:tbl>
    <w:p w14:paraId="30BA241F" w14:textId="77777777" w:rsidR="00E80E4F" w:rsidRDefault="00E80E4F" w:rsidP="00E80E4F"/>
    <w:p w14:paraId="70089306" w14:textId="77777777" w:rsidR="00E80E4F" w:rsidRDefault="00E80E4F" w:rsidP="00E80E4F">
      <w:pPr>
        <w:tabs>
          <w:tab w:val="clear" w:pos="260"/>
        </w:tabs>
        <w:spacing w:after="160" w:line="259" w:lineRule="auto"/>
        <w:jc w:val="left"/>
        <w:rPr>
          <w:b/>
          <w:bCs/>
          <w:sz w:val="18"/>
          <w:szCs w:val="18"/>
          <w:u w:val="single"/>
        </w:rPr>
      </w:pPr>
      <w:r>
        <w:rPr>
          <w:b/>
          <w:bCs/>
          <w:sz w:val="18"/>
          <w:szCs w:val="18"/>
          <w:u w:val="single"/>
        </w:rPr>
        <w:br w:type="page"/>
      </w:r>
    </w:p>
    <w:p w14:paraId="1D9B6701" w14:textId="09A60444" w:rsidR="00E80E4F" w:rsidRDefault="00E80E4F" w:rsidP="00E80E4F">
      <w:pPr>
        <w:tabs>
          <w:tab w:val="clear" w:pos="260"/>
        </w:tabs>
        <w:spacing w:after="160" w:line="259" w:lineRule="auto"/>
        <w:jc w:val="left"/>
        <w:rPr>
          <w:b/>
          <w:bCs/>
        </w:rPr>
      </w:pPr>
    </w:p>
    <w:p w14:paraId="6DCB43A3" w14:textId="483A9D5A" w:rsidR="00E80E4F" w:rsidRPr="00EA2673" w:rsidRDefault="00CE4478" w:rsidP="00E80E4F">
      <w:pPr>
        <w:pStyle w:val="Heading1"/>
        <w:numPr>
          <w:ilvl w:val="0"/>
          <w:numId w:val="0"/>
        </w:numPr>
      </w:pPr>
      <w:r>
        <w:t>SUPPLEMENTAL</w:t>
      </w:r>
    </w:p>
    <w:p w14:paraId="370C32A1" w14:textId="728F7ED7" w:rsidR="00E80E4F" w:rsidRPr="00EA2673" w:rsidRDefault="00E80E4F" w:rsidP="00E80E4F">
      <w:r w:rsidRPr="40FDA6AE">
        <w:rPr>
          <w:b/>
          <w:bCs/>
          <w:u w:val="single"/>
        </w:rPr>
        <w:t>Table S</w:t>
      </w:r>
      <w:r w:rsidR="00BF5C8C" w:rsidRPr="40FDA6AE">
        <w:rPr>
          <w:b/>
          <w:bCs/>
          <w:u w:val="single"/>
        </w:rPr>
        <w:t>1</w:t>
      </w:r>
      <w:r>
        <w:t>.  Projected change</w:t>
      </w:r>
      <w:r w:rsidR="00D93942">
        <w:t xml:space="preserve"> from baseline (2010-2021)</w:t>
      </w:r>
      <w:r>
        <w:t xml:space="preserve"> and mid-century (2041-2050)</w:t>
      </w:r>
      <w:r w:rsidR="005C116D">
        <w:t xml:space="preserve"> daily </w:t>
      </w:r>
      <w:proofErr w:type="spellStart"/>
      <w:r w:rsidR="005C116D">
        <w:t>maxmimum</w:t>
      </w:r>
      <w:proofErr w:type="spellEnd"/>
      <w:r>
        <w:t xml:space="preserve"> temperatures for each region for the </w:t>
      </w:r>
      <w:r w:rsidR="00B14DAD">
        <w:t>2,161</w:t>
      </w:r>
      <w:r>
        <w:t xml:space="preserve"> counties in OLDW.   </w:t>
      </w:r>
    </w:p>
    <w:tbl>
      <w:tblPr>
        <w:tblW w:w="0" w:type="auto"/>
        <w:tblLook w:val="04A0" w:firstRow="1" w:lastRow="0" w:firstColumn="1" w:lastColumn="0" w:noHBand="0" w:noVBand="1"/>
      </w:tblPr>
      <w:tblGrid>
        <w:gridCol w:w="1102"/>
        <w:gridCol w:w="895"/>
        <w:gridCol w:w="1150"/>
        <w:gridCol w:w="1150"/>
        <w:gridCol w:w="1150"/>
        <w:gridCol w:w="1150"/>
        <w:gridCol w:w="1150"/>
        <w:gridCol w:w="1150"/>
      </w:tblGrid>
      <w:tr w:rsidR="005C116D" w:rsidRPr="005C116D" w14:paraId="685746CA" w14:textId="77777777" w:rsidTr="005C116D">
        <w:trPr>
          <w:trHeight w:val="288"/>
        </w:trPr>
        <w:tc>
          <w:tcPr>
            <w:tcW w:w="236" w:type="dxa"/>
            <w:tcBorders>
              <w:bottom w:val="single" w:sz="4" w:space="0" w:color="auto"/>
            </w:tcBorders>
            <w:shd w:val="clear" w:color="auto" w:fill="auto"/>
            <w:noWrap/>
            <w:vAlign w:val="bottom"/>
            <w:hideMark/>
          </w:tcPr>
          <w:p w14:paraId="69FF0AED" w14:textId="77777777" w:rsidR="00E80E4F" w:rsidRPr="005C116D" w:rsidRDefault="00E80E4F" w:rsidP="00505517">
            <w:pPr>
              <w:pStyle w:val="NoSpacing"/>
              <w:rPr>
                <w:rFonts w:ascii="Aptos Narrow" w:hAnsi="Aptos Narrow" w:cs="Calibri"/>
                <w:b/>
                <w:bCs/>
                <w:sz w:val="20"/>
                <w:szCs w:val="20"/>
              </w:rPr>
            </w:pPr>
            <w:proofErr w:type="spellStart"/>
            <w:r w:rsidRPr="005C116D">
              <w:rPr>
                <w:rFonts w:ascii="Aptos Narrow" w:hAnsi="Aptos Narrow" w:cs="Calibri"/>
                <w:b/>
                <w:bCs/>
                <w:sz w:val="20"/>
                <w:szCs w:val="20"/>
              </w:rPr>
              <w:t>NCAregion</w:t>
            </w:r>
            <w:proofErr w:type="spellEnd"/>
          </w:p>
        </w:tc>
        <w:tc>
          <w:tcPr>
            <w:tcW w:w="236" w:type="dxa"/>
            <w:tcBorders>
              <w:bottom w:val="single" w:sz="4" w:space="0" w:color="auto"/>
            </w:tcBorders>
            <w:shd w:val="clear" w:color="auto" w:fill="auto"/>
            <w:noWrap/>
            <w:vAlign w:val="bottom"/>
            <w:hideMark/>
          </w:tcPr>
          <w:p w14:paraId="78530807" w14:textId="77777777" w:rsidR="00E80E4F" w:rsidRPr="005C116D" w:rsidRDefault="00E80E4F" w:rsidP="00505517">
            <w:pPr>
              <w:pStyle w:val="NoSpacing"/>
              <w:rPr>
                <w:rFonts w:ascii="Aptos Narrow" w:hAnsi="Aptos Narrow" w:cs="Calibri"/>
                <w:b/>
                <w:bCs/>
                <w:sz w:val="20"/>
                <w:szCs w:val="20"/>
              </w:rPr>
            </w:pPr>
            <w:r w:rsidRPr="005C116D">
              <w:rPr>
                <w:rFonts w:ascii="Aptos Narrow" w:hAnsi="Aptos Narrow" w:cs="Calibri"/>
                <w:b/>
                <w:bCs/>
                <w:sz w:val="20"/>
                <w:szCs w:val="20"/>
              </w:rPr>
              <w:t>season</w:t>
            </w:r>
          </w:p>
        </w:tc>
        <w:tc>
          <w:tcPr>
            <w:tcW w:w="236" w:type="dxa"/>
            <w:tcBorders>
              <w:bottom w:val="single" w:sz="4" w:space="0" w:color="auto"/>
            </w:tcBorders>
            <w:shd w:val="clear" w:color="auto" w:fill="auto"/>
            <w:noWrap/>
            <w:vAlign w:val="bottom"/>
            <w:hideMark/>
          </w:tcPr>
          <w:p w14:paraId="2467DDE5" w14:textId="4E494FF6" w:rsidR="00E80E4F" w:rsidRPr="005C116D" w:rsidRDefault="00E80E4F" w:rsidP="00505517">
            <w:pPr>
              <w:pStyle w:val="NoSpacing"/>
              <w:rPr>
                <w:rFonts w:ascii="Aptos Narrow" w:hAnsi="Aptos Narrow" w:cs="Calibri"/>
                <w:b/>
                <w:bCs/>
                <w:sz w:val="18"/>
                <w:szCs w:val="18"/>
              </w:rPr>
            </w:pPr>
            <w:r w:rsidRPr="005C116D">
              <w:rPr>
                <w:rFonts w:ascii="Aptos Narrow" w:hAnsi="Aptos Narrow" w:cs="Calibri"/>
                <w:b/>
                <w:bCs/>
                <w:sz w:val="18"/>
                <w:szCs w:val="18"/>
              </w:rPr>
              <w:t xml:space="preserve">Minimum change in daily </w:t>
            </w:r>
            <w:proofErr w:type="gramStart"/>
            <w:r w:rsidR="005C116D" w:rsidRPr="005C116D">
              <w:rPr>
                <w:rFonts w:ascii="Aptos Narrow" w:hAnsi="Aptos Narrow" w:cs="Calibri"/>
                <w:b/>
                <w:bCs/>
                <w:sz w:val="18"/>
                <w:szCs w:val="18"/>
              </w:rPr>
              <w:t xml:space="preserve">maximum </w:t>
            </w:r>
            <w:r w:rsidRPr="005C116D">
              <w:rPr>
                <w:rFonts w:ascii="Aptos Narrow" w:hAnsi="Aptos Narrow" w:cs="Calibri"/>
                <w:b/>
                <w:bCs/>
                <w:sz w:val="18"/>
                <w:szCs w:val="18"/>
              </w:rPr>
              <w:t xml:space="preserve"> </w:t>
            </w:r>
            <w:r w:rsidR="005C116D" w:rsidRPr="005C116D">
              <w:rPr>
                <w:rFonts w:ascii="Aptos Narrow" w:hAnsi="Aptos Narrow" w:cs="Calibri"/>
                <w:b/>
                <w:bCs/>
                <w:sz w:val="18"/>
                <w:szCs w:val="18"/>
              </w:rPr>
              <w:t>temperature</w:t>
            </w:r>
            <w:proofErr w:type="gramEnd"/>
          </w:p>
        </w:tc>
        <w:tc>
          <w:tcPr>
            <w:tcW w:w="236" w:type="dxa"/>
            <w:tcBorders>
              <w:bottom w:val="single" w:sz="4" w:space="0" w:color="auto"/>
            </w:tcBorders>
            <w:shd w:val="clear" w:color="auto" w:fill="auto"/>
            <w:noWrap/>
            <w:vAlign w:val="bottom"/>
            <w:hideMark/>
          </w:tcPr>
          <w:p w14:paraId="3FB85C81" w14:textId="22DCABF9" w:rsidR="00E80E4F" w:rsidRPr="005C116D" w:rsidRDefault="00E80E4F" w:rsidP="00505517">
            <w:pPr>
              <w:pStyle w:val="NoSpacing"/>
              <w:rPr>
                <w:rFonts w:ascii="Aptos Narrow" w:hAnsi="Aptos Narrow" w:cs="Calibri"/>
                <w:b/>
                <w:bCs/>
                <w:sz w:val="18"/>
                <w:szCs w:val="18"/>
              </w:rPr>
            </w:pPr>
            <w:r w:rsidRPr="005C116D">
              <w:rPr>
                <w:rFonts w:ascii="Aptos Narrow" w:hAnsi="Aptos Narrow" w:cs="Calibri"/>
                <w:b/>
                <w:bCs/>
                <w:sz w:val="18"/>
                <w:szCs w:val="18"/>
              </w:rPr>
              <w:t xml:space="preserve">Median change in </w:t>
            </w:r>
            <w:r w:rsidR="005C116D" w:rsidRPr="005C116D">
              <w:rPr>
                <w:rFonts w:ascii="Aptos Narrow" w:hAnsi="Aptos Narrow" w:cs="Calibri"/>
                <w:b/>
                <w:bCs/>
                <w:sz w:val="18"/>
                <w:szCs w:val="18"/>
              </w:rPr>
              <w:t xml:space="preserve">daily </w:t>
            </w:r>
            <w:proofErr w:type="gramStart"/>
            <w:r w:rsidR="005C116D" w:rsidRPr="005C116D">
              <w:rPr>
                <w:rFonts w:ascii="Aptos Narrow" w:hAnsi="Aptos Narrow" w:cs="Calibri"/>
                <w:b/>
                <w:bCs/>
                <w:sz w:val="18"/>
                <w:szCs w:val="18"/>
              </w:rPr>
              <w:t>maximum  temperature</w:t>
            </w:r>
            <w:proofErr w:type="gramEnd"/>
          </w:p>
        </w:tc>
        <w:tc>
          <w:tcPr>
            <w:tcW w:w="236" w:type="dxa"/>
            <w:tcBorders>
              <w:bottom w:val="single" w:sz="4" w:space="0" w:color="auto"/>
            </w:tcBorders>
            <w:shd w:val="clear" w:color="auto" w:fill="auto"/>
            <w:noWrap/>
            <w:vAlign w:val="bottom"/>
            <w:hideMark/>
          </w:tcPr>
          <w:p w14:paraId="1EC19130" w14:textId="4BA76A72" w:rsidR="00E80E4F" w:rsidRPr="005C116D" w:rsidRDefault="00E80E4F" w:rsidP="00505517">
            <w:pPr>
              <w:pStyle w:val="NoSpacing"/>
              <w:rPr>
                <w:rFonts w:ascii="Aptos Narrow" w:hAnsi="Aptos Narrow" w:cs="Calibri"/>
                <w:b/>
                <w:bCs/>
                <w:sz w:val="18"/>
                <w:szCs w:val="18"/>
              </w:rPr>
            </w:pPr>
            <w:r w:rsidRPr="005C116D">
              <w:rPr>
                <w:rFonts w:ascii="Aptos Narrow" w:hAnsi="Aptos Narrow" w:cs="Calibri"/>
                <w:b/>
                <w:bCs/>
                <w:sz w:val="18"/>
                <w:szCs w:val="18"/>
              </w:rPr>
              <w:t xml:space="preserve">Maximum change in </w:t>
            </w:r>
            <w:r w:rsidR="005C116D" w:rsidRPr="005C116D">
              <w:rPr>
                <w:rFonts w:ascii="Aptos Narrow" w:hAnsi="Aptos Narrow" w:cs="Calibri"/>
                <w:b/>
                <w:bCs/>
                <w:sz w:val="18"/>
                <w:szCs w:val="18"/>
              </w:rPr>
              <w:t xml:space="preserve">daily </w:t>
            </w:r>
            <w:proofErr w:type="gramStart"/>
            <w:r w:rsidR="005C116D" w:rsidRPr="005C116D">
              <w:rPr>
                <w:rFonts w:ascii="Aptos Narrow" w:hAnsi="Aptos Narrow" w:cs="Calibri"/>
                <w:b/>
                <w:bCs/>
                <w:sz w:val="18"/>
                <w:szCs w:val="18"/>
              </w:rPr>
              <w:t>maximum  temperature</w:t>
            </w:r>
            <w:proofErr w:type="gramEnd"/>
          </w:p>
        </w:tc>
        <w:tc>
          <w:tcPr>
            <w:tcW w:w="236" w:type="dxa"/>
            <w:tcBorders>
              <w:bottom w:val="single" w:sz="4" w:space="0" w:color="auto"/>
            </w:tcBorders>
            <w:shd w:val="clear" w:color="auto" w:fill="auto"/>
            <w:noWrap/>
            <w:hideMark/>
          </w:tcPr>
          <w:p w14:paraId="02EBAD7E" w14:textId="7E88E0BC" w:rsidR="00E80E4F" w:rsidRPr="005C116D" w:rsidRDefault="00E80E4F" w:rsidP="00505517">
            <w:pPr>
              <w:pStyle w:val="NoSpacing"/>
              <w:rPr>
                <w:rFonts w:ascii="Aptos Narrow" w:hAnsi="Aptos Narrow" w:cs="Calibri"/>
                <w:b/>
                <w:bCs/>
                <w:sz w:val="18"/>
                <w:szCs w:val="18"/>
              </w:rPr>
            </w:pPr>
            <w:r w:rsidRPr="005C116D">
              <w:rPr>
                <w:rFonts w:ascii="Aptos Narrow" w:hAnsi="Aptos Narrow" w:cs="Calibri"/>
                <w:b/>
                <w:bCs/>
                <w:sz w:val="18"/>
                <w:szCs w:val="18"/>
              </w:rPr>
              <w:t xml:space="preserve">Minimum projected future </w:t>
            </w:r>
            <w:r w:rsidR="005C116D" w:rsidRPr="005C116D">
              <w:rPr>
                <w:rFonts w:ascii="Aptos Narrow" w:hAnsi="Aptos Narrow" w:cs="Calibri"/>
                <w:b/>
                <w:bCs/>
                <w:sz w:val="18"/>
                <w:szCs w:val="18"/>
              </w:rPr>
              <w:t xml:space="preserve">daily </w:t>
            </w:r>
            <w:proofErr w:type="gramStart"/>
            <w:r w:rsidR="005C116D" w:rsidRPr="005C116D">
              <w:rPr>
                <w:rFonts w:ascii="Aptos Narrow" w:hAnsi="Aptos Narrow" w:cs="Calibri"/>
                <w:b/>
                <w:bCs/>
                <w:sz w:val="18"/>
                <w:szCs w:val="18"/>
              </w:rPr>
              <w:t>maximum  temperature</w:t>
            </w:r>
            <w:proofErr w:type="gramEnd"/>
          </w:p>
        </w:tc>
        <w:tc>
          <w:tcPr>
            <w:tcW w:w="236" w:type="dxa"/>
            <w:tcBorders>
              <w:bottom w:val="single" w:sz="4" w:space="0" w:color="auto"/>
            </w:tcBorders>
            <w:shd w:val="clear" w:color="auto" w:fill="auto"/>
            <w:noWrap/>
            <w:hideMark/>
          </w:tcPr>
          <w:p w14:paraId="266B6017" w14:textId="1D15D502" w:rsidR="00E80E4F" w:rsidRPr="005C116D" w:rsidRDefault="00E80E4F" w:rsidP="00505517">
            <w:pPr>
              <w:pStyle w:val="NoSpacing"/>
              <w:rPr>
                <w:rFonts w:ascii="Aptos Narrow" w:hAnsi="Aptos Narrow" w:cs="Calibri"/>
                <w:b/>
                <w:bCs/>
                <w:sz w:val="18"/>
                <w:szCs w:val="18"/>
              </w:rPr>
            </w:pPr>
            <w:r w:rsidRPr="005C116D">
              <w:rPr>
                <w:rFonts w:ascii="Aptos Narrow" w:hAnsi="Aptos Narrow" w:cs="Calibri"/>
                <w:b/>
                <w:bCs/>
                <w:sz w:val="18"/>
                <w:szCs w:val="18"/>
              </w:rPr>
              <w:t xml:space="preserve">Median projected future </w:t>
            </w:r>
            <w:r w:rsidR="005C116D" w:rsidRPr="005C116D">
              <w:rPr>
                <w:rFonts w:ascii="Aptos Narrow" w:hAnsi="Aptos Narrow" w:cs="Calibri"/>
                <w:b/>
                <w:bCs/>
                <w:sz w:val="18"/>
                <w:szCs w:val="18"/>
              </w:rPr>
              <w:t xml:space="preserve">daily </w:t>
            </w:r>
            <w:proofErr w:type="gramStart"/>
            <w:r w:rsidR="005C116D" w:rsidRPr="005C116D">
              <w:rPr>
                <w:rFonts w:ascii="Aptos Narrow" w:hAnsi="Aptos Narrow" w:cs="Calibri"/>
                <w:b/>
                <w:bCs/>
                <w:sz w:val="18"/>
                <w:szCs w:val="18"/>
              </w:rPr>
              <w:t>maximum  temperature</w:t>
            </w:r>
            <w:proofErr w:type="gramEnd"/>
          </w:p>
        </w:tc>
        <w:tc>
          <w:tcPr>
            <w:tcW w:w="236" w:type="dxa"/>
            <w:tcBorders>
              <w:bottom w:val="single" w:sz="4" w:space="0" w:color="auto"/>
            </w:tcBorders>
            <w:shd w:val="clear" w:color="auto" w:fill="auto"/>
            <w:noWrap/>
            <w:hideMark/>
          </w:tcPr>
          <w:p w14:paraId="0052175F" w14:textId="3D15EF59" w:rsidR="00E80E4F" w:rsidRPr="005C116D" w:rsidRDefault="00E80E4F" w:rsidP="00505517">
            <w:pPr>
              <w:pStyle w:val="NoSpacing"/>
              <w:rPr>
                <w:rFonts w:ascii="Aptos Narrow" w:hAnsi="Aptos Narrow" w:cs="Calibri"/>
                <w:b/>
                <w:bCs/>
                <w:sz w:val="18"/>
                <w:szCs w:val="18"/>
              </w:rPr>
            </w:pPr>
            <w:r w:rsidRPr="005C116D">
              <w:rPr>
                <w:rFonts w:ascii="Aptos Narrow" w:hAnsi="Aptos Narrow" w:cs="Calibri"/>
                <w:b/>
                <w:bCs/>
                <w:sz w:val="18"/>
                <w:szCs w:val="18"/>
              </w:rPr>
              <w:t xml:space="preserve">Maximum projected future </w:t>
            </w:r>
            <w:r w:rsidR="005C116D" w:rsidRPr="005C116D">
              <w:rPr>
                <w:rFonts w:ascii="Aptos Narrow" w:hAnsi="Aptos Narrow" w:cs="Calibri"/>
                <w:b/>
                <w:bCs/>
                <w:sz w:val="18"/>
                <w:szCs w:val="18"/>
              </w:rPr>
              <w:t xml:space="preserve">daily </w:t>
            </w:r>
            <w:proofErr w:type="gramStart"/>
            <w:r w:rsidR="005C116D" w:rsidRPr="005C116D">
              <w:rPr>
                <w:rFonts w:ascii="Aptos Narrow" w:hAnsi="Aptos Narrow" w:cs="Calibri"/>
                <w:b/>
                <w:bCs/>
                <w:sz w:val="18"/>
                <w:szCs w:val="18"/>
              </w:rPr>
              <w:t>maximum  temperature</w:t>
            </w:r>
            <w:proofErr w:type="gramEnd"/>
          </w:p>
        </w:tc>
      </w:tr>
      <w:tr w:rsidR="005C116D" w:rsidRPr="005C116D" w14:paraId="780B23E2" w14:textId="77777777" w:rsidTr="005C116D">
        <w:trPr>
          <w:trHeight w:val="288"/>
        </w:trPr>
        <w:tc>
          <w:tcPr>
            <w:tcW w:w="236" w:type="dxa"/>
            <w:tcBorders>
              <w:top w:val="single" w:sz="4" w:space="0" w:color="auto"/>
            </w:tcBorders>
            <w:shd w:val="clear" w:color="auto" w:fill="auto"/>
            <w:noWrap/>
            <w:vAlign w:val="bottom"/>
            <w:hideMark/>
          </w:tcPr>
          <w:p w14:paraId="7743A4D3"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Midwest</w:t>
            </w:r>
            <w:proofErr w:type="spellEnd"/>
          </w:p>
        </w:tc>
        <w:tc>
          <w:tcPr>
            <w:tcW w:w="236" w:type="dxa"/>
            <w:tcBorders>
              <w:top w:val="single" w:sz="4" w:space="0" w:color="auto"/>
            </w:tcBorders>
            <w:shd w:val="clear" w:color="auto" w:fill="auto"/>
            <w:noWrap/>
            <w:vAlign w:val="bottom"/>
            <w:hideMark/>
          </w:tcPr>
          <w:p w14:paraId="79171B06"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Summer</w:t>
            </w:r>
          </w:p>
        </w:tc>
        <w:tc>
          <w:tcPr>
            <w:tcW w:w="236" w:type="dxa"/>
            <w:tcBorders>
              <w:top w:val="single" w:sz="4" w:space="0" w:color="auto"/>
            </w:tcBorders>
            <w:shd w:val="clear" w:color="auto" w:fill="auto"/>
            <w:noWrap/>
            <w:vAlign w:val="center"/>
            <w:hideMark/>
          </w:tcPr>
          <w:p w14:paraId="0674B66F" w14:textId="3C30552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2.5</w:t>
            </w:r>
          </w:p>
        </w:tc>
        <w:tc>
          <w:tcPr>
            <w:tcW w:w="236" w:type="dxa"/>
            <w:tcBorders>
              <w:top w:val="single" w:sz="4" w:space="0" w:color="auto"/>
            </w:tcBorders>
            <w:shd w:val="clear" w:color="auto" w:fill="auto"/>
            <w:noWrap/>
            <w:vAlign w:val="center"/>
            <w:hideMark/>
          </w:tcPr>
          <w:p w14:paraId="4687808A" w14:textId="6D207939"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2.7</w:t>
            </w:r>
          </w:p>
        </w:tc>
        <w:tc>
          <w:tcPr>
            <w:tcW w:w="236" w:type="dxa"/>
            <w:tcBorders>
              <w:top w:val="single" w:sz="4" w:space="0" w:color="auto"/>
            </w:tcBorders>
            <w:shd w:val="clear" w:color="auto" w:fill="auto"/>
            <w:noWrap/>
            <w:vAlign w:val="center"/>
            <w:hideMark/>
          </w:tcPr>
          <w:p w14:paraId="575AFB28" w14:textId="1352DF65"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3.2</w:t>
            </w:r>
          </w:p>
        </w:tc>
        <w:tc>
          <w:tcPr>
            <w:tcW w:w="236" w:type="dxa"/>
            <w:tcBorders>
              <w:top w:val="single" w:sz="4" w:space="0" w:color="auto"/>
            </w:tcBorders>
            <w:shd w:val="clear" w:color="auto" w:fill="auto"/>
            <w:noWrap/>
            <w:vAlign w:val="center"/>
            <w:hideMark/>
          </w:tcPr>
          <w:p w14:paraId="5862233E" w14:textId="52A22D0A"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21.6</w:t>
            </w:r>
          </w:p>
        </w:tc>
        <w:tc>
          <w:tcPr>
            <w:tcW w:w="236" w:type="dxa"/>
            <w:tcBorders>
              <w:top w:val="single" w:sz="4" w:space="0" w:color="auto"/>
            </w:tcBorders>
            <w:shd w:val="clear" w:color="auto" w:fill="auto"/>
            <w:noWrap/>
            <w:vAlign w:val="center"/>
            <w:hideMark/>
          </w:tcPr>
          <w:p w14:paraId="47EEE913" w14:textId="43CE32F4"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25.3</w:t>
            </w:r>
          </w:p>
        </w:tc>
        <w:tc>
          <w:tcPr>
            <w:tcW w:w="236" w:type="dxa"/>
            <w:tcBorders>
              <w:top w:val="single" w:sz="4" w:space="0" w:color="auto"/>
            </w:tcBorders>
            <w:shd w:val="clear" w:color="auto" w:fill="auto"/>
            <w:noWrap/>
            <w:vAlign w:val="center"/>
            <w:hideMark/>
          </w:tcPr>
          <w:p w14:paraId="337058CB" w14:textId="14F7A2E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28.8</w:t>
            </w:r>
          </w:p>
        </w:tc>
      </w:tr>
      <w:tr w:rsidR="005C116D" w:rsidRPr="005C116D" w14:paraId="73AF2CC6" w14:textId="77777777" w:rsidTr="005C116D">
        <w:trPr>
          <w:trHeight w:val="288"/>
        </w:trPr>
        <w:tc>
          <w:tcPr>
            <w:tcW w:w="236" w:type="dxa"/>
            <w:shd w:val="clear" w:color="auto" w:fill="auto"/>
            <w:noWrap/>
            <w:vAlign w:val="bottom"/>
            <w:hideMark/>
          </w:tcPr>
          <w:p w14:paraId="5E6C8185" w14:textId="10DE15B3" w:rsidR="00124FD6" w:rsidRPr="005C116D" w:rsidRDefault="00FB6638"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Northeast</w:t>
            </w:r>
            <w:proofErr w:type="spellEnd"/>
          </w:p>
        </w:tc>
        <w:tc>
          <w:tcPr>
            <w:tcW w:w="236" w:type="dxa"/>
            <w:shd w:val="clear" w:color="auto" w:fill="auto"/>
            <w:noWrap/>
            <w:vAlign w:val="bottom"/>
            <w:hideMark/>
          </w:tcPr>
          <w:p w14:paraId="03B1C53B"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Summer</w:t>
            </w:r>
          </w:p>
        </w:tc>
        <w:tc>
          <w:tcPr>
            <w:tcW w:w="236" w:type="dxa"/>
            <w:shd w:val="clear" w:color="auto" w:fill="auto"/>
            <w:noWrap/>
            <w:vAlign w:val="center"/>
            <w:hideMark/>
          </w:tcPr>
          <w:p w14:paraId="55E809DA" w14:textId="07D04A27"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2.2</w:t>
            </w:r>
          </w:p>
        </w:tc>
        <w:tc>
          <w:tcPr>
            <w:tcW w:w="236" w:type="dxa"/>
            <w:shd w:val="clear" w:color="auto" w:fill="auto"/>
            <w:noWrap/>
            <w:vAlign w:val="center"/>
            <w:hideMark/>
          </w:tcPr>
          <w:p w14:paraId="41CECA7C" w14:textId="526510F4"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2.4</w:t>
            </w:r>
          </w:p>
        </w:tc>
        <w:tc>
          <w:tcPr>
            <w:tcW w:w="236" w:type="dxa"/>
            <w:shd w:val="clear" w:color="auto" w:fill="auto"/>
            <w:noWrap/>
            <w:vAlign w:val="center"/>
            <w:hideMark/>
          </w:tcPr>
          <w:p w14:paraId="353ACC2B" w14:textId="13C3E6A5"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2.5</w:t>
            </w:r>
          </w:p>
        </w:tc>
        <w:tc>
          <w:tcPr>
            <w:tcW w:w="236" w:type="dxa"/>
            <w:shd w:val="clear" w:color="auto" w:fill="auto"/>
            <w:noWrap/>
            <w:vAlign w:val="center"/>
            <w:hideMark/>
          </w:tcPr>
          <w:p w14:paraId="2BB74E49" w14:textId="49695C8A"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22.3</w:t>
            </w:r>
          </w:p>
        </w:tc>
        <w:tc>
          <w:tcPr>
            <w:tcW w:w="236" w:type="dxa"/>
            <w:shd w:val="clear" w:color="auto" w:fill="auto"/>
            <w:noWrap/>
            <w:vAlign w:val="center"/>
            <w:hideMark/>
          </w:tcPr>
          <w:p w14:paraId="324316FE" w14:textId="7ECAC340"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25.5</w:t>
            </w:r>
          </w:p>
        </w:tc>
        <w:tc>
          <w:tcPr>
            <w:tcW w:w="236" w:type="dxa"/>
            <w:shd w:val="clear" w:color="auto" w:fill="auto"/>
            <w:noWrap/>
            <w:vAlign w:val="center"/>
            <w:hideMark/>
          </w:tcPr>
          <w:p w14:paraId="52D5EB42" w14:textId="071B3E95"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27.3</w:t>
            </w:r>
          </w:p>
        </w:tc>
      </w:tr>
      <w:tr w:rsidR="005C116D" w:rsidRPr="005C116D" w14:paraId="15ADB6CE" w14:textId="77777777" w:rsidTr="005C116D">
        <w:trPr>
          <w:trHeight w:val="288"/>
        </w:trPr>
        <w:tc>
          <w:tcPr>
            <w:tcW w:w="236" w:type="dxa"/>
            <w:shd w:val="clear" w:color="auto" w:fill="auto"/>
            <w:noWrap/>
            <w:vAlign w:val="bottom"/>
            <w:hideMark/>
          </w:tcPr>
          <w:p w14:paraId="2255940E"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Northern</w:t>
            </w:r>
            <w:proofErr w:type="spellEnd"/>
            <w:r w:rsidRPr="005C116D">
              <w:rPr>
                <w:rFonts w:ascii="Aptos Narrow" w:eastAsia="Times New Roman" w:hAnsi="Aptos Narrow"/>
                <w:color w:val="000000"/>
                <w:sz w:val="20"/>
                <w:szCs w:val="20"/>
                <w:lang w:val="es-US" w:eastAsia="es-MX"/>
              </w:rPr>
              <w:t xml:space="preserve"> Great Plains</w:t>
            </w:r>
          </w:p>
        </w:tc>
        <w:tc>
          <w:tcPr>
            <w:tcW w:w="236" w:type="dxa"/>
            <w:shd w:val="clear" w:color="auto" w:fill="auto"/>
            <w:noWrap/>
            <w:vAlign w:val="bottom"/>
            <w:hideMark/>
          </w:tcPr>
          <w:p w14:paraId="481D94C2"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Summer</w:t>
            </w:r>
          </w:p>
        </w:tc>
        <w:tc>
          <w:tcPr>
            <w:tcW w:w="236" w:type="dxa"/>
            <w:shd w:val="clear" w:color="auto" w:fill="auto"/>
            <w:noWrap/>
            <w:vAlign w:val="center"/>
            <w:hideMark/>
          </w:tcPr>
          <w:p w14:paraId="31E0AEBE" w14:textId="1F1F4D5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2.9</w:t>
            </w:r>
          </w:p>
        </w:tc>
        <w:tc>
          <w:tcPr>
            <w:tcW w:w="236" w:type="dxa"/>
            <w:shd w:val="clear" w:color="auto" w:fill="auto"/>
            <w:noWrap/>
            <w:vAlign w:val="center"/>
            <w:hideMark/>
          </w:tcPr>
          <w:p w14:paraId="139C87D1" w14:textId="234B6CBC"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3.2</w:t>
            </w:r>
          </w:p>
        </w:tc>
        <w:tc>
          <w:tcPr>
            <w:tcW w:w="236" w:type="dxa"/>
            <w:shd w:val="clear" w:color="auto" w:fill="auto"/>
            <w:noWrap/>
            <w:vAlign w:val="center"/>
            <w:hideMark/>
          </w:tcPr>
          <w:p w14:paraId="771319C4" w14:textId="07DCB562"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3.3</w:t>
            </w:r>
          </w:p>
        </w:tc>
        <w:tc>
          <w:tcPr>
            <w:tcW w:w="236" w:type="dxa"/>
            <w:shd w:val="clear" w:color="auto" w:fill="auto"/>
            <w:noWrap/>
            <w:vAlign w:val="center"/>
            <w:hideMark/>
          </w:tcPr>
          <w:p w14:paraId="32D060ED" w14:textId="2E4F3D0D"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24.6</w:t>
            </w:r>
          </w:p>
        </w:tc>
        <w:tc>
          <w:tcPr>
            <w:tcW w:w="236" w:type="dxa"/>
            <w:shd w:val="clear" w:color="auto" w:fill="auto"/>
            <w:noWrap/>
            <w:vAlign w:val="center"/>
            <w:hideMark/>
          </w:tcPr>
          <w:p w14:paraId="7F232D26" w14:textId="7DCBAC5B"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27.5</w:t>
            </w:r>
          </w:p>
        </w:tc>
        <w:tc>
          <w:tcPr>
            <w:tcW w:w="236" w:type="dxa"/>
            <w:shd w:val="clear" w:color="auto" w:fill="auto"/>
            <w:noWrap/>
            <w:vAlign w:val="center"/>
            <w:hideMark/>
          </w:tcPr>
          <w:p w14:paraId="03880ED5" w14:textId="5F0CFCD0"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28.2</w:t>
            </w:r>
          </w:p>
        </w:tc>
      </w:tr>
      <w:tr w:rsidR="005C116D" w:rsidRPr="005C116D" w14:paraId="2E7C0675" w14:textId="77777777" w:rsidTr="005C116D">
        <w:trPr>
          <w:trHeight w:val="288"/>
        </w:trPr>
        <w:tc>
          <w:tcPr>
            <w:tcW w:w="236" w:type="dxa"/>
            <w:shd w:val="clear" w:color="auto" w:fill="auto"/>
            <w:noWrap/>
            <w:vAlign w:val="bottom"/>
            <w:hideMark/>
          </w:tcPr>
          <w:p w14:paraId="444AC3DE"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Northwest</w:t>
            </w:r>
            <w:proofErr w:type="spellEnd"/>
          </w:p>
        </w:tc>
        <w:tc>
          <w:tcPr>
            <w:tcW w:w="236" w:type="dxa"/>
            <w:shd w:val="clear" w:color="auto" w:fill="auto"/>
            <w:noWrap/>
            <w:vAlign w:val="bottom"/>
            <w:hideMark/>
          </w:tcPr>
          <w:p w14:paraId="0348FCFC"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Summer</w:t>
            </w:r>
          </w:p>
        </w:tc>
        <w:tc>
          <w:tcPr>
            <w:tcW w:w="236" w:type="dxa"/>
            <w:shd w:val="clear" w:color="auto" w:fill="auto"/>
            <w:noWrap/>
            <w:vAlign w:val="center"/>
            <w:hideMark/>
          </w:tcPr>
          <w:p w14:paraId="221E0127" w14:textId="3F04835B"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2.2</w:t>
            </w:r>
          </w:p>
        </w:tc>
        <w:tc>
          <w:tcPr>
            <w:tcW w:w="236" w:type="dxa"/>
            <w:shd w:val="clear" w:color="auto" w:fill="auto"/>
            <w:noWrap/>
            <w:vAlign w:val="center"/>
            <w:hideMark/>
          </w:tcPr>
          <w:p w14:paraId="741EF216" w14:textId="6EE28B70"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2.5</w:t>
            </w:r>
          </w:p>
        </w:tc>
        <w:tc>
          <w:tcPr>
            <w:tcW w:w="236" w:type="dxa"/>
            <w:shd w:val="clear" w:color="auto" w:fill="auto"/>
            <w:noWrap/>
            <w:vAlign w:val="center"/>
            <w:hideMark/>
          </w:tcPr>
          <w:p w14:paraId="623A1A52" w14:textId="6642E698"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2.7</w:t>
            </w:r>
          </w:p>
        </w:tc>
        <w:tc>
          <w:tcPr>
            <w:tcW w:w="236" w:type="dxa"/>
            <w:shd w:val="clear" w:color="auto" w:fill="auto"/>
            <w:noWrap/>
            <w:vAlign w:val="center"/>
            <w:hideMark/>
          </w:tcPr>
          <w:p w14:paraId="6A109E05" w14:textId="0A96F47A"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19.8</w:t>
            </w:r>
          </w:p>
        </w:tc>
        <w:tc>
          <w:tcPr>
            <w:tcW w:w="236" w:type="dxa"/>
            <w:shd w:val="clear" w:color="auto" w:fill="auto"/>
            <w:noWrap/>
            <w:vAlign w:val="center"/>
            <w:hideMark/>
          </w:tcPr>
          <w:p w14:paraId="1A8B04AE" w14:textId="5D49C76D"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21.5</w:t>
            </w:r>
          </w:p>
        </w:tc>
        <w:tc>
          <w:tcPr>
            <w:tcW w:w="236" w:type="dxa"/>
            <w:shd w:val="clear" w:color="auto" w:fill="auto"/>
            <w:noWrap/>
            <w:vAlign w:val="center"/>
            <w:hideMark/>
          </w:tcPr>
          <w:p w14:paraId="623F3909" w14:textId="7C8F299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27.9</w:t>
            </w:r>
          </w:p>
        </w:tc>
      </w:tr>
      <w:tr w:rsidR="005C116D" w:rsidRPr="005C116D" w14:paraId="3FC409CC" w14:textId="77777777" w:rsidTr="005C116D">
        <w:trPr>
          <w:trHeight w:val="288"/>
        </w:trPr>
        <w:tc>
          <w:tcPr>
            <w:tcW w:w="236" w:type="dxa"/>
            <w:shd w:val="clear" w:color="auto" w:fill="auto"/>
            <w:noWrap/>
            <w:vAlign w:val="bottom"/>
            <w:hideMark/>
          </w:tcPr>
          <w:p w14:paraId="67107777"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Southeast</w:t>
            </w:r>
            <w:proofErr w:type="spellEnd"/>
          </w:p>
        </w:tc>
        <w:tc>
          <w:tcPr>
            <w:tcW w:w="236" w:type="dxa"/>
            <w:shd w:val="clear" w:color="auto" w:fill="auto"/>
            <w:noWrap/>
            <w:vAlign w:val="bottom"/>
            <w:hideMark/>
          </w:tcPr>
          <w:p w14:paraId="7DC3FC93"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Summer</w:t>
            </w:r>
          </w:p>
        </w:tc>
        <w:tc>
          <w:tcPr>
            <w:tcW w:w="236" w:type="dxa"/>
            <w:shd w:val="clear" w:color="auto" w:fill="auto"/>
            <w:noWrap/>
            <w:vAlign w:val="center"/>
            <w:hideMark/>
          </w:tcPr>
          <w:p w14:paraId="62BD8644" w14:textId="339E4647"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1.6</w:t>
            </w:r>
          </w:p>
        </w:tc>
        <w:tc>
          <w:tcPr>
            <w:tcW w:w="236" w:type="dxa"/>
            <w:shd w:val="clear" w:color="auto" w:fill="auto"/>
            <w:noWrap/>
            <w:vAlign w:val="center"/>
            <w:hideMark/>
          </w:tcPr>
          <w:p w14:paraId="1BD4CA14" w14:textId="0A42969F"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1.9</w:t>
            </w:r>
          </w:p>
        </w:tc>
        <w:tc>
          <w:tcPr>
            <w:tcW w:w="236" w:type="dxa"/>
            <w:shd w:val="clear" w:color="auto" w:fill="auto"/>
            <w:noWrap/>
            <w:vAlign w:val="center"/>
            <w:hideMark/>
          </w:tcPr>
          <w:p w14:paraId="4D591FE8" w14:textId="05C69730"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2.8</w:t>
            </w:r>
          </w:p>
        </w:tc>
        <w:tc>
          <w:tcPr>
            <w:tcW w:w="236" w:type="dxa"/>
            <w:shd w:val="clear" w:color="auto" w:fill="auto"/>
            <w:noWrap/>
            <w:vAlign w:val="center"/>
            <w:hideMark/>
          </w:tcPr>
          <w:p w14:paraId="6F29DB6C" w14:textId="349AE654"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24.0</w:t>
            </w:r>
          </w:p>
        </w:tc>
        <w:tc>
          <w:tcPr>
            <w:tcW w:w="236" w:type="dxa"/>
            <w:shd w:val="clear" w:color="auto" w:fill="auto"/>
            <w:noWrap/>
            <w:vAlign w:val="center"/>
            <w:hideMark/>
          </w:tcPr>
          <w:p w14:paraId="33D3BDC3" w14:textId="7AAA3A27"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28.4</w:t>
            </w:r>
          </w:p>
        </w:tc>
        <w:tc>
          <w:tcPr>
            <w:tcW w:w="236" w:type="dxa"/>
            <w:shd w:val="clear" w:color="auto" w:fill="auto"/>
            <w:noWrap/>
            <w:vAlign w:val="center"/>
            <w:hideMark/>
          </w:tcPr>
          <w:p w14:paraId="5D23C186" w14:textId="00042A1C"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31.0</w:t>
            </w:r>
          </w:p>
        </w:tc>
      </w:tr>
      <w:tr w:rsidR="005C116D" w:rsidRPr="005C116D" w14:paraId="75133A7A" w14:textId="77777777" w:rsidTr="005C116D">
        <w:trPr>
          <w:trHeight w:val="288"/>
        </w:trPr>
        <w:tc>
          <w:tcPr>
            <w:tcW w:w="236" w:type="dxa"/>
            <w:shd w:val="clear" w:color="auto" w:fill="auto"/>
            <w:noWrap/>
            <w:vAlign w:val="bottom"/>
            <w:hideMark/>
          </w:tcPr>
          <w:p w14:paraId="5EB8A1F6"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Southern</w:t>
            </w:r>
            <w:proofErr w:type="spellEnd"/>
            <w:r w:rsidRPr="005C116D">
              <w:rPr>
                <w:rFonts w:ascii="Aptos Narrow" w:eastAsia="Times New Roman" w:hAnsi="Aptos Narrow"/>
                <w:color w:val="000000"/>
                <w:sz w:val="20"/>
                <w:szCs w:val="20"/>
                <w:lang w:val="es-US" w:eastAsia="es-MX"/>
              </w:rPr>
              <w:t xml:space="preserve"> Great Plains</w:t>
            </w:r>
          </w:p>
        </w:tc>
        <w:tc>
          <w:tcPr>
            <w:tcW w:w="236" w:type="dxa"/>
            <w:shd w:val="clear" w:color="auto" w:fill="auto"/>
            <w:noWrap/>
            <w:vAlign w:val="bottom"/>
            <w:hideMark/>
          </w:tcPr>
          <w:p w14:paraId="6C2A45D0"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Summer</w:t>
            </w:r>
          </w:p>
        </w:tc>
        <w:tc>
          <w:tcPr>
            <w:tcW w:w="236" w:type="dxa"/>
            <w:shd w:val="clear" w:color="auto" w:fill="auto"/>
            <w:noWrap/>
            <w:vAlign w:val="center"/>
            <w:hideMark/>
          </w:tcPr>
          <w:p w14:paraId="2CC52889" w14:textId="5E37A0DB"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1.6</w:t>
            </w:r>
          </w:p>
        </w:tc>
        <w:tc>
          <w:tcPr>
            <w:tcW w:w="236" w:type="dxa"/>
            <w:shd w:val="clear" w:color="auto" w:fill="auto"/>
            <w:noWrap/>
            <w:vAlign w:val="center"/>
            <w:hideMark/>
          </w:tcPr>
          <w:p w14:paraId="22B0DFDF" w14:textId="302C13D6"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2.4</w:t>
            </w:r>
          </w:p>
        </w:tc>
        <w:tc>
          <w:tcPr>
            <w:tcW w:w="236" w:type="dxa"/>
            <w:shd w:val="clear" w:color="auto" w:fill="auto"/>
            <w:noWrap/>
            <w:vAlign w:val="center"/>
            <w:hideMark/>
          </w:tcPr>
          <w:p w14:paraId="76892827" w14:textId="2C2CB00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3.1</w:t>
            </w:r>
          </w:p>
        </w:tc>
        <w:tc>
          <w:tcPr>
            <w:tcW w:w="236" w:type="dxa"/>
            <w:shd w:val="clear" w:color="auto" w:fill="auto"/>
            <w:noWrap/>
            <w:vAlign w:val="center"/>
            <w:hideMark/>
          </w:tcPr>
          <w:p w14:paraId="06D65E93" w14:textId="584FBE05"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28.9</w:t>
            </w:r>
          </w:p>
        </w:tc>
        <w:tc>
          <w:tcPr>
            <w:tcW w:w="236" w:type="dxa"/>
            <w:shd w:val="clear" w:color="auto" w:fill="auto"/>
            <w:noWrap/>
            <w:vAlign w:val="center"/>
            <w:hideMark/>
          </w:tcPr>
          <w:p w14:paraId="68F6F15C" w14:textId="6E80413D"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31.0</w:t>
            </w:r>
          </w:p>
        </w:tc>
        <w:tc>
          <w:tcPr>
            <w:tcW w:w="236" w:type="dxa"/>
            <w:shd w:val="clear" w:color="auto" w:fill="auto"/>
            <w:noWrap/>
            <w:vAlign w:val="center"/>
            <w:hideMark/>
          </w:tcPr>
          <w:p w14:paraId="64964CF5" w14:textId="2D533CC7"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31.8</w:t>
            </w:r>
          </w:p>
        </w:tc>
      </w:tr>
      <w:tr w:rsidR="005C116D" w:rsidRPr="005C116D" w14:paraId="2421DBBB" w14:textId="77777777" w:rsidTr="005C116D">
        <w:trPr>
          <w:trHeight w:val="288"/>
        </w:trPr>
        <w:tc>
          <w:tcPr>
            <w:tcW w:w="236" w:type="dxa"/>
            <w:tcBorders>
              <w:bottom w:val="single" w:sz="4" w:space="0" w:color="auto"/>
            </w:tcBorders>
            <w:shd w:val="clear" w:color="auto" w:fill="auto"/>
            <w:noWrap/>
            <w:vAlign w:val="bottom"/>
            <w:hideMark/>
          </w:tcPr>
          <w:p w14:paraId="7DB7549A"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Southwest</w:t>
            </w:r>
            <w:proofErr w:type="spellEnd"/>
          </w:p>
        </w:tc>
        <w:tc>
          <w:tcPr>
            <w:tcW w:w="236" w:type="dxa"/>
            <w:tcBorders>
              <w:bottom w:val="single" w:sz="4" w:space="0" w:color="auto"/>
            </w:tcBorders>
            <w:shd w:val="clear" w:color="auto" w:fill="auto"/>
            <w:noWrap/>
            <w:vAlign w:val="bottom"/>
            <w:hideMark/>
          </w:tcPr>
          <w:p w14:paraId="7D358291"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Summer</w:t>
            </w:r>
          </w:p>
        </w:tc>
        <w:tc>
          <w:tcPr>
            <w:tcW w:w="236" w:type="dxa"/>
            <w:tcBorders>
              <w:bottom w:val="single" w:sz="4" w:space="0" w:color="auto"/>
            </w:tcBorders>
            <w:shd w:val="clear" w:color="auto" w:fill="auto"/>
            <w:noWrap/>
            <w:vAlign w:val="center"/>
            <w:hideMark/>
          </w:tcPr>
          <w:p w14:paraId="08DEE0CD" w14:textId="1A67BD0E"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1.6</w:t>
            </w:r>
          </w:p>
        </w:tc>
        <w:tc>
          <w:tcPr>
            <w:tcW w:w="236" w:type="dxa"/>
            <w:tcBorders>
              <w:bottom w:val="single" w:sz="4" w:space="0" w:color="auto"/>
            </w:tcBorders>
            <w:shd w:val="clear" w:color="auto" w:fill="auto"/>
            <w:noWrap/>
            <w:vAlign w:val="center"/>
            <w:hideMark/>
          </w:tcPr>
          <w:p w14:paraId="6962D024" w14:textId="795089C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2.5</w:t>
            </w:r>
          </w:p>
        </w:tc>
        <w:tc>
          <w:tcPr>
            <w:tcW w:w="236" w:type="dxa"/>
            <w:tcBorders>
              <w:bottom w:val="single" w:sz="4" w:space="0" w:color="auto"/>
            </w:tcBorders>
            <w:shd w:val="clear" w:color="auto" w:fill="auto"/>
            <w:noWrap/>
            <w:vAlign w:val="center"/>
            <w:hideMark/>
          </w:tcPr>
          <w:p w14:paraId="0ED7F3B6" w14:textId="1D12D55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2.7</w:t>
            </w:r>
          </w:p>
        </w:tc>
        <w:tc>
          <w:tcPr>
            <w:tcW w:w="236" w:type="dxa"/>
            <w:tcBorders>
              <w:bottom w:val="single" w:sz="4" w:space="0" w:color="auto"/>
            </w:tcBorders>
            <w:shd w:val="clear" w:color="auto" w:fill="auto"/>
            <w:noWrap/>
            <w:vAlign w:val="center"/>
            <w:hideMark/>
          </w:tcPr>
          <w:p w14:paraId="0DAD3F8C" w14:textId="49680610"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18.0</w:t>
            </w:r>
          </w:p>
        </w:tc>
        <w:tc>
          <w:tcPr>
            <w:tcW w:w="236" w:type="dxa"/>
            <w:tcBorders>
              <w:bottom w:val="single" w:sz="4" w:space="0" w:color="auto"/>
            </w:tcBorders>
            <w:shd w:val="clear" w:color="auto" w:fill="auto"/>
            <w:noWrap/>
            <w:vAlign w:val="center"/>
            <w:hideMark/>
          </w:tcPr>
          <w:p w14:paraId="4A6B9AB3" w14:textId="1D77A215"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24.8</w:t>
            </w:r>
          </w:p>
        </w:tc>
        <w:tc>
          <w:tcPr>
            <w:tcW w:w="236" w:type="dxa"/>
            <w:tcBorders>
              <w:bottom w:val="single" w:sz="4" w:space="0" w:color="auto"/>
            </w:tcBorders>
            <w:shd w:val="clear" w:color="auto" w:fill="auto"/>
            <w:noWrap/>
            <w:vAlign w:val="center"/>
            <w:hideMark/>
          </w:tcPr>
          <w:p w14:paraId="1D1AB1C0" w14:textId="1F5CCFCA"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36.3</w:t>
            </w:r>
          </w:p>
        </w:tc>
      </w:tr>
      <w:tr w:rsidR="005C116D" w:rsidRPr="005C116D" w14:paraId="31031BA5" w14:textId="77777777" w:rsidTr="005C116D">
        <w:trPr>
          <w:trHeight w:val="288"/>
        </w:trPr>
        <w:tc>
          <w:tcPr>
            <w:tcW w:w="236" w:type="dxa"/>
            <w:tcBorders>
              <w:top w:val="single" w:sz="4" w:space="0" w:color="auto"/>
            </w:tcBorders>
            <w:shd w:val="clear" w:color="auto" w:fill="auto"/>
            <w:noWrap/>
            <w:vAlign w:val="bottom"/>
            <w:hideMark/>
          </w:tcPr>
          <w:p w14:paraId="41F76BA0"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Midwest</w:t>
            </w:r>
            <w:proofErr w:type="spellEnd"/>
          </w:p>
        </w:tc>
        <w:tc>
          <w:tcPr>
            <w:tcW w:w="236" w:type="dxa"/>
            <w:tcBorders>
              <w:top w:val="single" w:sz="4" w:space="0" w:color="auto"/>
            </w:tcBorders>
            <w:shd w:val="clear" w:color="auto" w:fill="auto"/>
            <w:noWrap/>
            <w:vAlign w:val="bottom"/>
            <w:hideMark/>
          </w:tcPr>
          <w:p w14:paraId="4BE8B908"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Winter</w:t>
            </w:r>
          </w:p>
        </w:tc>
        <w:tc>
          <w:tcPr>
            <w:tcW w:w="236" w:type="dxa"/>
            <w:tcBorders>
              <w:top w:val="single" w:sz="4" w:space="0" w:color="auto"/>
            </w:tcBorders>
            <w:shd w:val="clear" w:color="auto" w:fill="auto"/>
            <w:noWrap/>
            <w:vAlign w:val="center"/>
            <w:hideMark/>
          </w:tcPr>
          <w:p w14:paraId="3A0F54ED" w14:textId="74E5F39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2.3</w:t>
            </w:r>
          </w:p>
        </w:tc>
        <w:tc>
          <w:tcPr>
            <w:tcW w:w="236" w:type="dxa"/>
            <w:tcBorders>
              <w:top w:val="single" w:sz="4" w:space="0" w:color="auto"/>
            </w:tcBorders>
            <w:shd w:val="clear" w:color="auto" w:fill="auto"/>
            <w:noWrap/>
            <w:vAlign w:val="center"/>
            <w:hideMark/>
          </w:tcPr>
          <w:p w14:paraId="7939ECF3" w14:textId="780A6A1A"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2.5</w:t>
            </w:r>
          </w:p>
        </w:tc>
        <w:tc>
          <w:tcPr>
            <w:tcW w:w="236" w:type="dxa"/>
            <w:tcBorders>
              <w:top w:val="single" w:sz="4" w:space="0" w:color="auto"/>
            </w:tcBorders>
            <w:shd w:val="clear" w:color="auto" w:fill="auto"/>
            <w:noWrap/>
            <w:vAlign w:val="center"/>
            <w:hideMark/>
          </w:tcPr>
          <w:p w14:paraId="3E4412D9" w14:textId="79BBB134"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2.9</w:t>
            </w:r>
          </w:p>
        </w:tc>
        <w:tc>
          <w:tcPr>
            <w:tcW w:w="236" w:type="dxa"/>
            <w:tcBorders>
              <w:top w:val="single" w:sz="4" w:space="0" w:color="auto"/>
            </w:tcBorders>
            <w:shd w:val="clear" w:color="auto" w:fill="auto"/>
            <w:noWrap/>
            <w:vAlign w:val="center"/>
            <w:hideMark/>
          </w:tcPr>
          <w:p w14:paraId="5493F050" w14:textId="3E04744B"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-6.9</w:t>
            </w:r>
          </w:p>
        </w:tc>
        <w:tc>
          <w:tcPr>
            <w:tcW w:w="236" w:type="dxa"/>
            <w:tcBorders>
              <w:top w:val="single" w:sz="4" w:space="0" w:color="auto"/>
            </w:tcBorders>
            <w:shd w:val="clear" w:color="auto" w:fill="auto"/>
            <w:noWrap/>
            <w:vAlign w:val="center"/>
            <w:hideMark/>
          </w:tcPr>
          <w:p w14:paraId="4A7712F7" w14:textId="0EF89A2C"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0.3</w:t>
            </w:r>
          </w:p>
        </w:tc>
        <w:tc>
          <w:tcPr>
            <w:tcW w:w="236" w:type="dxa"/>
            <w:tcBorders>
              <w:top w:val="single" w:sz="4" w:space="0" w:color="auto"/>
            </w:tcBorders>
            <w:shd w:val="clear" w:color="auto" w:fill="auto"/>
            <w:noWrap/>
            <w:vAlign w:val="center"/>
            <w:hideMark/>
          </w:tcPr>
          <w:p w14:paraId="551F68C4" w14:textId="02C06008"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5.0</w:t>
            </w:r>
          </w:p>
        </w:tc>
      </w:tr>
      <w:tr w:rsidR="005C116D" w:rsidRPr="005C116D" w14:paraId="2E202EBA" w14:textId="77777777" w:rsidTr="005C116D">
        <w:trPr>
          <w:trHeight w:val="288"/>
        </w:trPr>
        <w:tc>
          <w:tcPr>
            <w:tcW w:w="236" w:type="dxa"/>
            <w:shd w:val="clear" w:color="auto" w:fill="auto"/>
            <w:noWrap/>
            <w:vAlign w:val="bottom"/>
            <w:hideMark/>
          </w:tcPr>
          <w:p w14:paraId="5F4846C1" w14:textId="120A1499" w:rsidR="00124FD6" w:rsidRPr="005C116D" w:rsidRDefault="00FB6638"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Northeast</w:t>
            </w:r>
            <w:proofErr w:type="spellEnd"/>
          </w:p>
        </w:tc>
        <w:tc>
          <w:tcPr>
            <w:tcW w:w="236" w:type="dxa"/>
            <w:shd w:val="clear" w:color="auto" w:fill="auto"/>
            <w:noWrap/>
            <w:vAlign w:val="bottom"/>
            <w:hideMark/>
          </w:tcPr>
          <w:p w14:paraId="72CF54B1"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Winter</w:t>
            </w:r>
          </w:p>
        </w:tc>
        <w:tc>
          <w:tcPr>
            <w:tcW w:w="236" w:type="dxa"/>
            <w:shd w:val="clear" w:color="auto" w:fill="auto"/>
            <w:noWrap/>
            <w:vAlign w:val="center"/>
            <w:hideMark/>
          </w:tcPr>
          <w:p w14:paraId="16F110CD" w14:textId="4C630FDE"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2.2</w:t>
            </w:r>
          </w:p>
        </w:tc>
        <w:tc>
          <w:tcPr>
            <w:tcW w:w="236" w:type="dxa"/>
            <w:shd w:val="clear" w:color="auto" w:fill="auto"/>
            <w:noWrap/>
            <w:vAlign w:val="center"/>
            <w:hideMark/>
          </w:tcPr>
          <w:p w14:paraId="391E3DBF" w14:textId="1E3730B7"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2.3</w:t>
            </w:r>
          </w:p>
        </w:tc>
        <w:tc>
          <w:tcPr>
            <w:tcW w:w="236" w:type="dxa"/>
            <w:shd w:val="clear" w:color="auto" w:fill="auto"/>
            <w:noWrap/>
            <w:vAlign w:val="center"/>
            <w:hideMark/>
          </w:tcPr>
          <w:p w14:paraId="5833A7D8" w14:textId="39A9E78F"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2.6</w:t>
            </w:r>
          </w:p>
        </w:tc>
        <w:tc>
          <w:tcPr>
            <w:tcW w:w="236" w:type="dxa"/>
            <w:shd w:val="clear" w:color="auto" w:fill="auto"/>
            <w:noWrap/>
            <w:vAlign w:val="center"/>
            <w:hideMark/>
          </w:tcPr>
          <w:p w14:paraId="50BAF30B" w14:textId="1A5CB51A"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-1.0</w:t>
            </w:r>
          </w:p>
        </w:tc>
        <w:tc>
          <w:tcPr>
            <w:tcW w:w="236" w:type="dxa"/>
            <w:shd w:val="clear" w:color="auto" w:fill="auto"/>
            <w:noWrap/>
            <w:vAlign w:val="center"/>
            <w:hideMark/>
          </w:tcPr>
          <w:p w14:paraId="2F0AC437" w14:textId="19DE7A1F"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3.0</w:t>
            </w:r>
          </w:p>
        </w:tc>
        <w:tc>
          <w:tcPr>
            <w:tcW w:w="236" w:type="dxa"/>
            <w:shd w:val="clear" w:color="auto" w:fill="auto"/>
            <w:noWrap/>
            <w:vAlign w:val="center"/>
            <w:hideMark/>
          </w:tcPr>
          <w:p w14:paraId="4B1635F1" w14:textId="187CAF63"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5.1</w:t>
            </w:r>
          </w:p>
        </w:tc>
      </w:tr>
      <w:tr w:rsidR="005C116D" w:rsidRPr="005C116D" w14:paraId="3EDF342D" w14:textId="77777777" w:rsidTr="005C116D">
        <w:trPr>
          <w:trHeight w:val="288"/>
        </w:trPr>
        <w:tc>
          <w:tcPr>
            <w:tcW w:w="236" w:type="dxa"/>
            <w:shd w:val="clear" w:color="auto" w:fill="auto"/>
            <w:noWrap/>
            <w:vAlign w:val="bottom"/>
            <w:hideMark/>
          </w:tcPr>
          <w:p w14:paraId="23AD56AF"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Northern</w:t>
            </w:r>
            <w:proofErr w:type="spellEnd"/>
            <w:r w:rsidRPr="005C116D">
              <w:rPr>
                <w:rFonts w:ascii="Aptos Narrow" w:eastAsia="Times New Roman" w:hAnsi="Aptos Narrow"/>
                <w:color w:val="000000"/>
                <w:sz w:val="20"/>
                <w:szCs w:val="20"/>
                <w:lang w:val="es-US" w:eastAsia="es-MX"/>
              </w:rPr>
              <w:t xml:space="preserve"> Great Plains</w:t>
            </w:r>
          </w:p>
        </w:tc>
        <w:tc>
          <w:tcPr>
            <w:tcW w:w="236" w:type="dxa"/>
            <w:shd w:val="clear" w:color="auto" w:fill="auto"/>
            <w:noWrap/>
            <w:vAlign w:val="bottom"/>
            <w:hideMark/>
          </w:tcPr>
          <w:p w14:paraId="4BE34B7E"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Winter</w:t>
            </w:r>
          </w:p>
        </w:tc>
        <w:tc>
          <w:tcPr>
            <w:tcW w:w="236" w:type="dxa"/>
            <w:shd w:val="clear" w:color="auto" w:fill="auto"/>
            <w:noWrap/>
            <w:vAlign w:val="center"/>
            <w:hideMark/>
          </w:tcPr>
          <w:p w14:paraId="69D40B65" w14:textId="65784B19"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2.4</w:t>
            </w:r>
          </w:p>
        </w:tc>
        <w:tc>
          <w:tcPr>
            <w:tcW w:w="236" w:type="dxa"/>
            <w:shd w:val="clear" w:color="auto" w:fill="auto"/>
            <w:noWrap/>
            <w:vAlign w:val="center"/>
            <w:hideMark/>
          </w:tcPr>
          <w:p w14:paraId="06C60DBE" w14:textId="56EF9D87"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2.4</w:t>
            </w:r>
          </w:p>
        </w:tc>
        <w:tc>
          <w:tcPr>
            <w:tcW w:w="236" w:type="dxa"/>
            <w:shd w:val="clear" w:color="auto" w:fill="auto"/>
            <w:noWrap/>
            <w:vAlign w:val="center"/>
            <w:hideMark/>
          </w:tcPr>
          <w:p w14:paraId="7709E2A6" w14:textId="2E4135BA"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2.7</w:t>
            </w:r>
          </w:p>
        </w:tc>
        <w:tc>
          <w:tcPr>
            <w:tcW w:w="236" w:type="dxa"/>
            <w:shd w:val="clear" w:color="auto" w:fill="auto"/>
            <w:noWrap/>
            <w:vAlign w:val="center"/>
            <w:hideMark/>
          </w:tcPr>
          <w:p w14:paraId="5148F616" w14:textId="03FC47F8"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-7.2</w:t>
            </w:r>
          </w:p>
        </w:tc>
        <w:tc>
          <w:tcPr>
            <w:tcW w:w="236" w:type="dxa"/>
            <w:shd w:val="clear" w:color="auto" w:fill="auto"/>
            <w:noWrap/>
            <w:vAlign w:val="center"/>
            <w:hideMark/>
          </w:tcPr>
          <w:p w14:paraId="77158687" w14:textId="3C256AE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-0.8</w:t>
            </w:r>
          </w:p>
        </w:tc>
        <w:tc>
          <w:tcPr>
            <w:tcW w:w="236" w:type="dxa"/>
            <w:shd w:val="clear" w:color="auto" w:fill="auto"/>
            <w:noWrap/>
            <w:vAlign w:val="center"/>
            <w:hideMark/>
          </w:tcPr>
          <w:p w14:paraId="0FD6CF66" w14:textId="4FDA7B7E"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0.0</w:t>
            </w:r>
          </w:p>
        </w:tc>
      </w:tr>
      <w:tr w:rsidR="005C116D" w:rsidRPr="005C116D" w14:paraId="0D64CF90" w14:textId="77777777" w:rsidTr="005C116D">
        <w:trPr>
          <w:trHeight w:val="288"/>
        </w:trPr>
        <w:tc>
          <w:tcPr>
            <w:tcW w:w="236" w:type="dxa"/>
            <w:shd w:val="clear" w:color="auto" w:fill="auto"/>
            <w:noWrap/>
            <w:vAlign w:val="bottom"/>
            <w:hideMark/>
          </w:tcPr>
          <w:p w14:paraId="13E17E10"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Northwest</w:t>
            </w:r>
            <w:proofErr w:type="spellEnd"/>
          </w:p>
        </w:tc>
        <w:tc>
          <w:tcPr>
            <w:tcW w:w="236" w:type="dxa"/>
            <w:shd w:val="clear" w:color="auto" w:fill="auto"/>
            <w:noWrap/>
            <w:vAlign w:val="bottom"/>
            <w:hideMark/>
          </w:tcPr>
          <w:p w14:paraId="4CADEBE0"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Winter</w:t>
            </w:r>
          </w:p>
        </w:tc>
        <w:tc>
          <w:tcPr>
            <w:tcW w:w="236" w:type="dxa"/>
            <w:shd w:val="clear" w:color="auto" w:fill="auto"/>
            <w:noWrap/>
            <w:vAlign w:val="center"/>
            <w:hideMark/>
          </w:tcPr>
          <w:p w14:paraId="473ED5D4" w14:textId="6FAD12DF"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1.6</w:t>
            </w:r>
          </w:p>
        </w:tc>
        <w:tc>
          <w:tcPr>
            <w:tcW w:w="236" w:type="dxa"/>
            <w:shd w:val="clear" w:color="auto" w:fill="auto"/>
            <w:noWrap/>
            <w:vAlign w:val="center"/>
            <w:hideMark/>
          </w:tcPr>
          <w:p w14:paraId="509DFD9B" w14:textId="4063235A"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1.7</w:t>
            </w:r>
          </w:p>
        </w:tc>
        <w:tc>
          <w:tcPr>
            <w:tcW w:w="236" w:type="dxa"/>
            <w:shd w:val="clear" w:color="auto" w:fill="auto"/>
            <w:noWrap/>
            <w:vAlign w:val="center"/>
            <w:hideMark/>
          </w:tcPr>
          <w:p w14:paraId="58170A1C" w14:textId="36104A5E"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2.0</w:t>
            </w:r>
          </w:p>
        </w:tc>
        <w:tc>
          <w:tcPr>
            <w:tcW w:w="236" w:type="dxa"/>
            <w:shd w:val="clear" w:color="auto" w:fill="auto"/>
            <w:noWrap/>
            <w:vAlign w:val="center"/>
            <w:hideMark/>
          </w:tcPr>
          <w:p w14:paraId="06EBB61B" w14:textId="221591C4"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0.9</w:t>
            </w:r>
          </w:p>
        </w:tc>
        <w:tc>
          <w:tcPr>
            <w:tcW w:w="236" w:type="dxa"/>
            <w:shd w:val="clear" w:color="auto" w:fill="auto"/>
            <w:noWrap/>
            <w:vAlign w:val="center"/>
            <w:hideMark/>
          </w:tcPr>
          <w:p w14:paraId="1BB5ECCC" w14:textId="19A0BF26"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6.0</w:t>
            </w:r>
          </w:p>
        </w:tc>
        <w:tc>
          <w:tcPr>
            <w:tcW w:w="236" w:type="dxa"/>
            <w:shd w:val="clear" w:color="auto" w:fill="auto"/>
            <w:noWrap/>
            <w:vAlign w:val="center"/>
            <w:hideMark/>
          </w:tcPr>
          <w:p w14:paraId="2D4A106C" w14:textId="79DA99DE"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6.6</w:t>
            </w:r>
          </w:p>
        </w:tc>
      </w:tr>
      <w:tr w:rsidR="005C116D" w:rsidRPr="005C116D" w14:paraId="74AC6D8E" w14:textId="77777777" w:rsidTr="005C116D">
        <w:trPr>
          <w:trHeight w:val="288"/>
        </w:trPr>
        <w:tc>
          <w:tcPr>
            <w:tcW w:w="236" w:type="dxa"/>
            <w:shd w:val="clear" w:color="auto" w:fill="auto"/>
            <w:noWrap/>
            <w:vAlign w:val="bottom"/>
            <w:hideMark/>
          </w:tcPr>
          <w:p w14:paraId="6F7B6FFF"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Southeast</w:t>
            </w:r>
            <w:proofErr w:type="spellEnd"/>
          </w:p>
        </w:tc>
        <w:tc>
          <w:tcPr>
            <w:tcW w:w="236" w:type="dxa"/>
            <w:shd w:val="clear" w:color="auto" w:fill="auto"/>
            <w:noWrap/>
            <w:vAlign w:val="bottom"/>
            <w:hideMark/>
          </w:tcPr>
          <w:p w14:paraId="6D847BAD"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Winter</w:t>
            </w:r>
          </w:p>
        </w:tc>
        <w:tc>
          <w:tcPr>
            <w:tcW w:w="236" w:type="dxa"/>
            <w:shd w:val="clear" w:color="auto" w:fill="auto"/>
            <w:noWrap/>
            <w:vAlign w:val="center"/>
            <w:hideMark/>
          </w:tcPr>
          <w:p w14:paraId="0E898739" w14:textId="0E0A849F"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1.2</w:t>
            </w:r>
          </w:p>
        </w:tc>
        <w:tc>
          <w:tcPr>
            <w:tcW w:w="236" w:type="dxa"/>
            <w:shd w:val="clear" w:color="auto" w:fill="auto"/>
            <w:noWrap/>
            <w:vAlign w:val="center"/>
            <w:hideMark/>
          </w:tcPr>
          <w:p w14:paraId="4D15546C" w14:textId="2C595F75"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1.9</w:t>
            </w:r>
          </w:p>
        </w:tc>
        <w:tc>
          <w:tcPr>
            <w:tcW w:w="236" w:type="dxa"/>
            <w:shd w:val="clear" w:color="auto" w:fill="auto"/>
            <w:noWrap/>
            <w:vAlign w:val="center"/>
            <w:hideMark/>
          </w:tcPr>
          <w:p w14:paraId="46548E59" w14:textId="25AAD665"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2.4</w:t>
            </w:r>
          </w:p>
        </w:tc>
        <w:tc>
          <w:tcPr>
            <w:tcW w:w="236" w:type="dxa"/>
            <w:shd w:val="clear" w:color="auto" w:fill="auto"/>
            <w:noWrap/>
            <w:vAlign w:val="center"/>
            <w:hideMark/>
          </w:tcPr>
          <w:p w14:paraId="34E5C160" w14:textId="73AF404E"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3.6</w:t>
            </w:r>
          </w:p>
        </w:tc>
        <w:tc>
          <w:tcPr>
            <w:tcW w:w="236" w:type="dxa"/>
            <w:shd w:val="clear" w:color="auto" w:fill="auto"/>
            <w:noWrap/>
            <w:vAlign w:val="center"/>
            <w:hideMark/>
          </w:tcPr>
          <w:p w14:paraId="6D385FEE" w14:textId="1526A378"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10.0</w:t>
            </w:r>
          </w:p>
        </w:tc>
        <w:tc>
          <w:tcPr>
            <w:tcW w:w="236" w:type="dxa"/>
            <w:shd w:val="clear" w:color="auto" w:fill="auto"/>
            <w:noWrap/>
            <w:vAlign w:val="center"/>
            <w:hideMark/>
          </w:tcPr>
          <w:p w14:paraId="26C5286C" w14:textId="410A3BA7"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22.2</w:t>
            </w:r>
          </w:p>
        </w:tc>
      </w:tr>
      <w:tr w:rsidR="005C116D" w:rsidRPr="005C116D" w14:paraId="6AE3437F" w14:textId="77777777" w:rsidTr="005C116D">
        <w:trPr>
          <w:trHeight w:val="288"/>
        </w:trPr>
        <w:tc>
          <w:tcPr>
            <w:tcW w:w="236" w:type="dxa"/>
            <w:shd w:val="clear" w:color="auto" w:fill="auto"/>
            <w:noWrap/>
            <w:vAlign w:val="bottom"/>
            <w:hideMark/>
          </w:tcPr>
          <w:p w14:paraId="15F3D4E1"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Southern</w:t>
            </w:r>
            <w:proofErr w:type="spellEnd"/>
            <w:r w:rsidRPr="005C116D">
              <w:rPr>
                <w:rFonts w:ascii="Aptos Narrow" w:eastAsia="Times New Roman" w:hAnsi="Aptos Narrow"/>
                <w:color w:val="000000"/>
                <w:sz w:val="20"/>
                <w:szCs w:val="20"/>
                <w:lang w:val="es-US" w:eastAsia="es-MX"/>
              </w:rPr>
              <w:t xml:space="preserve"> Great Plains</w:t>
            </w:r>
          </w:p>
        </w:tc>
        <w:tc>
          <w:tcPr>
            <w:tcW w:w="236" w:type="dxa"/>
            <w:shd w:val="clear" w:color="auto" w:fill="auto"/>
            <w:noWrap/>
            <w:vAlign w:val="bottom"/>
            <w:hideMark/>
          </w:tcPr>
          <w:p w14:paraId="463A6B9E"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Winter</w:t>
            </w:r>
          </w:p>
        </w:tc>
        <w:tc>
          <w:tcPr>
            <w:tcW w:w="236" w:type="dxa"/>
            <w:shd w:val="clear" w:color="auto" w:fill="auto"/>
            <w:noWrap/>
            <w:vAlign w:val="center"/>
            <w:hideMark/>
          </w:tcPr>
          <w:p w14:paraId="4A3F68DC" w14:textId="39BFEB27"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1.8</w:t>
            </w:r>
          </w:p>
        </w:tc>
        <w:tc>
          <w:tcPr>
            <w:tcW w:w="236" w:type="dxa"/>
            <w:shd w:val="clear" w:color="auto" w:fill="auto"/>
            <w:noWrap/>
            <w:vAlign w:val="center"/>
            <w:hideMark/>
          </w:tcPr>
          <w:p w14:paraId="7DA69F4D" w14:textId="109E1780"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2.0</w:t>
            </w:r>
          </w:p>
        </w:tc>
        <w:tc>
          <w:tcPr>
            <w:tcW w:w="236" w:type="dxa"/>
            <w:shd w:val="clear" w:color="auto" w:fill="auto"/>
            <w:noWrap/>
            <w:vAlign w:val="center"/>
            <w:hideMark/>
          </w:tcPr>
          <w:p w14:paraId="7C3A55F0" w14:textId="20D74B80"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2.4</w:t>
            </w:r>
          </w:p>
        </w:tc>
        <w:tc>
          <w:tcPr>
            <w:tcW w:w="236" w:type="dxa"/>
            <w:shd w:val="clear" w:color="auto" w:fill="auto"/>
            <w:noWrap/>
            <w:vAlign w:val="center"/>
            <w:hideMark/>
          </w:tcPr>
          <w:p w14:paraId="64FFD9E3" w14:textId="61370CC2"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2.7</w:t>
            </w:r>
          </w:p>
        </w:tc>
        <w:tc>
          <w:tcPr>
            <w:tcW w:w="236" w:type="dxa"/>
            <w:shd w:val="clear" w:color="auto" w:fill="auto"/>
            <w:noWrap/>
            <w:vAlign w:val="center"/>
            <w:hideMark/>
          </w:tcPr>
          <w:p w14:paraId="4656C37D" w14:textId="2183B9AA"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11.4</w:t>
            </w:r>
          </w:p>
        </w:tc>
        <w:tc>
          <w:tcPr>
            <w:tcW w:w="236" w:type="dxa"/>
            <w:shd w:val="clear" w:color="auto" w:fill="auto"/>
            <w:noWrap/>
            <w:vAlign w:val="center"/>
            <w:hideMark/>
          </w:tcPr>
          <w:p w14:paraId="09966D14" w14:textId="3CD3C4BE"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19.6</w:t>
            </w:r>
          </w:p>
        </w:tc>
      </w:tr>
      <w:tr w:rsidR="005C116D" w:rsidRPr="005C116D" w14:paraId="494B4427" w14:textId="77777777" w:rsidTr="005C116D">
        <w:trPr>
          <w:trHeight w:val="288"/>
        </w:trPr>
        <w:tc>
          <w:tcPr>
            <w:tcW w:w="236" w:type="dxa"/>
            <w:tcBorders>
              <w:bottom w:val="single" w:sz="4" w:space="0" w:color="auto"/>
            </w:tcBorders>
            <w:shd w:val="clear" w:color="auto" w:fill="auto"/>
            <w:noWrap/>
            <w:vAlign w:val="bottom"/>
            <w:hideMark/>
          </w:tcPr>
          <w:p w14:paraId="2BA157EC" w14:textId="77777777" w:rsidR="00124FD6" w:rsidRPr="005C116D" w:rsidRDefault="00124FD6" w:rsidP="00124FD6">
            <w:pPr>
              <w:pStyle w:val="NoSpacing"/>
              <w:rPr>
                <w:rFonts w:ascii="Aptos Narrow" w:hAnsi="Aptos Narrow" w:cs="Calibri"/>
                <w:sz w:val="20"/>
                <w:szCs w:val="20"/>
              </w:rPr>
            </w:pPr>
            <w:proofErr w:type="spellStart"/>
            <w:r w:rsidRPr="005C116D">
              <w:rPr>
                <w:rFonts w:ascii="Aptos Narrow" w:eastAsia="Times New Roman" w:hAnsi="Aptos Narrow"/>
                <w:color w:val="000000"/>
                <w:sz w:val="20"/>
                <w:szCs w:val="20"/>
                <w:lang w:val="es-US" w:eastAsia="es-MX"/>
              </w:rPr>
              <w:t>Southwest</w:t>
            </w:r>
            <w:proofErr w:type="spellEnd"/>
          </w:p>
        </w:tc>
        <w:tc>
          <w:tcPr>
            <w:tcW w:w="236" w:type="dxa"/>
            <w:tcBorders>
              <w:bottom w:val="single" w:sz="4" w:space="0" w:color="auto"/>
            </w:tcBorders>
            <w:shd w:val="clear" w:color="auto" w:fill="auto"/>
            <w:noWrap/>
            <w:vAlign w:val="bottom"/>
            <w:hideMark/>
          </w:tcPr>
          <w:p w14:paraId="67B6CB14" w14:textId="77777777" w:rsidR="00124FD6" w:rsidRPr="005C116D" w:rsidRDefault="00124FD6" w:rsidP="00124FD6">
            <w:pPr>
              <w:pStyle w:val="NoSpacing"/>
              <w:rPr>
                <w:rFonts w:ascii="Aptos Narrow" w:hAnsi="Aptos Narrow" w:cs="Calibri"/>
                <w:sz w:val="20"/>
                <w:szCs w:val="20"/>
              </w:rPr>
            </w:pPr>
            <w:r w:rsidRPr="005C116D">
              <w:rPr>
                <w:rFonts w:ascii="Aptos Narrow" w:hAnsi="Aptos Narrow" w:cs="Calibri"/>
                <w:sz w:val="20"/>
                <w:szCs w:val="20"/>
              </w:rPr>
              <w:t>Winter</w:t>
            </w:r>
          </w:p>
        </w:tc>
        <w:tc>
          <w:tcPr>
            <w:tcW w:w="236" w:type="dxa"/>
            <w:tcBorders>
              <w:bottom w:val="single" w:sz="4" w:space="0" w:color="auto"/>
            </w:tcBorders>
            <w:shd w:val="clear" w:color="auto" w:fill="auto"/>
            <w:noWrap/>
            <w:vAlign w:val="center"/>
            <w:hideMark/>
          </w:tcPr>
          <w:p w14:paraId="6A99B001" w14:textId="6E59005B"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1.4</w:t>
            </w:r>
          </w:p>
        </w:tc>
        <w:tc>
          <w:tcPr>
            <w:tcW w:w="236" w:type="dxa"/>
            <w:tcBorders>
              <w:bottom w:val="single" w:sz="4" w:space="0" w:color="auto"/>
            </w:tcBorders>
            <w:shd w:val="clear" w:color="auto" w:fill="auto"/>
            <w:noWrap/>
            <w:vAlign w:val="center"/>
            <w:hideMark/>
          </w:tcPr>
          <w:p w14:paraId="25020C3A" w14:textId="3E53300E"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1.7</w:t>
            </w:r>
          </w:p>
        </w:tc>
        <w:tc>
          <w:tcPr>
            <w:tcW w:w="236" w:type="dxa"/>
            <w:tcBorders>
              <w:bottom w:val="single" w:sz="4" w:space="0" w:color="auto"/>
            </w:tcBorders>
            <w:shd w:val="clear" w:color="auto" w:fill="auto"/>
            <w:noWrap/>
            <w:vAlign w:val="center"/>
            <w:hideMark/>
          </w:tcPr>
          <w:p w14:paraId="5A9BDC31" w14:textId="52A10061"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2.1</w:t>
            </w:r>
          </w:p>
        </w:tc>
        <w:tc>
          <w:tcPr>
            <w:tcW w:w="236" w:type="dxa"/>
            <w:tcBorders>
              <w:bottom w:val="single" w:sz="4" w:space="0" w:color="auto"/>
            </w:tcBorders>
            <w:shd w:val="clear" w:color="auto" w:fill="auto"/>
            <w:noWrap/>
            <w:vAlign w:val="center"/>
            <w:hideMark/>
          </w:tcPr>
          <w:p w14:paraId="285B3CD0" w14:textId="434B9A5C"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-2.8</w:t>
            </w:r>
          </w:p>
        </w:tc>
        <w:tc>
          <w:tcPr>
            <w:tcW w:w="236" w:type="dxa"/>
            <w:tcBorders>
              <w:bottom w:val="single" w:sz="4" w:space="0" w:color="auto"/>
            </w:tcBorders>
            <w:shd w:val="clear" w:color="auto" w:fill="auto"/>
            <w:noWrap/>
            <w:vAlign w:val="center"/>
            <w:hideMark/>
          </w:tcPr>
          <w:p w14:paraId="4F38B873" w14:textId="7357B047"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10.5</w:t>
            </w:r>
          </w:p>
        </w:tc>
        <w:tc>
          <w:tcPr>
            <w:tcW w:w="236" w:type="dxa"/>
            <w:tcBorders>
              <w:bottom w:val="single" w:sz="4" w:space="0" w:color="auto"/>
            </w:tcBorders>
            <w:shd w:val="clear" w:color="auto" w:fill="auto"/>
            <w:noWrap/>
            <w:vAlign w:val="center"/>
            <w:hideMark/>
          </w:tcPr>
          <w:p w14:paraId="4E08F928" w14:textId="11BBCFB3" w:rsidR="00124FD6" w:rsidRPr="005C116D" w:rsidRDefault="00124FD6" w:rsidP="00124FD6">
            <w:pPr>
              <w:pStyle w:val="NoSpacing"/>
              <w:jc w:val="right"/>
              <w:rPr>
                <w:rFonts w:ascii="Aptos Narrow" w:hAnsi="Aptos Narrow" w:cs="Calibri"/>
                <w:sz w:val="20"/>
                <w:szCs w:val="20"/>
              </w:rPr>
            </w:pPr>
            <w:r w:rsidRPr="005C116D">
              <w:rPr>
                <w:rFonts w:ascii="Calibri" w:hAnsi="Calibri" w:cs="Calibri"/>
                <w:color w:val="000000"/>
                <w:sz w:val="20"/>
                <w:szCs w:val="20"/>
              </w:rPr>
              <w:t>14.4</w:t>
            </w:r>
          </w:p>
        </w:tc>
      </w:tr>
    </w:tbl>
    <w:p w14:paraId="45D74347" w14:textId="77777777" w:rsidR="00901616" w:rsidRDefault="00901616" w:rsidP="00E80E4F">
      <w:pPr>
        <w:rPr>
          <w:b/>
          <w:bCs/>
          <w:u w:val="single"/>
        </w:rPr>
      </w:pPr>
    </w:p>
    <w:p w14:paraId="131F8EEA" w14:textId="220AB5FB" w:rsidR="00E80E4F" w:rsidRPr="00EA2673" w:rsidRDefault="00E80E4F" w:rsidP="00E80E4F">
      <w:r w:rsidRPr="009F0D91">
        <w:rPr>
          <w:b/>
          <w:bCs/>
          <w:u w:val="single"/>
        </w:rPr>
        <w:t>Table S</w:t>
      </w:r>
      <w:r w:rsidR="00BF5C8C">
        <w:rPr>
          <w:b/>
          <w:bCs/>
          <w:u w:val="single"/>
        </w:rPr>
        <w:t>2</w:t>
      </w:r>
      <w:r w:rsidRPr="00EA2673">
        <w:t xml:space="preserve">.  Percent (%) changes by SSP </w:t>
      </w:r>
      <w:r w:rsidR="004D7757">
        <w:t>2-4.5</w:t>
      </w:r>
      <w:r w:rsidRPr="00EA2673">
        <w:t xml:space="preserve">, </w:t>
      </w:r>
      <w:r w:rsidR="004D7757">
        <w:t>3-7.0</w:t>
      </w:r>
      <w:r w:rsidRPr="00EA2673">
        <w:t xml:space="preserve"> and </w:t>
      </w:r>
      <w:r w:rsidR="004D7757">
        <w:t>5-8.5</w:t>
      </w:r>
      <w:r w:rsidRPr="00EA2673">
        <w:t xml:space="preserve"> versions of Table 1.   </w:t>
      </w:r>
    </w:p>
    <w:tbl>
      <w:tblPr>
        <w:tblW w:w="0" w:type="auto"/>
        <w:tblCellMar>
          <w:left w:w="70" w:type="dxa"/>
          <w:right w:w="70" w:type="dxa"/>
        </w:tblCellMar>
        <w:tblLook w:val="04A0" w:firstRow="1" w:lastRow="0" w:firstColumn="1" w:lastColumn="0" w:noHBand="0" w:noVBand="1"/>
      </w:tblPr>
      <w:tblGrid>
        <w:gridCol w:w="2048"/>
        <w:gridCol w:w="976"/>
        <w:gridCol w:w="976"/>
        <w:gridCol w:w="976"/>
      </w:tblGrid>
      <w:tr w:rsidR="00E80E4F" w:rsidRPr="00901616" w14:paraId="6FF5C1A8" w14:textId="77777777" w:rsidTr="00BF5C8C">
        <w:trPr>
          <w:trHeight w:val="20"/>
        </w:trPr>
        <w:tc>
          <w:tcPr>
            <w:tcW w:w="0" w:type="auto"/>
            <w:tcBorders>
              <w:bottom w:val="single" w:sz="4" w:space="0" w:color="auto"/>
            </w:tcBorders>
            <w:shd w:val="clear" w:color="auto" w:fill="auto"/>
            <w:noWrap/>
            <w:vAlign w:val="bottom"/>
            <w:hideMark/>
          </w:tcPr>
          <w:p w14:paraId="3CBA6D84" w14:textId="77777777" w:rsidR="00E80E4F" w:rsidRPr="00901616" w:rsidRDefault="00E80E4F" w:rsidP="00BF5C8C">
            <w:pPr>
              <w:tabs>
                <w:tab w:val="clear" w:pos="260"/>
              </w:tabs>
              <w:spacing w:after="0" w:line="240" w:lineRule="auto"/>
              <w:jc w:val="left"/>
              <w:rPr>
                <w:rFonts w:eastAsia="Times New Roman"/>
                <w:lang w:eastAsia="es-MX"/>
              </w:rPr>
            </w:pPr>
          </w:p>
        </w:tc>
        <w:tc>
          <w:tcPr>
            <w:tcW w:w="0" w:type="auto"/>
            <w:tcBorders>
              <w:bottom w:val="single" w:sz="4" w:space="0" w:color="auto"/>
            </w:tcBorders>
            <w:shd w:val="clear" w:color="auto" w:fill="auto"/>
            <w:noWrap/>
            <w:vAlign w:val="bottom"/>
            <w:hideMark/>
          </w:tcPr>
          <w:p w14:paraId="570837DE" w14:textId="56EAB7D0" w:rsidR="00E80E4F" w:rsidRPr="00901616" w:rsidRDefault="00E80E4F" w:rsidP="00BF5C8C">
            <w:pPr>
              <w:tabs>
                <w:tab w:val="clear" w:pos="260"/>
              </w:tabs>
              <w:spacing w:after="0" w:line="240" w:lineRule="auto"/>
              <w:jc w:val="right"/>
              <w:rPr>
                <w:rFonts w:eastAsia="Times New Roman"/>
                <w:b/>
                <w:bCs/>
                <w:color w:val="000000"/>
                <w:lang w:val="es-US" w:eastAsia="es-MX"/>
              </w:rPr>
            </w:pPr>
            <w:r w:rsidRPr="00901616">
              <w:rPr>
                <w:rFonts w:eastAsia="Times New Roman"/>
                <w:b/>
                <w:bCs/>
                <w:color w:val="000000"/>
                <w:lang w:val="es-US" w:eastAsia="es-MX"/>
              </w:rPr>
              <w:t xml:space="preserve">SSP </w:t>
            </w:r>
            <w:r w:rsidR="004D7757" w:rsidRPr="00901616">
              <w:rPr>
                <w:rFonts w:eastAsia="Times New Roman"/>
                <w:b/>
                <w:bCs/>
                <w:color w:val="000000"/>
                <w:lang w:val="es-US" w:eastAsia="es-MX"/>
              </w:rPr>
              <w:t>2-4.5</w:t>
            </w:r>
          </w:p>
        </w:tc>
        <w:tc>
          <w:tcPr>
            <w:tcW w:w="0" w:type="auto"/>
            <w:tcBorders>
              <w:bottom w:val="single" w:sz="4" w:space="0" w:color="auto"/>
            </w:tcBorders>
            <w:shd w:val="clear" w:color="auto" w:fill="auto"/>
            <w:noWrap/>
            <w:vAlign w:val="bottom"/>
            <w:hideMark/>
          </w:tcPr>
          <w:p w14:paraId="71543475" w14:textId="6E753BCE" w:rsidR="00E80E4F" w:rsidRPr="00901616" w:rsidRDefault="00E80E4F" w:rsidP="00BF5C8C">
            <w:pPr>
              <w:tabs>
                <w:tab w:val="clear" w:pos="260"/>
              </w:tabs>
              <w:spacing w:after="0" w:line="240" w:lineRule="auto"/>
              <w:jc w:val="right"/>
              <w:rPr>
                <w:rFonts w:eastAsia="Times New Roman"/>
                <w:b/>
                <w:bCs/>
                <w:color w:val="000000"/>
                <w:lang w:val="es-US" w:eastAsia="es-MX"/>
              </w:rPr>
            </w:pPr>
            <w:r w:rsidRPr="00901616">
              <w:rPr>
                <w:rFonts w:eastAsia="Times New Roman"/>
                <w:b/>
                <w:bCs/>
                <w:color w:val="000000"/>
                <w:lang w:val="es-US" w:eastAsia="es-MX"/>
              </w:rPr>
              <w:t xml:space="preserve">SSP </w:t>
            </w:r>
            <w:r w:rsidR="004D7757" w:rsidRPr="00901616">
              <w:rPr>
                <w:rFonts w:eastAsia="Times New Roman"/>
                <w:b/>
                <w:bCs/>
                <w:color w:val="000000"/>
                <w:lang w:val="es-US" w:eastAsia="es-MX"/>
              </w:rPr>
              <w:t>3-7.0</w:t>
            </w:r>
          </w:p>
        </w:tc>
        <w:tc>
          <w:tcPr>
            <w:tcW w:w="0" w:type="auto"/>
            <w:tcBorders>
              <w:bottom w:val="single" w:sz="4" w:space="0" w:color="auto"/>
            </w:tcBorders>
            <w:shd w:val="clear" w:color="auto" w:fill="auto"/>
            <w:noWrap/>
            <w:vAlign w:val="bottom"/>
            <w:hideMark/>
          </w:tcPr>
          <w:p w14:paraId="466D7386" w14:textId="3E06F62E" w:rsidR="00E80E4F" w:rsidRPr="00901616" w:rsidRDefault="00E80E4F" w:rsidP="00BF5C8C">
            <w:pPr>
              <w:tabs>
                <w:tab w:val="clear" w:pos="260"/>
              </w:tabs>
              <w:spacing w:after="0" w:line="240" w:lineRule="auto"/>
              <w:jc w:val="right"/>
              <w:rPr>
                <w:rFonts w:eastAsia="Times New Roman"/>
                <w:b/>
                <w:bCs/>
                <w:color w:val="000000"/>
                <w:lang w:val="es-US" w:eastAsia="es-MX"/>
              </w:rPr>
            </w:pPr>
            <w:r w:rsidRPr="00901616">
              <w:rPr>
                <w:rFonts w:eastAsia="Times New Roman"/>
                <w:b/>
                <w:bCs/>
                <w:color w:val="000000"/>
                <w:lang w:val="es-US" w:eastAsia="es-MX"/>
              </w:rPr>
              <w:t>SSP 5</w:t>
            </w:r>
            <w:r w:rsidR="00A80060">
              <w:rPr>
                <w:rFonts w:eastAsia="Times New Roman"/>
                <w:b/>
                <w:bCs/>
                <w:color w:val="000000"/>
                <w:lang w:val="es-US" w:eastAsia="es-MX"/>
              </w:rPr>
              <w:t>-</w:t>
            </w:r>
            <w:r w:rsidRPr="00901616">
              <w:rPr>
                <w:rFonts w:eastAsia="Times New Roman"/>
                <w:b/>
                <w:bCs/>
                <w:color w:val="000000"/>
                <w:lang w:val="es-US" w:eastAsia="es-MX"/>
              </w:rPr>
              <w:t>8</w:t>
            </w:r>
            <w:r w:rsidR="00A80060">
              <w:rPr>
                <w:rFonts w:eastAsia="Times New Roman"/>
                <w:b/>
                <w:bCs/>
                <w:color w:val="000000"/>
                <w:lang w:val="es-US" w:eastAsia="es-MX"/>
              </w:rPr>
              <w:t>.5</w:t>
            </w:r>
          </w:p>
        </w:tc>
      </w:tr>
      <w:tr w:rsidR="00A80060" w:rsidRPr="00901616" w14:paraId="6B3F03FA" w14:textId="77777777" w:rsidTr="00BF5C8C">
        <w:trPr>
          <w:trHeight w:val="20"/>
        </w:trPr>
        <w:tc>
          <w:tcPr>
            <w:tcW w:w="0" w:type="auto"/>
            <w:tcBorders>
              <w:top w:val="single" w:sz="4" w:space="0" w:color="auto"/>
            </w:tcBorders>
            <w:shd w:val="clear" w:color="auto" w:fill="auto"/>
            <w:noWrap/>
            <w:vAlign w:val="bottom"/>
            <w:hideMark/>
          </w:tcPr>
          <w:p w14:paraId="42132C0A" w14:textId="7C26E7AF" w:rsidR="00A80060" w:rsidRPr="00901616" w:rsidRDefault="00A80060" w:rsidP="00BF5C8C">
            <w:pPr>
              <w:tabs>
                <w:tab w:val="clear" w:pos="260"/>
              </w:tabs>
              <w:spacing w:after="0" w:line="240" w:lineRule="auto"/>
              <w:jc w:val="left"/>
              <w:rPr>
                <w:rFonts w:eastAsia="Times New Roman"/>
                <w:color w:val="000000"/>
                <w:lang w:val="es-US" w:eastAsia="es-MX"/>
              </w:rPr>
            </w:pPr>
            <w:r>
              <w:rPr>
                <w:rFonts w:ascii="Aptos Narrow" w:hAnsi="Aptos Narrow"/>
                <w:color w:val="000000"/>
              </w:rPr>
              <w:t>Midwest</w:t>
            </w:r>
          </w:p>
        </w:tc>
        <w:tc>
          <w:tcPr>
            <w:tcW w:w="0" w:type="auto"/>
            <w:tcBorders>
              <w:top w:val="single" w:sz="4" w:space="0" w:color="auto"/>
            </w:tcBorders>
            <w:shd w:val="clear" w:color="auto" w:fill="auto"/>
            <w:noWrap/>
            <w:vAlign w:val="bottom"/>
            <w:hideMark/>
          </w:tcPr>
          <w:p w14:paraId="748D4596" w14:textId="5669DE4D"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1.1</w:t>
            </w:r>
          </w:p>
        </w:tc>
        <w:tc>
          <w:tcPr>
            <w:tcW w:w="0" w:type="auto"/>
            <w:tcBorders>
              <w:top w:val="single" w:sz="4" w:space="0" w:color="auto"/>
            </w:tcBorders>
            <w:shd w:val="clear" w:color="auto" w:fill="auto"/>
            <w:noWrap/>
            <w:vAlign w:val="bottom"/>
            <w:hideMark/>
          </w:tcPr>
          <w:p w14:paraId="6AB3700B" w14:textId="3734F16C"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1.3</w:t>
            </w:r>
          </w:p>
        </w:tc>
        <w:tc>
          <w:tcPr>
            <w:tcW w:w="0" w:type="auto"/>
            <w:tcBorders>
              <w:top w:val="single" w:sz="4" w:space="0" w:color="auto"/>
            </w:tcBorders>
            <w:shd w:val="clear" w:color="auto" w:fill="auto"/>
            <w:noWrap/>
            <w:vAlign w:val="bottom"/>
            <w:hideMark/>
          </w:tcPr>
          <w:p w14:paraId="00DE4D10" w14:textId="0192A707"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1.4</w:t>
            </w:r>
          </w:p>
        </w:tc>
      </w:tr>
      <w:tr w:rsidR="00A80060" w:rsidRPr="00901616" w14:paraId="1313892C" w14:textId="77777777" w:rsidTr="00BF5C8C">
        <w:trPr>
          <w:trHeight w:val="20"/>
        </w:trPr>
        <w:tc>
          <w:tcPr>
            <w:tcW w:w="0" w:type="auto"/>
            <w:shd w:val="clear" w:color="auto" w:fill="auto"/>
            <w:noWrap/>
            <w:vAlign w:val="bottom"/>
            <w:hideMark/>
          </w:tcPr>
          <w:p w14:paraId="6B886B41" w14:textId="43D6753A" w:rsidR="00A80060" w:rsidRPr="00901616" w:rsidRDefault="00FB6638" w:rsidP="00BF5C8C">
            <w:pPr>
              <w:tabs>
                <w:tab w:val="clear" w:pos="260"/>
              </w:tabs>
              <w:spacing w:after="0" w:line="240" w:lineRule="auto"/>
              <w:jc w:val="left"/>
              <w:rPr>
                <w:rFonts w:eastAsia="Times New Roman"/>
                <w:color w:val="000000"/>
                <w:lang w:val="es-US" w:eastAsia="es-MX"/>
              </w:rPr>
            </w:pPr>
            <w:r>
              <w:rPr>
                <w:rFonts w:ascii="Aptos Narrow" w:hAnsi="Aptos Narrow"/>
                <w:color w:val="000000"/>
              </w:rPr>
              <w:t>Northeast</w:t>
            </w:r>
          </w:p>
        </w:tc>
        <w:tc>
          <w:tcPr>
            <w:tcW w:w="0" w:type="auto"/>
            <w:shd w:val="clear" w:color="auto" w:fill="auto"/>
            <w:noWrap/>
            <w:vAlign w:val="bottom"/>
            <w:hideMark/>
          </w:tcPr>
          <w:p w14:paraId="6B879552" w14:textId="4B52A78E"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1.2</w:t>
            </w:r>
          </w:p>
        </w:tc>
        <w:tc>
          <w:tcPr>
            <w:tcW w:w="0" w:type="auto"/>
            <w:shd w:val="clear" w:color="auto" w:fill="auto"/>
            <w:noWrap/>
            <w:vAlign w:val="bottom"/>
            <w:hideMark/>
          </w:tcPr>
          <w:p w14:paraId="4B785C9B" w14:textId="4AE6C1E8"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1.3</w:t>
            </w:r>
          </w:p>
        </w:tc>
        <w:tc>
          <w:tcPr>
            <w:tcW w:w="0" w:type="auto"/>
            <w:shd w:val="clear" w:color="auto" w:fill="auto"/>
            <w:noWrap/>
            <w:vAlign w:val="bottom"/>
            <w:hideMark/>
          </w:tcPr>
          <w:p w14:paraId="63857CD9" w14:textId="351B015A"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1.6</w:t>
            </w:r>
          </w:p>
        </w:tc>
      </w:tr>
      <w:tr w:rsidR="00A80060" w:rsidRPr="00901616" w14:paraId="1028652A" w14:textId="77777777" w:rsidTr="00BF5C8C">
        <w:trPr>
          <w:trHeight w:val="20"/>
        </w:trPr>
        <w:tc>
          <w:tcPr>
            <w:tcW w:w="0" w:type="auto"/>
            <w:shd w:val="clear" w:color="auto" w:fill="auto"/>
            <w:noWrap/>
            <w:vAlign w:val="bottom"/>
            <w:hideMark/>
          </w:tcPr>
          <w:p w14:paraId="6F820585" w14:textId="3C08B038" w:rsidR="00A80060" w:rsidRPr="00901616" w:rsidRDefault="00A80060" w:rsidP="00BF5C8C">
            <w:pPr>
              <w:tabs>
                <w:tab w:val="clear" w:pos="260"/>
              </w:tabs>
              <w:spacing w:after="0" w:line="240" w:lineRule="auto"/>
              <w:jc w:val="left"/>
              <w:rPr>
                <w:rFonts w:eastAsia="Times New Roman"/>
                <w:color w:val="000000"/>
                <w:lang w:val="es-US" w:eastAsia="es-MX"/>
              </w:rPr>
            </w:pPr>
            <w:r>
              <w:rPr>
                <w:rFonts w:ascii="Aptos Narrow" w:hAnsi="Aptos Narrow"/>
                <w:color w:val="000000"/>
              </w:rPr>
              <w:t>Northern Great Plains</w:t>
            </w:r>
          </w:p>
        </w:tc>
        <w:tc>
          <w:tcPr>
            <w:tcW w:w="0" w:type="auto"/>
            <w:shd w:val="clear" w:color="auto" w:fill="auto"/>
            <w:noWrap/>
            <w:vAlign w:val="bottom"/>
            <w:hideMark/>
          </w:tcPr>
          <w:p w14:paraId="6A1AA36B" w14:textId="764B8C89"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0.9</w:t>
            </w:r>
          </w:p>
        </w:tc>
        <w:tc>
          <w:tcPr>
            <w:tcW w:w="0" w:type="auto"/>
            <w:shd w:val="clear" w:color="auto" w:fill="auto"/>
            <w:noWrap/>
            <w:vAlign w:val="bottom"/>
            <w:hideMark/>
          </w:tcPr>
          <w:p w14:paraId="1AFC337D" w14:textId="0B1FE454"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1.1</w:t>
            </w:r>
          </w:p>
        </w:tc>
        <w:tc>
          <w:tcPr>
            <w:tcW w:w="0" w:type="auto"/>
            <w:shd w:val="clear" w:color="auto" w:fill="auto"/>
            <w:noWrap/>
            <w:vAlign w:val="bottom"/>
            <w:hideMark/>
          </w:tcPr>
          <w:p w14:paraId="5850004D" w14:textId="19EF2FEB"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1.2</w:t>
            </w:r>
          </w:p>
        </w:tc>
      </w:tr>
      <w:tr w:rsidR="00A80060" w:rsidRPr="00901616" w14:paraId="28E43AC7" w14:textId="77777777" w:rsidTr="00BF5C8C">
        <w:trPr>
          <w:trHeight w:val="20"/>
        </w:trPr>
        <w:tc>
          <w:tcPr>
            <w:tcW w:w="0" w:type="auto"/>
            <w:shd w:val="clear" w:color="auto" w:fill="auto"/>
            <w:noWrap/>
            <w:vAlign w:val="bottom"/>
            <w:hideMark/>
          </w:tcPr>
          <w:p w14:paraId="78BDB1E7" w14:textId="1EE6BBF1" w:rsidR="00A80060" w:rsidRPr="00901616" w:rsidRDefault="00A80060" w:rsidP="00BF5C8C">
            <w:pPr>
              <w:tabs>
                <w:tab w:val="clear" w:pos="260"/>
              </w:tabs>
              <w:spacing w:after="0" w:line="240" w:lineRule="auto"/>
              <w:jc w:val="left"/>
              <w:rPr>
                <w:rFonts w:eastAsia="Times New Roman"/>
                <w:color w:val="000000"/>
                <w:lang w:val="es-US" w:eastAsia="es-MX"/>
              </w:rPr>
            </w:pPr>
            <w:r>
              <w:rPr>
                <w:rFonts w:ascii="Aptos Narrow" w:hAnsi="Aptos Narrow"/>
                <w:color w:val="000000"/>
              </w:rPr>
              <w:t>Northwest</w:t>
            </w:r>
          </w:p>
        </w:tc>
        <w:tc>
          <w:tcPr>
            <w:tcW w:w="0" w:type="auto"/>
            <w:shd w:val="clear" w:color="auto" w:fill="auto"/>
            <w:noWrap/>
            <w:vAlign w:val="bottom"/>
            <w:hideMark/>
          </w:tcPr>
          <w:p w14:paraId="205EED38" w14:textId="5D99E099"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1.1</w:t>
            </w:r>
          </w:p>
        </w:tc>
        <w:tc>
          <w:tcPr>
            <w:tcW w:w="0" w:type="auto"/>
            <w:shd w:val="clear" w:color="auto" w:fill="auto"/>
            <w:noWrap/>
            <w:vAlign w:val="bottom"/>
            <w:hideMark/>
          </w:tcPr>
          <w:p w14:paraId="74BF5262" w14:textId="0113322D"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1.3</w:t>
            </w:r>
          </w:p>
        </w:tc>
        <w:tc>
          <w:tcPr>
            <w:tcW w:w="0" w:type="auto"/>
            <w:shd w:val="clear" w:color="auto" w:fill="auto"/>
            <w:noWrap/>
            <w:vAlign w:val="bottom"/>
            <w:hideMark/>
          </w:tcPr>
          <w:p w14:paraId="6AC88005" w14:textId="23C598EF"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1.5</w:t>
            </w:r>
          </w:p>
        </w:tc>
      </w:tr>
      <w:tr w:rsidR="00A80060" w:rsidRPr="00901616" w14:paraId="5ABF718D" w14:textId="77777777" w:rsidTr="00BF5C8C">
        <w:trPr>
          <w:trHeight w:val="20"/>
        </w:trPr>
        <w:tc>
          <w:tcPr>
            <w:tcW w:w="0" w:type="auto"/>
            <w:shd w:val="clear" w:color="auto" w:fill="auto"/>
            <w:noWrap/>
            <w:vAlign w:val="bottom"/>
            <w:hideMark/>
          </w:tcPr>
          <w:p w14:paraId="56AF9A9D" w14:textId="11DFE2CA" w:rsidR="00A80060" w:rsidRPr="00901616" w:rsidRDefault="00A80060" w:rsidP="00BF5C8C">
            <w:pPr>
              <w:tabs>
                <w:tab w:val="clear" w:pos="260"/>
              </w:tabs>
              <w:spacing w:after="0" w:line="240" w:lineRule="auto"/>
              <w:jc w:val="left"/>
              <w:rPr>
                <w:rFonts w:eastAsia="Times New Roman"/>
                <w:color w:val="000000"/>
                <w:lang w:val="es-US" w:eastAsia="es-MX"/>
              </w:rPr>
            </w:pPr>
            <w:r>
              <w:rPr>
                <w:rFonts w:ascii="Aptos Narrow" w:hAnsi="Aptos Narrow"/>
                <w:color w:val="000000"/>
              </w:rPr>
              <w:t>Southeast</w:t>
            </w:r>
          </w:p>
        </w:tc>
        <w:tc>
          <w:tcPr>
            <w:tcW w:w="0" w:type="auto"/>
            <w:shd w:val="clear" w:color="auto" w:fill="auto"/>
            <w:noWrap/>
            <w:vAlign w:val="bottom"/>
            <w:hideMark/>
          </w:tcPr>
          <w:p w14:paraId="29CB6D53" w14:textId="4D643AC3"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0.8</w:t>
            </w:r>
          </w:p>
        </w:tc>
        <w:tc>
          <w:tcPr>
            <w:tcW w:w="0" w:type="auto"/>
            <w:shd w:val="clear" w:color="auto" w:fill="auto"/>
            <w:noWrap/>
            <w:vAlign w:val="bottom"/>
            <w:hideMark/>
          </w:tcPr>
          <w:p w14:paraId="7C2DDF64" w14:textId="42B5A0D4"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0.9</w:t>
            </w:r>
          </w:p>
        </w:tc>
        <w:tc>
          <w:tcPr>
            <w:tcW w:w="0" w:type="auto"/>
            <w:shd w:val="clear" w:color="auto" w:fill="auto"/>
            <w:noWrap/>
            <w:vAlign w:val="bottom"/>
            <w:hideMark/>
          </w:tcPr>
          <w:p w14:paraId="06E00228" w14:textId="719D28B6"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1.1</w:t>
            </w:r>
          </w:p>
        </w:tc>
      </w:tr>
      <w:tr w:rsidR="00A80060" w:rsidRPr="00901616" w14:paraId="3B162BD3" w14:textId="77777777" w:rsidTr="00BF5C8C">
        <w:trPr>
          <w:trHeight w:val="20"/>
        </w:trPr>
        <w:tc>
          <w:tcPr>
            <w:tcW w:w="0" w:type="auto"/>
            <w:shd w:val="clear" w:color="auto" w:fill="auto"/>
            <w:noWrap/>
            <w:vAlign w:val="bottom"/>
            <w:hideMark/>
          </w:tcPr>
          <w:p w14:paraId="7D7410D3" w14:textId="03814EC4" w:rsidR="00A80060" w:rsidRPr="00901616" w:rsidRDefault="00A80060" w:rsidP="00BF5C8C">
            <w:pPr>
              <w:tabs>
                <w:tab w:val="clear" w:pos="260"/>
              </w:tabs>
              <w:spacing w:after="0" w:line="240" w:lineRule="auto"/>
              <w:jc w:val="left"/>
              <w:rPr>
                <w:rFonts w:eastAsia="Times New Roman"/>
                <w:color w:val="000000"/>
                <w:lang w:val="es-US" w:eastAsia="es-MX"/>
              </w:rPr>
            </w:pPr>
            <w:r>
              <w:rPr>
                <w:rFonts w:ascii="Aptos Narrow" w:hAnsi="Aptos Narrow"/>
                <w:color w:val="000000"/>
              </w:rPr>
              <w:t>Southern Great Plains</w:t>
            </w:r>
          </w:p>
        </w:tc>
        <w:tc>
          <w:tcPr>
            <w:tcW w:w="0" w:type="auto"/>
            <w:shd w:val="clear" w:color="auto" w:fill="auto"/>
            <w:noWrap/>
            <w:vAlign w:val="bottom"/>
            <w:hideMark/>
          </w:tcPr>
          <w:p w14:paraId="68B6705A" w14:textId="23C9EF45"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1.0</w:t>
            </w:r>
          </w:p>
        </w:tc>
        <w:tc>
          <w:tcPr>
            <w:tcW w:w="0" w:type="auto"/>
            <w:shd w:val="clear" w:color="auto" w:fill="auto"/>
            <w:noWrap/>
            <w:vAlign w:val="bottom"/>
            <w:hideMark/>
          </w:tcPr>
          <w:p w14:paraId="3A0116B8" w14:textId="6037F56E"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1.1</w:t>
            </w:r>
          </w:p>
        </w:tc>
        <w:tc>
          <w:tcPr>
            <w:tcW w:w="0" w:type="auto"/>
            <w:shd w:val="clear" w:color="auto" w:fill="auto"/>
            <w:noWrap/>
            <w:vAlign w:val="bottom"/>
            <w:hideMark/>
          </w:tcPr>
          <w:p w14:paraId="56D16B82" w14:textId="79C57FAA"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1.2</w:t>
            </w:r>
          </w:p>
        </w:tc>
      </w:tr>
      <w:tr w:rsidR="00A80060" w:rsidRPr="00901616" w14:paraId="77C3E508" w14:textId="77777777" w:rsidTr="00BF5C8C">
        <w:trPr>
          <w:trHeight w:val="20"/>
        </w:trPr>
        <w:tc>
          <w:tcPr>
            <w:tcW w:w="0" w:type="auto"/>
            <w:shd w:val="clear" w:color="auto" w:fill="auto"/>
            <w:noWrap/>
            <w:vAlign w:val="bottom"/>
            <w:hideMark/>
          </w:tcPr>
          <w:p w14:paraId="5C9C1012" w14:textId="564F2512" w:rsidR="00A80060" w:rsidRPr="00901616" w:rsidRDefault="00A80060" w:rsidP="00BF5C8C">
            <w:pPr>
              <w:tabs>
                <w:tab w:val="clear" w:pos="260"/>
              </w:tabs>
              <w:spacing w:after="0" w:line="240" w:lineRule="auto"/>
              <w:jc w:val="left"/>
              <w:rPr>
                <w:rFonts w:eastAsia="Times New Roman"/>
                <w:color w:val="000000"/>
                <w:lang w:val="es-US" w:eastAsia="es-MX"/>
              </w:rPr>
            </w:pPr>
            <w:r>
              <w:rPr>
                <w:rFonts w:ascii="Aptos Narrow" w:hAnsi="Aptos Narrow"/>
                <w:color w:val="000000"/>
              </w:rPr>
              <w:t>Southwest</w:t>
            </w:r>
          </w:p>
        </w:tc>
        <w:tc>
          <w:tcPr>
            <w:tcW w:w="0" w:type="auto"/>
            <w:shd w:val="clear" w:color="auto" w:fill="auto"/>
            <w:noWrap/>
            <w:vAlign w:val="bottom"/>
            <w:hideMark/>
          </w:tcPr>
          <w:p w14:paraId="6A217B3F" w14:textId="0B6BAA82"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0.8</w:t>
            </w:r>
          </w:p>
        </w:tc>
        <w:tc>
          <w:tcPr>
            <w:tcW w:w="0" w:type="auto"/>
            <w:shd w:val="clear" w:color="auto" w:fill="auto"/>
            <w:noWrap/>
            <w:vAlign w:val="bottom"/>
            <w:hideMark/>
          </w:tcPr>
          <w:p w14:paraId="218211A1" w14:textId="0965FC28"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0.9</w:t>
            </w:r>
          </w:p>
        </w:tc>
        <w:tc>
          <w:tcPr>
            <w:tcW w:w="0" w:type="auto"/>
            <w:shd w:val="clear" w:color="auto" w:fill="auto"/>
            <w:noWrap/>
            <w:vAlign w:val="bottom"/>
            <w:hideMark/>
          </w:tcPr>
          <w:p w14:paraId="15EB1CFD" w14:textId="69316F93" w:rsidR="00A80060" w:rsidRPr="00901616" w:rsidRDefault="00A80060" w:rsidP="00BF5C8C">
            <w:pPr>
              <w:tabs>
                <w:tab w:val="clear" w:pos="260"/>
              </w:tabs>
              <w:spacing w:after="0" w:line="240" w:lineRule="auto"/>
              <w:jc w:val="right"/>
              <w:rPr>
                <w:rFonts w:eastAsia="Times New Roman"/>
                <w:color w:val="000000"/>
                <w:lang w:val="es-US" w:eastAsia="es-MX"/>
              </w:rPr>
            </w:pPr>
            <w:r>
              <w:rPr>
                <w:rFonts w:ascii="Aptos Narrow" w:hAnsi="Aptos Narrow"/>
                <w:color w:val="000000"/>
              </w:rPr>
              <w:t>1.0</w:t>
            </w:r>
          </w:p>
        </w:tc>
      </w:tr>
      <w:tr w:rsidR="00A80060" w:rsidRPr="00901616" w14:paraId="325F9E09" w14:textId="77777777" w:rsidTr="00BF5C8C">
        <w:trPr>
          <w:trHeight w:val="20"/>
        </w:trPr>
        <w:tc>
          <w:tcPr>
            <w:tcW w:w="0" w:type="auto"/>
            <w:tcBorders>
              <w:bottom w:val="single" w:sz="4" w:space="0" w:color="auto"/>
            </w:tcBorders>
            <w:shd w:val="clear" w:color="auto" w:fill="auto"/>
            <w:noWrap/>
            <w:vAlign w:val="bottom"/>
          </w:tcPr>
          <w:p w14:paraId="089647E6" w14:textId="28924ED8" w:rsidR="00A80060" w:rsidRDefault="00A80060" w:rsidP="00BF5C8C">
            <w:pPr>
              <w:tabs>
                <w:tab w:val="clear" w:pos="260"/>
              </w:tabs>
              <w:spacing w:after="0" w:line="240" w:lineRule="auto"/>
              <w:jc w:val="left"/>
              <w:rPr>
                <w:rFonts w:ascii="Aptos Narrow" w:hAnsi="Aptos Narrow"/>
                <w:color w:val="000000"/>
              </w:rPr>
            </w:pPr>
            <w:r>
              <w:rPr>
                <w:rFonts w:ascii="Aptos Narrow" w:hAnsi="Aptos Narrow"/>
                <w:color w:val="000000"/>
              </w:rPr>
              <w:t>All</w:t>
            </w:r>
          </w:p>
        </w:tc>
        <w:tc>
          <w:tcPr>
            <w:tcW w:w="0" w:type="auto"/>
            <w:tcBorders>
              <w:bottom w:val="single" w:sz="4" w:space="0" w:color="auto"/>
            </w:tcBorders>
            <w:shd w:val="clear" w:color="auto" w:fill="auto"/>
            <w:noWrap/>
            <w:vAlign w:val="bottom"/>
          </w:tcPr>
          <w:p w14:paraId="0850FD87" w14:textId="0FE7724A" w:rsidR="00A80060" w:rsidRDefault="00A80060" w:rsidP="00BF5C8C">
            <w:pPr>
              <w:tabs>
                <w:tab w:val="clear" w:pos="260"/>
              </w:tabs>
              <w:spacing w:after="0" w:line="240" w:lineRule="auto"/>
              <w:jc w:val="right"/>
              <w:rPr>
                <w:rFonts w:ascii="Aptos Narrow" w:hAnsi="Aptos Narrow"/>
                <w:color w:val="000000"/>
              </w:rPr>
            </w:pPr>
            <w:r>
              <w:rPr>
                <w:rFonts w:ascii="Aptos Narrow" w:hAnsi="Aptos Narrow"/>
                <w:color w:val="000000"/>
              </w:rPr>
              <w:t>1.0</w:t>
            </w:r>
          </w:p>
        </w:tc>
        <w:tc>
          <w:tcPr>
            <w:tcW w:w="0" w:type="auto"/>
            <w:tcBorders>
              <w:bottom w:val="single" w:sz="4" w:space="0" w:color="auto"/>
            </w:tcBorders>
            <w:shd w:val="clear" w:color="auto" w:fill="auto"/>
            <w:noWrap/>
            <w:vAlign w:val="bottom"/>
          </w:tcPr>
          <w:p w14:paraId="261AD5A6" w14:textId="3D182EBD" w:rsidR="00A80060" w:rsidRDefault="00A80060" w:rsidP="00BF5C8C">
            <w:pPr>
              <w:tabs>
                <w:tab w:val="clear" w:pos="260"/>
              </w:tabs>
              <w:spacing w:after="0" w:line="240" w:lineRule="auto"/>
              <w:jc w:val="right"/>
              <w:rPr>
                <w:rFonts w:ascii="Aptos Narrow" w:hAnsi="Aptos Narrow"/>
                <w:color w:val="000000"/>
              </w:rPr>
            </w:pPr>
            <w:r>
              <w:rPr>
                <w:rFonts w:ascii="Aptos Narrow" w:hAnsi="Aptos Narrow"/>
                <w:color w:val="000000"/>
              </w:rPr>
              <w:t>1.1</w:t>
            </w:r>
          </w:p>
        </w:tc>
        <w:tc>
          <w:tcPr>
            <w:tcW w:w="0" w:type="auto"/>
            <w:tcBorders>
              <w:bottom w:val="single" w:sz="4" w:space="0" w:color="auto"/>
            </w:tcBorders>
            <w:shd w:val="clear" w:color="auto" w:fill="auto"/>
            <w:noWrap/>
            <w:vAlign w:val="bottom"/>
          </w:tcPr>
          <w:p w14:paraId="6E82FE38" w14:textId="63C5E8CB" w:rsidR="00A80060" w:rsidRDefault="00A80060" w:rsidP="00BF5C8C">
            <w:pPr>
              <w:tabs>
                <w:tab w:val="clear" w:pos="260"/>
              </w:tabs>
              <w:spacing w:after="0" w:line="240" w:lineRule="auto"/>
              <w:jc w:val="right"/>
              <w:rPr>
                <w:rFonts w:ascii="Aptos Narrow" w:hAnsi="Aptos Narrow"/>
                <w:color w:val="000000"/>
              </w:rPr>
            </w:pPr>
            <w:r>
              <w:rPr>
                <w:rFonts w:ascii="Aptos Narrow" w:hAnsi="Aptos Narrow"/>
                <w:color w:val="000000"/>
              </w:rPr>
              <w:t>1.3</w:t>
            </w:r>
          </w:p>
        </w:tc>
      </w:tr>
    </w:tbl>
    <w:p w14:paraId="739465D6" w14:textId="77777777" w:rsidR="0026231E" w:rsidRPr="00126AC0" w:rsidRDefault="0026231E" w:rsidP="0026231E">
      <w:pPr>
        <w:tabs>
          <w:tab w:val="clear" w:pos="260"/>
        </w:tabs>
        <w:spacing w:after="160" w:line="259" w:lineRule="auto"/>
        <w:jc w:val="left"/>
      </w:pPr>
      <w:r>
        <w:rPr>
          <w:b/>
          <w:bCs/>
          <w:u w:val="single"/>
        </w:rPr>
        <w:lastRenderedPageBreak/>
        <w:t>Table S3.</w:t>
      </w:r>
      <w:r>
        <w:t xml:space="preserve"> </w:t>
      </w:r>
      <w:r w:rsidRPr="00D077EB">
        <w:rPr>
          <w:rFonts w:ascii="Aptos Narrow" w:eastAsia="Times New Roman" w:hAnsi="Aptos Narrow" w:cs="Times New Roman"/>
          <w:color w:val="000000"/>
          <w:sz w:val="24"/>
          <w:szCs w:val="24"/>
        </w:rPr>
        <w:t>Quantiles of t</w:t>
      </w:r>
      <w:r>
        <w:rPr>
          <w:rFonts w:ascii="Aptos Narrow" w:eastAsia="Times New Roman" w:hAnsi="Aptos Narrow" w:cs="Times New Roman"/>
          <w:color w:val="000000"/>
          <w:sz w:val="24"/>
          <w:szCs w:val="24"/>
        </w:rPr>
        <w:t xml:space="preserve">he average </w:t>
      </w:r>
      <w:r w:rsidRPr="00D077EB">
        <w:rPr>
          <w:rFonts w:ascii="Aptos Narrow" w:eastAsia="Times New Roman" w:hAnsi="Aptos Narrow" w:cs="Times New Roman"/>
          <w:color w:val="000000"/>
          <w:sz w:val="24"/>
          <w:szCs w:val="24"/>
        </w:rPr>
        <w:t>change in high utilization days</w:t>
      </w:r>
      <w:r>
        <w:rPr>
          <w:rFonts w:ascii="Aptos Narrow" w:eastAsia="Times New Roman" w:hAnsi="Aptos Narrow" w:cs="Times New Roman"/>
          <w:color w:val="000000"/>
          <w:sz w:val="24"/>
          <w:szCs w:val="24"/>
        </w:rPr>
        <w:t>, where a high utilization day is defined by having a higher ED visit rate than the 95</w:t>
      </w:r>
      <w:r w:rsidRPr="00C52C1E">
        <w:rPr>
          <w:rFonts w:ascii="Aptos Narrow" w:eastAsia="Times New Roman" w:hAnsi="Aptos Narrow" w:cs="Times New Roman"/>
          <w:color w:val="000000"/>
          <w:sz w:val="24"/>
          <w:szCs w:val="24"/>
          <w:vertAlign w:val="superscript"/>
        </w:rPr>
        <w:t>th</w:t>
      </w:r>
      <w:r>
        <w:rPr>
          <w:rFonts w:ascii="Aptos Narrow" w:eastAsia="Times New Roman" w:hAnsi="Aptos Narrow" w:cs="Times New Roman"/>
          <w:color w:val="000000"/>
          <w:sz w:val="24"/>
          <w:szCs w:val="24"/>
        </w:rPr>
        <w:t xml:space="preserve"> percentile of ED visit rates in a year. This table shows the change in the number of high utilization days under mid-century temperatures from during present day conditions. The present-day expected value of the 95</w:t>
      </w:r>
      <w:r w:rsidRPr="00C52C1E">
        <w:rPr>
          <w:rFonts w:ascii="Aptos Narrow" w:eastAsia="Times New Roman" w:hAnsi="Aptos Narrow" w:cs="Times New Roman"/>
          <w:color w:val="000000"/>
          <w:sz w:val="24"/>
          <w:szCs w:val="24"/>
          <w:vertAlign w:val="superscript"/>
        </w:rPr>
        <w:t>th</w:t>
      </w:r>
      <w:r>
        <w:rPr>
          <w:rFonts w:ascii="Aptos Narrow" w:eastAsia="Times New Roman" w:hAnsi="Aptos Narrow" w:cs="Times New Roman"/>
          <w:color w:val="000000"/>
          <w:sz w:val="24"/>
          <w:szCs w:val="24"/>
        </w:rPr>
        <w:t xml:space="preserve"> percentile is 18 days per year.</w:t>
      </w:r>
    </w:p>
    <w:tbl>
      <w:tblPr>
        <w:tblW w:w="0" w:type="auto"/>
        <w:tblInd w:w="540" w:type="dxa"/>
        <w:tblLook w:val="04A0" w:firstRow="1" w:lastRow="0" w:firstColumn="1" w:lastColumn="0" w:noHBand="0" w:noVBand="1"/>
      </w:tblPr>
      <w:tblGrid>
        <w:gridCol w:w="1950"/>
        <w:gridCol w:w="634"/>
        <w:gridCol w:w="1105"/>
        <w:gridCol w:w="589"/>
        <w:gridCol w:w="654"/>
        <w:gridCol w:w="654"/>
        <w:gridCol w:w="1142"/>
      </w:tblGrid>
      <w:tr w:rsidR="0026231E" w:rsidRPr="005C116D" w14:paraId="4DC073FF" w14:textId="77777777" w:rsidTr="005C116D">
        <w:trPr>
          <w:trHeight w:val="320"/>
        </w:trPr>
        <w:tc>
          <w:tcPr>
            <w:tcW w:w="0" w:type="auto"/>
            <w:tcBorders>
              <w:top w:val="nil"/>
              <w:left w:val="nil"/>
              <w:right w:val="nil"/>
            </w:tcBorders>
            <w:shd w:val="clear" w:color="auto" w:fill="auto"/>
            <w:noWrap/>
            <w:vAlign w:val="bottom"/>
            <w:hideMark/>
          </w:tcPr>
          <w:p w14:paraId="1F13BCF4" w14:textId="77777777" w:rsidR="0026231E" w:rsidRPr="005C116D" w:rsidRDefault="0026231E" w:rsidP="00FF10B6">
            <w:pPr>
              <w:tabs>
                <w:tab w:val="clear" w:pos="260"/>
              </w:tabs>
              <w:spacing w:after="0" w:line="240" w:lineRule="auto"/>
              <w:jc w:val="left"/>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vAlign w:val="bottom"/>
            <w:hideMark/>
          </w:tcPr>
          <w:p w14:paraId="53449A02" w14:textId="77777777" w:rsidR="0026231E" w:rsidRPr="005C116D" w:rsidRDefault="0026231E" w:rsidP="00FF10B6">
            <w:pPr>
              <w:tabs>
                <w:tab w:val="clear" w:pos="260"/>
              </w:tabs>
              <w:spacing w:after="0" w:line="240" w:lineRule="auto"/>
              <w:jc w:val="left"/>
              <w:rPr>
                <w:rFonts w:ascii="Times New Roman" w:eastAsia="Times New Roman" w:hAnsi="Times New Roman" w:cs="Times New Roman"/>
                <w:sz w:val="20"/>
                <w:szCs w:val="20"/>
              </w:rPr>
            </w:pPr>
          </w:p>
        </w:tc>
        <w:tc>
          <w:tcPr>
            <w:tcW w:w="0" w:type="auto"/>
            <w:gridSpan w:val="5"/>
            <w:tcBorders>
              <w:top w:val="nil"/>
              <w:left w:val="nil"/>
              <w:right w:val="nil"/>
            </w:tcBorders>
            <w:shd w:val="clear" w:color="auto" w:fill="auto"/>
            <w:noWrap/>
            <w:vAlign w:val="bottom"/>
            <w:hideMark/>
          </w:tcPr>
          <w:p w14:paraId="09D50F81" w14:textId="77777777" w:rsidR="0026231E" w:rsidRPr="005C116D" w:rsidRDefault="0026231E" w:rsidP="00FF10B6">
            <w:pPr>
              <w:tabs>
                <w:tab w:val="clear" w:pos="260"/>
              </w:tabs>
              <w:spacing w:after="0" w:line="240" w:lineRule="auto"/>
              <w:jc w:val="left"/>
              <w:rPr>
                <w:rFonts w:ascii="Times New Roman" w:eastAsia="Times New Roman" w:hAnsi="Times New Roman" w:cs="Times New Roman"/>
                <w:sz w:val="20"/>
                <w:szCs w:val="20"/>
              </w:rPr>
            </w:pPr>
            <w:r w:rsidRPr="005C116D">
              <w:rPr>
                <w:rFonts w:ascii="Aptos Narrow" w:eastAsia="Times New Roman" w:hAnsi="Aptos Narrow" w:cs="Times New Roman"/>
                <w:i/>
                <w:iCs/>
                <w:color w:val="000000"/>
                <w:sz w:val="20"/>
                <w:szCs w:val="20"/>
              </w:rPr>
              <w:t>Quantiles of the change in high utilization days (N)</w:t>
            </w:r>
          </w:p>
        </w:tc>
      </w:tr>
      <w:tr w:rsidR="0026231E" w:rsidRPr="005C116D" w14:paraId="21DFE03B" w14:textId="77777777" w:rsidTr="005C116D">
        <w:trPr>
          <w:trHeight w:val="320"/>
        </w:trPr>
        <w:tc>
          <w:tcPr>
            <w:tcW w:w="0" w:type="auto"/>
            <w:tcBorders>
              <w:top w:val="nil"/>
              <w:left w:val="nil"/>
              <w:bottom w:val="single" w:sz="4" w:space="0" w:color="auto"/>
              <w:right w:val="nil"/>
            </w:tcBorders>
            <w:shd w:val="clear" w:color="auto" w:fill="auto"/>
            <w:noWrap/>
            <w:vAlign w:val="bottom"/>
            <w:hideMark/>
          </w:tcPr>
          <w:p w14:paraId="6B2ED6F3"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REGION</w:t>
            </w:r>
          </w:p>
        </w:tc>
        <w:tc>
          <w:tcPr>
            <w:tcW w:w="0" w:type="auto"/>
            <w:tcBorders>
              <w:top w:val="nil"/>
              <w:left w:val="nil"/>
              <w:bottom w:val="single" w:sz="4" w:space="0" w:color="auto"/>
              <w:right w:val="nil"/>
            </w:tcBorders>
            <w:shd w:val="clear" w:color="auto" w:fill="auto"/>
            <w:noWrap/>
            <w:vAlign w:val="bottom"/>
            <w:hideMark/>
          </w:tcPr>
          <w:p w14:paraId="7EF915E5"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SSP</w:t>
            </w:r>
          </w:p>
        </w:tc>
        <w:tc>
          <w:tcPr>
            <w:tcW w:w="0" w:type="auto"/>
            <w:tcBorders>
              <w:top w:val="nil"/>
              <w:left w:val="nil"/>
              <w:bottom w:val="single" w:sz="4" w:space="0" w:color="auto"/>
              <w:right w:val="nil"/>
            </w:tcBorders>
            <w:shd w:val="clear" w:color="auto" w:fill="auto"/>
            <w:noWrap/>
            <w:vAlign w:val="bottom"/>
            <w:hideMark/>
          </w:tcPr>
          <w:p w14:paraId="34C9E881"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Minimum</w:t>
            </w:r>
          </w:p>
        </w:tc>
        <w:tc>
          <w:tcPr>
            <w:tcW w:w="0" w:type="auto"/>
            <w:tcBorders>
              <w:top w:val="nil"/>
              <w:left w:val="nil"/>
              <w:bottom w:val="single" w:sz="4" w:space="0" w:color="auto"/>
              <w:right w:val="nil"/>
            </w:tcBorders>
            <w:shd w:val="clear" w:color="auto" w:fill="auto"/>
            <w:noWrap/>
            <w:vAlign w:val="bottom"/>
            <w:hideMark/>
          </w:tcPr>
          <w:p w14:paraId="40E96F82"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25</w:t>
            </w:r>
            <w:r w:rsidRPr="005C116D">
              <w:rPr>
                <w:rFonts w:ascii="Aptos Narrow" w:eastAsia="Times New Roman" w:hAnsi="Aptos Narrow" w:cs="Times New Roman"/>
                <w:color w:val="000000"/>
                <w:sz w:val="20"/>
                <w:szCs w:val="20"/>
                <w:vertAlign w:val="superscript"/>
              </w:rPr>
              <w:t>th</w:t>
            </w:r>
            <w:r w:rsidRPr="005C116D">
              <w:rPr>
                <w:rFonts w:ascii="Aptos Narrow" w:eastAsia="Times New Roman" w:hAnsi="Aptos Narrow" w:cs="Times New Roman"/>
                <w:color w:val="000000"/>
                <w:sz w:val="20"/>
                <w:szCs w:val="20"/>
              </w:rPr>
              <w:t xml:space="preserve"> </w:t>
            </w:r>
          </w:p>
        </w:tc>
        <w:tc>
          <w:tcPr>
            <w:tcW w:w="0" w:type="auto"/>
            <w:tcBorders>
              <w:top w:val="nil"/>
              <w:left w:val="nil"/>
              <w:bottom w:val="single" w:sz="4" w:space="0" w:color="auto"/>
              <w:right w:val="nil"/>
            </w:tcBorders>
            <w:shd w:val="clear" w:color="auto" w:fill="auto"/>
            <w:noWrap/>
            <w:vAlign w:val="bottom"/>
            <w:hideMark/>
          </w:tcPr>
          <w:p w14:paraId="5667B57A"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50</w:t>
            </w:r>
            <w:r w:rsidRPr="005C116D">
              <w:rPr>
                <w:rFonts w:ascii="Aptos Narrow" w:eastAsia="Times New Roman" w:hAnsi="Aptos Narrow" w:cs="Times New Roman"/>
                <w:color w:val="000000"/>
                <w:sz w:val="20"/>
                <w:szCs w:val="20"/>
                <w:vertAlign w:val="superscript"/>
              </w:rPr>
              <w:t>th</w:t>
            </w:r>
            <w:r w:rsidRPr="005C116D">
              <w:rPr>
                <w:rFonts w:ascii="Aptos Narrow" w:eastAsia="Times New Roman" w:hAnsi="Aptos Narrow" w:cs="Times New Roman"/>
                <w:color w:val="000000"/>
                <w:sz w:val="20"/>
                <w:szCs w:val="20"/>
              </w:rPr>
              <w:t xml:space="preserve"> </w:t>
            </w:r>
          </w:p>
        </w:tc>
        <w:tc>
          <w:tcPr>
            <w:tcW w:w="0" w:type="auto"/>
            <w:tcBorders>
              <w:top w:val="nil"/>
              <w:left w:val="nil"/>
              <w:bottom w:val="single" w:sz="4" w:space="0" w:color="auto"/>
              <w:right w:val="nil"/>
            </w:tcBorders>
            <w:shd w:val="clear" w:color="auto" w:fill="auto"/>
            <w:noWrap/>
            <w:vAlign w:val="bottom"/>
            <w:hideMark/>
          </w:tcPr>
          <w:p w14:paraId="63A9EEB2"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75</w:t>
            </w:r>
            <w:r w:rsidRPr="005C116D">
              <w:rPr>
                <w:rFonts w:ascii="Aptos Narrow" w:eastAsia="Times New Roman" w:hAnsi="Aptos Narrow" w:cs="Times New Roman"/>
                <w:color w:val="000000"/>
                <w:sz w:val="20"/>
                <w:szCs w:val="20"/>
                <w:vertAlign w:val="superscript"/>
              </w:rPr>
              <w:t>th</w:t>
            </w:r>
            <w:r w:rsidRPr="005C116D">
              <w:rPr>
                <w:rFonts w:ascii="Aptos Narrow" w:eastAsia="Times New Roman" w:hAnsi="Aptos Narrow" w:cs="Times New Roman"/>
                <w:color w:val="000000"/>
                <w:sz w:val="20"/>
                <w:szCs w:val="20"/>
              </w:rPr>
              <w:t xml:space="preserve"> </w:t>
            </w:r>
          </w:p>
        </w:tc>
        <w:tc>
          <w:tcPr>
            <w:tcW w:w="0" w:type="auto"/>
            <w:tcBorders>
              <w:top w:val="nil"/>
              <w:left w:val="nil"/>
              <w:bottom w:val="single" w:sz="4" w:space="0" w:color="auto"/>
              <w:right w:val="nil"/>
            </w:tcBorders>
            <w:shd w:val="clear" w:color="auto" w:fill="auto"/>
            <w:noWrap/>
            <w:vAlign w:val="bottom"/>
            <w:hideMark/>
          </w:tcPr>
          <w:p w14:paraId="093719A7"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Maximum</w:t>
            </w:r>
          </w:p>
        </w:tc>
      </w:tr>
      <w:tr w:rsidR="0026231E" w:rsidRPr="005C116D" w14:paraId="442CEC99" w14:textId="77777777" w:rsidTr="005C116D">
        <w:trPr>
          <w:trHeight w:val="320"/>
        </w:trPr>
        <w:tc>
          <w:tcPr>
            <w:tcW w:w="0" w:type="auto"/>
            <w:tcBorders>
              <w:top w:val="single" w:sz="4" w:space="0" w:color="auto"/>
              <w:left w:val="nil"/>
              <w:bottom w:val="nil"/>
              <w:right w:val="nil"/>
            </w:tcBorders>
            <w:shd w:val="clear" w:color="auto" w:fill="auto"/>
            <w:noWrap/>
            <w:vAlign w:val="bottom"/>
            <w:hideMark/>
          </w:tcPr>
          <w:p w14:paraId="24A9F2A1"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Midwest</w:t>
            </w:r>
          </w:p>
        </w:tc>
        <w:tc>
          <w:tcPr>
            <w:tcW w:w="0" w:type="auto"/>
            <w:tcBorders>
              <w:top w:val="single" w:sz="4" w:space="0" w:color="auto"/>
              <w:left w:val="nil"/>
              <w:bottom w:val="nil"/>
              <w:right w:val="nil"/>
            </w:tcBorders>
            <w:shd w:val="clear" w:color="auto" w:fill="auto"/>
            <w:noWrap/>
            <w:vAlign w:val="bottom"/>
            <w:hideMark/>
          </w:tcPr>
          <w:p w14:paraId="26CDD0F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2-4.5</w:t>
            </w:r>
          </w:p>
        </w:tc>
        <w:tc>
          <w:tcPr>
            <w:tcW w:w="0" w:type="auto"/>
            <w:tcBorders>
              <w:top w:val="single" w:sz="4" w:space="0" w:color="auto"/>
              <w:left w:val="nil"/>
              <w:bottom w:val="nil"/>
              <w:right w:val="nil"/>
            </w:tcBorders>
            <w:shd w:val="clear" w:color="auto" w:fill="auto"/>
            <w:noWrap/>
            <w:vAlign w:val="bottom"/>
            <w:hideMark/>
          </w:tcPr>
          <w:p w14:paraId="40D79D8E"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-8.7</w:t>
            </w:r>
          </w:p>
        </w:tc>
        <w:tc>
          <w:tcPr>
            <w:tcW w:w="0" w:type="auto"/>
            <w:tcBorders>
              <w:top w:val="single" w:sz="4" w:space="0" w:color="auto"/>
              <w:left w:val="nil"/>
              <w:bottom w:val="nil"/>
              <w:right w:val="nil"/>
            </w:tcBorders>
            <w:shd w:val="clear" w:color="auto" w:fill="auto"/>
            <w:noWrap/>
            <w:vAlign w:val="bottom"/>
            <w:hideMark/>
          </w:tcPr>
          <w:p w14:paraId="2AC41F0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1.7</w:t>
            </w:r>
          </w:p>
        </w:tc>
        <w:tc>
          <w:tcPr>
            <w:tcW w:w="0" w:type="auto"/>
            <w:tcBorders>
              <w:top w:val="single" w:sz="4" w:space="0" w:color="auto"/>
              <w:left w:val="nil"/>
              <w:bottom w:val="nil"/>
              <w:right w:val="nil"/>
            </w:tcBorders>
            <w:shd w:val="clear" w:color="auto" w:fill="auto"/>
            <w:noWrap/>
            <w:vAlign w:val="bottom"/>
            <w:hideMark/>
          </w:tcPr>
          <w:p w14:paraId="40E77CE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5.8</w:t>
            </w:r>
          </w:p>
        </w:tc>
        <w:tc>
          <w:tcPr>
            <w:tcW w:w="0" w:type="auto"/>
            <w:tcBorders>
              <w:top w:val="single" w:sz="4" w:space="0" w:color="auto"/>
              <w:left w:val="nil"/>
              <w:bottom w:val="nil"/>
              <w:right w:val="nil"/>
            </w:tcBorders>
            <w:shd w:val="clear" w:color="auto" w:fill="auto"/>
            <w:noWrap/>
            <w:vAlign w:val="bottom"/>
            <w:hideMark/>
          </w:tcPr>
          <w:p w14:paraId="0BB07614"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10.5</w:t>
            </w:r>
          </w:p>
        </w:tc>
        <w:tc>
          <w:tcPr>
            <w:tcW w:w="0" w:type="auto"/>
            <w:tcBorders>
              <w:top w:val="single" w:sz="4" w:space="0" w:color="auto"/>
              <w:left w:val="nil"/>
              <w:bottom w:val="nil"/>
              <w:right w:val="nil"/>
            </w:tcBorders>
            <w:shd w:val="clear" w:color="auto" w:fill="auto"/>
            <w:noWrap/>
            <w:vAlign w:val="bottom"/>
            <w:hideMark/>
          </w:tcPr>
          <w:p w14:paraId="0BAE98E9"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33.3</w:t>
            </w:r>
          </w:p>
        </w:tc>
      </w:tr>
      <w:tr w:rsidR="0026231E" w:rsidRPr="005C116D" w14:paraId="64D8318B" w14:textId="77777777" w:rsidTr="005C116D">
        <w:trPr>
          <w:trHeight w:val="320"/>
        </w:trPr>
        <w:tc>
          <w:tcPr>
            <w:tcW w:w="0" w:type="auto"/>
            <w:tcBorders>
              <w:top w:val="nil"/>
              <w:left w:val="nil"/>
              <w:bottom w:val="nil"/>
              <w:right w:val="nil"/>
            </w:tcBorders>
            <w:shd w:val="clear" w:color="auto" w:fill="auto"/>
            <w:noWrap/>
            <w:vAlign w:val="bottom"/>
            <w:hideMark/>
          </w:tcPr>
          <w:p w14:paraId="0A7D8E24"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New England</w:t>
            </w:r>
          </w:p>
        </w:tc>
        <w:tc>
          <w:tcPr>
            <w:tcW w:w="0" w:type="auto"/>
            <w:tcBorders>
              <w:top w:val="nil"/>
              <w:left w:val="nil"/>
              <w:bottom w:val="nil"/>
              <w:right w:val="nil"/>
            </w:tcBorders>
            <w:shd w:val="clear" w:color="auto" w:fill="auto"/>
            <w:noWrap/>
            <w:vAlign w:val="bottom"/>
            <w:hideMark/>
          </w:tcPr>
          <w:p w14:paraId="0DC2A56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2-4.5</w:t>
            </w:r>
          </w:p>
        </w:tc>
        <w:tc>
          <w:tcPr>
            <w:tcW w:w="0" w:type="auto"/>
            <w:tcBorders>
              <w:top w:val="nil"/>
              <w:left w:val="nil"/>
              <w:bottom w:val="nil"/>
              <w:right w:val="nil"/>
            </w:tcBorders>
            <w:shd w:val="clear" w:color="auto" w:fill="auto"/>
            <w:noWrap/>
            <w:vAlign w:val="bottom"/>
            <w:hideMark/>
          </w:tcPr>
          <w:p w14:paraId="7F509F08"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-7.1</w:t>
            </w:r>
          </w:p>
        </w:tc>
        <w:tc>
          <w:tcPr>
            <w:tcW w:w="0" w:type="auto"/>
            <w:tcBorders>
              <w:top w:val="nil"/>
              <w:left w:val="nil"/>
              <w:bottom w:val="nil"/>
              <w:right w:val="nil"/>
            </w:tcBorders>
            <w:shd w:val="clear" w:color="auto" w:fill="auto"/>
            <w:noWrap/>
            <w:vAlign w:val="bottom"/>
            <w:hideMark/>
          </w:tcPr>
          <w:p w14:paraId="52F1F9B4"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2.3</w:t>
            </w:r>
          </w:p>
        </w:tc>
        <w:tc>
          <w:tcPr>
            <w:tcW w:w="0" w:type="auto"/>
            <w:tcBorders>
              <w:top w:val="nil"/>
              <w:left w:val="nil"/>
              <w:bottom w:val="nil"/>
              <w:right w:val="nil"/>
            </w:tcBorders>
            <w:shd w:val="clear" w:color="auto" w:fill="auto"/>
            <w:noWrap/>
            <w:vAlign w:val="bottom"/>
            <w:hideMark/>
          </w:tcPr>
          <w:p w14:paraId="28055BB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7.3</w:t>
            </w:r>
          </w:p>
        </w:tc>
        <w:tc>
          <w:tcPr>
            <w:tcW w:w="0" w:type="auto"/>
            <w:tcBorders>
              <w:top w:val="nil"/>
              <w:left w:val="nil"/>
              <w:bottom w:val="nil"/>
              <w:right w:val="nil"/>
            </w:tcBorders>
            <w:shd w:val="clear" w:color="auto" w:fill="auto"/>
            <w:noWrap/>
            <w:vAlign w:val="bottom"/>
            <w:hideMark/>
          </w:tcPr>
          <w:p w14:paraId="709C2F7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11.3</w:t>
            </w:r>
          </w:p>
        </w:tc>
        <w:tc>
          <w:tcPr>
            <w:tcW w:w="0" w:type="auto"/>
            <w:tcBorders>
              <w:top w:val="nil"/>
              <w:left w:val="nil"/>
              <w:bottom w:val="nil"/>
              <w:right w:val="nil"/>
            </w:tcBorders>
            <w:shd w:val="clear" w:color="auto" w:fill="auto"/>
            <w:noWrap/>
            <w:vAlign w:val="bottom"/>
            <w:hideMark/>
          </w:tcPr>
          <w:p w14:paraId="32D65DC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29.4</w:t>
            </w:r>
          </w:p>
        </w:tc>
      </w:tr>
      <w:tr w:rsidR="0026231E" w:rsidRPr="005C116D" w14:paraId="7FCDC15D" w14:textId="77777777" w:rsidTr="005C116D">
        <w:trPr>
          <w:trHeight w:val="320"/>
        </w:trPr>
        <w:tc>
          <w:tcPr>
            <w:tcW w:w="0" w:type="auto"/>
            <w:tcBorders>
              <w:top w:val="nil"/>
              <w:left w:val="nil"/>
              <w:bottom w:val="nil"/>
              <w:right w:val="nil"/>
            </w:tcBorders>
            <w:shd w:val="clear" w:color="auto" w:fill="auto"/>
            <w:noWrap/>
            <w:vAlign w:val="bottom"/>
            <w:hideMark/>
          </w:tcPr>
          <w:p w14:paraId="54F19FAD"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Northern Great Plains</w:t>
            </w:r>
          </w:p>
        </w:tc>
        <w:tc>
          <w:tcPr>
            <w:tcW w:w="0" w:type="auto"/>
            <w:tcBorders>
              <w:top w:val="nil"/>
              <w:left w:val="nil"/>
              <w:bottom w:val="nil"/>
              <w:right w:val="nil"/>
            </w:tcBorders>
            <w:shd w:val="clear" w:color="auto" w:fill="auto"/>
            <w:noWrap/>
            <w:vAlign w:val="bottom"/>
            <w:hideMark/>
          </w:tcPr>
          <w:p w14:paraId="54878531"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2-4.5</w:t>
            </w:r>
          </w:p>
        </w:tc>
        <w:tc>
          <w:tcPr>
            <w:tcW w:w="0" w:type="auto"/>
            <w:tcBorders>
              <w:top w:val="nil"/>
              <w:left w:val="nil"/>
              <w:bottom w:val="nil"/>
              <w:right w:val="nil"/>
            </w:tcBorders>
            <w:shd w:val="clear" w:color="auto" w:fill="auto"/>
            <w:noWrap/>
            <w:vAlign w:val="bottom"/>
            <w:hideMark/>
          </w:tcPr>
          <w:p w14:paraId="6E0D7E5E"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-6.1</w:t>
            </w:r>
          </w:p>
        </w:tc>
        <w:tc>
          <w:tcPr>
            <w:tcW w:w="0" w:type="auto"/>
            <w:tcBorders>
              <w:top w:val="nil"/>
              <w:left w:val="nil"/>
              <w:bottom w:val="nil"/>
              <w:right w:val="nil"/>
            </w:tcBorders>
            <w:shd w:val="clear" w:color="auto" w:fill="auto"/>
            <w:noWrap/>
            <w:vAlign w:val="bottom"/>
            <w:hideMark/>
          </w:tcPr>
          <w:p w14:paraId="16B5C6A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0.7</w:t>
            </w:r>
          </w:p>
        </w:tc>
        <w:tc>
          <w:tcPr>
            <w:tcW w:w="0" w:type="auto"/>
            <w:tcBorders>
              <w:top w:val="nil"/>
              <w:left w:val="nil"/>
              <w:bottom w:val="nil"/>
              <w:right w:val="nil"/>
            </w:tcBorders>
            <w:shd w:val="clear" w:color="auto" w:fill="auto"/>
            <w:noWrap/>
            <w:vAlign w:val="bottom"/>
            <w:hideMark/>
          </w:tcPr>
          <w:p w14:paraId="56919FF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4.0</w:t>
            </w:r>
          </w:p>
        </w:tc>
        <w:tc>
          <w:tcPr>
            <w:tcW w:w="0" w:type="auto"/>
            <w:tcBorders>
              <w:top w:val="nil"/>
              <w:left w:val="nil"/>
              <w:bottom w:val="nil"/>
              <w:right w:val="nil"/>
            </w:tcBorders>
            <w:shd w:val="clear" w:color="auto" w:fill="auto"/>
            <w:noWrap/>
            <w:vAlign w:val="bottom"/>
            <w:hideMark/>
          </w:tcPr>
          <w:p w14:paraId="2BB1ED1E"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7.6</w:t>
            </w:r>
          </w:p>
        </w:tc>
        <w:tc>
          <w:tcPr>
            <w:tcW w:w="0" w:type="auto"/>
            <w:tcBorders>
              <w:top w:val="nil"/>
              <w:left w:val="nil"/>
              <w:bottom w:val="nil"/>
              <w:right w:val="nil"/>
            </w:tcBorders>
            <w:shd w:val="clear" w:color="auto" w:fill="auto"/>
            <w:noWrap/>
            <w:vAlign w:val="bottom"/>
            <w:hideMark/>
          </w:tcPr>
          <w:p w14:paraId="63E2687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26.5</w:t>
            </w:r>
          </w:p>
        </w:tc>
      </w:tr>
      <w:tr w:rsidR="0026231E" w:rsidRPr="005C116D" w14:paraId="49B4E22B" w14:textId="77777777" w:rsidTr="005C116D">
        <w:trPr>
          <w:trHeight w:val="320"/>
        </w:trPr>
        <w:tc>
          <w:tcPr>
            <w:tcW w:w="0" w:type="auto"/>
            <w:tcBorders>
              <w:top w:val="nil"/>
              <w:left w:val="nil"/>
              <w:bottom w:val="nil"/>
              <w:right w:val="nil"/>
            </w:tcBorders>
            <w:shd w:val="clear" w:color="auto" w:fill="auto"/>
            <w:noWrap/>
            <w:vAlign w:val="bottom"/>
            <w:hideMark/>
          </w:tcPr>
          <w:p w14:paraId="138018D4"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Northwest</w:t>
            </w:r>
          </w:p>
        </w:tc>
        <w:tc>
          <w:tcPr>
            <w:tcW w:w="0" w:type="auto"/>
            <w:tcBorders>
              <w:top w:val="nil"/>
              <w:left w:val="nil"/>
              <w:bottom w:val="nil"/>
              <w:right w:val="nil"/>
            </w:tcBorders>
            <w:shd w:val="clear" w:color="auto" w:fill="auto"/>
            <w:noWrap/>
            <w:vAlign w:val="bottom"/>
            <w:hideMark/>
          </w:tcPr>
          <w:p w14:paraId="34454339"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2-4.5</w:t>
            </w:r>
          </w:p>
        </w:tc>
        <w:tc>
          <w:tcPr>
            <w:tcW w:w="0" w:type="auto"/>
            <w:tcBorders>
              <w:top w:val="nil"/>
              <w:left w:val="nil"/>
              <w:bottom w:val="nil"/>
              <w:right w:val="nil"/>
            </w:tcBorders>
            <w:shd w:val="clear" w:color="auto" w:fill="auto"/>
            <w:noWrap/>
            <w:vAlign w:val="bottom"/>
            <w:hideMark/>
          </w:tcPr>
          <w:p w14:paraId="6030C31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-10.5</w:t>
            </w:r>
          </w:p>
        </w:tc>
        <w:tc>
          <w:tcPr>
            <w:tcW w:w="0" w:type="auto"/>
            <w:tcBorders>
              <w:top w:val="nil"/>
              <w:left w:val="nil"/>
              <w:bottom w:val="nil"/>
              <w:right w:val="nil"/>
            </w:tcBorders>
            <w:shd w:val="clear" w:color="auto" w:fill="auto"/>
            <w:noWrap/>
            <w:vAlign w:val="bottom"/>
            <w:hideMark/>
          </w:tcPr>
          <w:p w14:paraId="49BA0E78"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1.2</w:t>
            </w:r>
          </w:p>
        </w:tc>
        <w:tc>
          <w:tcPr>
            <w:tcW w:w="0" w:type="auto"/>
            <w:tcBorders>
              <w:top w:val="nil"/>
              <w:left w:val="nil"/>
              <w:bottom w:val="nil"/>
              <w:right w:val="nil"/>
            </w:tcBorders>
            <w:shd w:val="clear" w:color="auto" w:fill="auto"/>
            <w:noWrap/>
            <w:vAlign w:val="bottom"/>
            <w:hideMark/>
          </w:tcPr>
          <w:p w14:paraId="01C9F0C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4.7</w:t>
            </w:r>
          </w:p>
        </w:tc>
        <w:tc>
          <w:tcPr>
            <w:tcW w:w="0" w:type="auto"/>
            <w:tcBorders>
              <w:top w:val="nil"/>
              <w:left w:val="nil"/>
              <w:bottom w:val="nil"/>
              <w:right w:val="nil"/>
            </w:tcBorders>
            <w:shd w:val="clear" w:color="auto" w:fill="auto"/>
            <w:noWrap/>
            <w:vAlign w:val="bottom"/>
            <w:hideMark/>
          </w:tcPr>
          <w:p w14:paraId="3B25E9D1"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8.7</w:t>
            </w:r>
          </w:p>
        </w:tc>
        <w:tc>
          <w:tcPr>
            <w:tcW w:w="0" w:type="auto"/>
            <w:tcBorders>
              <w:top w:val="nil"/>
              <w:left w:val="nil"/>
              <w:bottom w:val="nil"/>
              <w:right w:val="nil"/>
            </w:tcBorders>
            <w:shd w:val="clear" w:color="auto" w:fill="auto"/>
            <w:noWrap/>
            <w:vAlign w:val="bottom"/>
            <w:hideMark/>
          </w:tcPr>
          <w:p w14:paraId="3887B844"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29.2</w:t>
            </w:r>
          </w:p>
        </w:tc>
      </w:tr>
      <w:tr w:rsidR="0026231E" w:rsidRPr="005C116D" w14:paraId="057508DB" w14:textId="77777777" w:rsidTr="005C116D">
        <w:trPr>
          <w:trHeight w:val="320"/>
        </w:trPr>
        <w:tc>
          <w:tcPr>
            <w:tcW w:w="0" w:type="auto"/>
            <w:tcBorders>
              <w:top w:val="nil"/>
              <w:left w:val="nil"/>
              <w:bottom w:val="nil"/>
              <w:right w:val="nil"/>
            </w:tcBorders>
            <w:shd w:val="clear" w:color="auto" w:fill="auto"/>
            <w:noWrap/>
            <w:vAlign w:val="bottom"/>
            <w:hideMark/>
          </w:tcPr>
          <w:p w14:paraId="3B5560D1"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Southeast</w:t>
            </w:r>
          </w:p>
        </w:tc>
        <w:tc>
          <w:tcPr>
            <w:tcW w:w="0" w:type="auto"/>
            <w:tcBorders>
              <w:top w:val="nil"/>
              <w:left w:val="nil"/>
              <w:bottom w:val="nil"/>
              <w:right w:val="nil"/>
            </w:tcBorders>
            <w:shd w:val="clear" w:color="auto" w:fill="auto"/>
            <w:noWrap/>
            <w:vAlign w:val="bottom"/>
            <w:hideMark/>
          </w:tcPr>
          <w:p w14:paraId="556FF98E"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2-4.5</w:t>
            </w:r>
          </w:p>
        </w:tc>
        <w:tc>
          <w:tcPr>
            <w:tcW w:w="0" w:type="auto"/>
            <w:tcBorders>
              <w:top w:val="nil"/>
              <w:left w:val="nil"/>
              <w:bottom w:val="nil"/>
              <w:right w:val="nil"/>
            </w:tcBorders>
            <w:shd w:val="clear" w:color="auto" w:fill="auto"/>
            <w:noWrap/>
            <w:vAlign w:val="bottom"/>
            <w:hideMark/>
          </w:tcPr>
          <w:p w14:paraId="43C5AF4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-10.1</w:t>
            </w:r>
          </w:p>
        </w:tc>
        <w:tc>
          <w:tcPr>
            <w:tcW w:w="0" w:type="auto"/>
            <w:tcBorders>
              <w:top w:val="nil"/>
              <w:left w:val="nil"/>
              <w:bottom w:val="nil"/>
              <w:right w:val="nil"/>
            </w:tcBorders>
            <w:shd w:val="clear" w:color="auto" w:fill="auto"/>
            <w:noWrap/>
            <w:vAlign w:val="bottom"/>
            <w:hideMark/>
          </w:tcPr>
          <w:p w14:paraId="11E2FA5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1.4</w:t>
            </w:r>
          </w:p>
        </w:tc>
        <w:tc>
          <w:tcPr>
            <w:tcW w:w="0" w:type="auto"/>
            <w:tcBorders>
              <w:top w:val="nil"/>
              <w:left w:val="nil"/>
              <w:bottom w:val="nil"/>
              <w:right w:val="nil"/>
            </w:tcBorders>
            <w:shd w:val="clear" w:color="auto" w:fill="auto"/>
            <w:noWrap/>
            <w:vAlign w:val="bottom"/>
            <w:hideMark/>
          </w:tcPr>
          <w:p w14:paraId="4BAA7528"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4.8</w:t>
            </w:r>
          </w:p>
        </w:tc>
        <w:tc>
          <w:tcPr>
            <w:tcW w:w="0" w:type="auto"/>
            <w:tcBorders>
              <w:top w:val="nil"/>
              <w:left w:val="nil"/>
              <w:bottom w:val="nil"/>
              <w:right w:val="nil"/>
            </w:tcBorders>
            <w:shd w:val="clear" w:color="auto" w:fill="auto"/>
            <w:noWrap/>
            <w:vAlign w:val="bottom"/>
            <w:hideMark/>
          </w:tcPr>
          <w:p w14:paraId="655D570C"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10.4</w:t>
            </w:r>
          </w:p>
        </w:tc>
        <w:tc>
          <w:tcPr>
            <w:tcW w:w="0" w:type="auto"/>
            <w:tcBorders>
              <w:top w:val="nil"/>
              <w:left w:val="nil"/>
              <w:bottom w:val="nil"/>
              <w:right w:val="nil"/>
            </w:tcBorders>
            <w:shd w:val="clear" w:color="auto" w:fill="auto"/>
            <w:noWrap/>
            <w:vAlign w:val="bottom"/>
            <w:hideMark/>
          </w:tcPr>
          <w:p w14:paraId="48E14731"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38.8</w:t>
            </w:r>
          </w:p>
        </w:tc>
      </w:tr>
      <w:tr w:rsidR="0026231E" w:rsidRPr="005C116D" w14:paraId="45F2589C" w14:textId="77777777" w:rsidTr="005C116D">
        <w:trPr>
          <w:trHeight w:val="320"/>
        </w:trPr>
        <w:tc>
          <w:tcPr>
            <w:tcW w:w="0" w:type="auto"/>
            <w:tcBorders>
              <w:top w:val="nil"/>
              <w:left w:val="nil"/>
              <w:right w:val="nil"/>
            </w:tcBorders>
            <w:shd w:val="clear" w:color="auto" w:fill="auto"/>
            <w:noWrap/>
            <w:vAlign w:val="bottom"/>
            <w:hideMark/>
          </w:tcPr>
          <w:p w14:paraId="75E17C2B"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Southern Great Plains</w:t>
            </w:r>
          </w:p>
        </w:tc>
        <w:tc>
          <w:tcPr>
            <w:tcW w:w="0" w:type="auto"/>
            <w:tcBorders>
              <w:top w:val="nil"/>
              <w:left w:val="nil"/>
              <w:right w:val="nil"/>
            </w:tcBorders>
            <w:shd w:val="clear" w:color="auto" w:fill="auto"/>
            <w:noWrap/>
            <w:vAlign w:val="bottom"/>
            <w:hideMark/>
          </w:tcPr>
          <w:p w14:paraId="666569D1"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2-4.5</w:t>
            </w:r>
          </w:p>
        </w:tc>
        <w:tc>
          <w:tcPr>
            <w:tcW w:w="0" w:type="auto"/>
            <w:tcBorders>
              <w:top w:val="nil"/>
              <w:left w:val="nil"/>
              <w:right w:val="nil"/>
            </w:tcBorders>
            <w:shd w:val="clear" w:color="auto" w:fill="auto"/>
            <w:noWrap/>
            <w:vAlign w:val="bottom"/>
            <w:hideMark/>
          </w:tcPr>
          <w:p w14:paraId="5B995BD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-6.4</w:t>
            </w:r>
          </w:p>
        </w:tc>
        <w:tc>
          <w:tcPr>
            <w:tcW w:w="0" w:type="auto"/>
            <w:tcBorders>
              <w:top w:val="nil"/>
              <w:left w:val="nil"/>
              <w:right w:val="nil"/>
            </w:tcBorders>
            <w:shd w:val="clear" w:color="auto" w:fill="auto"/>
            <w:noWrap/>
            <w:vAlign w:val="bottom"/>
            <w:hideMark/>
          </w:tcPr>
          <w:p w14:paraId="2565ADB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2.3</w:t>
            </w:r>
          </w:p>
        </w:tc>
        <w:tc>
          <w:tcPr>
            <w:tcW w:w="0" w:type="auto"/>
            <w:tcBorders>
              <w:top w:val="nil"/>
              <w:left w:val="nil"/>
              <w:right w:val="nil"/>
            </w:tcBorders>
            <w:shd w:val="clear" w:color="auto" w:fill="auto"/>
            <w:noWrap/>
            <w:vAlign w:val="bottom"/>
            <w:hideMark/>
          </w:tcPr>
          <w:p w14:paraId="48C6E295"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6.0</w:t>
            </w:r>
          </w:p>
        </w:tc>
        <w:tc>
          <w:tcPr>
            <w:tcW w:w="0" w:type="auto"/>
            <w:tcBorders>
              <w:top w:val="nil"/>
              <w:left w:val="nil"/>
              <w:right w:val="nil"/>
            </w:tcBorders>
            <w:shd w:val="clear" w:color="auto" w:fill="auto"/>
            <w:noWrap/>
            <w:vAlign w:val="bottom"/>
            <w:hideMark/>
          </w:tcPr>
          <w:p w14:paraId="10EF4D71"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10.5</w:t>
            </w:r>
          </w:p>
        </w:tc>
        <w:tc>
          <w:tcPr>
            <w:tcW w:w="0" w:type="auto"/>
            <w:tcBorders>
              <w:top w:val="nil"/>
              <w:left w:val="nil"/>
              <w:right w:val="nil"/>
            </w:tcBorders>
            <w:shd w:val="clear" w:color="auto" w:fill="auto"/>
            <w:noWrap/>
            <w:vAlign w:val="bottom"/>
            <w:hideMark/>
          </w:tcPr>
          <w:p w14:paraId="477A9D5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35.0</w:t>
            </w:r>
          </w:p>
        </w:tc>
      </w:tr>
      <w:tr w:rsidR="0026231E" w:rsidRPr="005C116D" w14:paraId="20FC9915" w14:textId="77777777" w:rsidTr="005C116D">
        <w:trPr>
          <w:trHeight w:val="320"/>
        </w:trPr>
        <w:tc>
          <w:tcPr>
            <w:tcW w:w="0" w:type="auto"/>
            <w:tcBorders>
              <w:top w:val="nil"/>
              <w:left w:val="nil"/>
              <w:bottom w:val="single" w:sz="4" w:space="0" w:color="auto"/>
              <w:right w:val="nil"/>
            </w:tcBorders>
            <w:shd w:val="clear" w:color="auto" w:fill="auto"/>
            <w:noWrap/>
            <w:vAlign w:val="bottom"/>
            <w:hideMark/>
          </w:tcPr>
          <w:p w14:paraId="7D3E423E"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Southwest</w:t>
            </w:r>
          </w:p>
        </w:tc>
        <w:tc>
          <w:tcPr>
            <w:tcW w:w="0" w:type="auto"/>
            <w:tcBorders>
              <w:top w:val="nil"/>
              <w:left w:val="nil"/>
              <w:bottom w:val="single" w:sz="4" w:space="0" w:color="auto"/>
              <w:right w:val="nil"/>
            </w:tcBorders>
            <w:shd w:val="clear" w:color="auto" w:fill="auto"/>
            <w:noWrap/>
            <w:vAlign w:val="bottom"/>
            <w:hideMark/>
          </w:tcPr>
          <w:p w14:paraId="5880421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2-4.5</w:t>
            </w:r>
          </w:p>
        </w:tc>
        <w:tc>
          <w:tcPr>
            <w:tcW w:w="0" w:type="auto"/>
            <w:tcBorders>
              <w:top w:val="nil"/>
              <w:left w:val="nil"/>
              <w:bottom w:val="single" w:sz="4" w:space="0" w:color="auto"/>
              <w:right w:val="nil"/>
            </w:tcBorders>
            <w:shd w:val="clear" w:color="auto" w:fill="auto"/>
            <w:noWrap/>
            <w:vAlign w:val="bottom"/>
            <w:hideMark/>
          </w:tcPr>
          <w:p w14:paraId="4B74C9C5"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-5.3</w:t>
            </w:r>
          </w:p>
        </w:tc>
        <w:tc>
          <w:tcPr>
            <w:tcW w:w="0" w:type="auto"/>
            <w:tcBorders>
              <w:top w:val="nil"/>
              <w:left w:val="nil"/>
              <w:bottom w:val="single" w:sz="4" w:space="0" w:color="auto"/>
              <w:right w:val="nil"/>
            </w:tcBorders>
            <w:shd w:val="clear" w:color="auto" w:fill="auto"/>
            <w:noWrap/>
            <w:vAlign w:val="bottom"/>
            <w:hideMark/>
          </w:tcPr>
          <w:p w14:paraId="5A6D5AB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0.9</w:t>
            </w:r>
          </w:p>
        </w:tc>
        <w:tc>
          <w:tcPr>
            <w:tcW w:w="0" w:type="auto"/>
            <w:tcBorders>
              <w:top w:val="nil"/>
              <w:left w:val="nil"/>
              <w:bottom w:val="single" w:sz="4" w:space="0" w:color="auto"/>
              <w:right w:val="nil"/>
            </w:tcBorders>
            <w:shd w:val="clear" w:color="auto" w:fill="auto"/>
            <w:noWrap/>
            <w:vAlign w:val="bottom"/>
            <w:hideMark/>
          </w:tcPr>
          <w:p w14:paraId="303EEC2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5.2</w:t>
            </w:r>
          </w:p>
        </w:tc>
        <w:tc>
          <w:tcPr>
            <w:tcW w:w="0" w:type="auto"/>
            <w:tcBorders>
              <w:top w:val="nil"/>
              <w:left w:val="nil"/>
              <w:bottom w:val="single" w:sz="4" w:space="0" w:color="auto"/>
              <w:right w:val="nil"/>
            </w:tcBorders>
            <w:shd w:val="clear" w:color="auto" w:fill="auto"/>
            <w:noWrap/>
            <w:vAlign w:val="bottom"/>
            <w:hideMark/>
          </w:tcPr>
          <w:p w14:paraId="78F5CEA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8.7</w:t>
            </w:r>
          </w:p>
        </w:tc>
        <w:tc>
          <w:tcPr>
            <w:tcW w:w="0" w:type="auto"/>
            <w:tcBorders>
              <w:top w:val="nil"/>
              <w:left w:val="nil"/>
              <w:bottom w:val="single" w:sz="4" w:space="0" w:color="auto"/>
              <w:right w:val="nil"/>
            </w:tcBorders>
            <w:shd w:val="clear" w:color="auto" w:fill="auto"/>
            <w:noWrap/>
            <w:vAlign w:val="bottom"/>
            <w:hideMark/>
          </w:tcPr>
          <w:p w14:paraId="0905077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19.9</w:t>
            </w:r>
          </w:p>
        </w:tc>
      </w:tr>
      <w:tr w:rsidR="0026231E" w:rsidRPr="005C116D" w14:paraId="080EB165" w14:textId="77777777" w:rsidTr="005C116D">
        <w:trPr>
          <w:trHeight w:val="320"/>
        </w:trPr>
        <w:tc>
          <w:tcPr>
            <w:tcW w:w="0" w:type="auto"/>
            <w:tcBorders>
              <w:top w:val="single" w:sz="4" w:space="0" w:color="auto"/>
              <w:left w:val="nil"/>
              <w:bottom w:val="nil"/>
              <w:right w:val="nil"/>
            </w:tcBorders>
            <w:shd w:val="clear" w:color="auto" w:fill="auto"/>
            <w:noWrap/>
            <w:vAlign w:val="bottom"/>
            <w:hideMark/>
          </w:tcPr>
          <w:p w14:paraId="1589723B"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Midwest</w:t>
            </w:r>
          </w:p>
        </w:tc>
        <w:tc>
          <w:tcPr>
            <w:tcW w:w="0" w:type="auto"/>
            <w:tcBorders>
              <w:top w:val="single" w:sz="4" w:space="0" w:color="auto"/>
              <w:left w:val="nil"/>
              <w:bottom w:val="nil"/>
              <w:right w:val="nil"/>
            </w:tcBorders>
            <w:shd w:val="clear" w:color="auto" w:fill="auto"/>
            <w:noWrap/>
            <w:vAlign w:val="bottom"/>
            <w:hideMark/>
          </w:tcPr>
          <w:p w14:paraId="54EFEC5E"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3-7.0</w:t>
            </w:r>
          </w:p>
        </w:tc>
        <w:tc>
          <w:tcPr>
            <w:tcW w:w="0" w:type="auto"/>
            <w:tcBorders>
              <w:top w:val="single" w:sz="4" w:space="0" w:color="auto"/>
              <w:left w:val="nil"/>
              <w:bottom w:val="nil"/>
              <w:right w:val="nil"/>
            </w:tcBorders>
            <w:shd w:val="clear" w:color="auto" w:fill="auto"/>
            <w:noWrap/>
            <w:vAlign w:val="bottom"/>
            <w:hideMark/>
          </w:tcPr>
          <w:p w14:paraId="134BAF1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-9.5</w:t>
            </w:r>
          </w:p>
        </w:tc>
        <w:tc>
          <w:tcPr>
            <w:tcW w:w="0" w:type="auto"/>
            <w:tcBorders>
              <w:top w:val="single" w:sz="4" w:space="0" w:color="auto"/>
              <w:left w:val="nil"/>
              <w:bottom w:val="nil"/>
              <w:right w:val="nil"/>
            </w:tcBorders>
            <w:shd w:val="clear" w:color="auto" w:fill="auto"/>
            <w:noWrap/>
            <w:vAlign w:val="bottom"/>
            <w:hideMark/>
          </w:tcPr>
          <w:p w14:paraId="5987B547"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2.1</w:t>
            </w:r>
          </w:p>
        </w:tc>
        <w:tc>
          <w:tcPr>
            <w:tcW w:w="0" w:type="auto"/>
            <w:tcBorders>
              <w:top w:val="single" w:sz="4" w:space="0" w:color="auto"/>
              <w:left w:val="nil"/>
              <w:bottom w:val="nil"/>
              <w:right w:val="nil"/>
            </w:tcBorders>
            <w:shd w:val="clear" w:color="auto" w:fill="auto"/>
            <w:noWrap/>
            <w:vAlign w:val="bottom"/>
            <w:hideMark/>
          </w:tcPr>
          <w:p w14:paraId="46425509"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6.9</w:t>
            </w:r>
          </w:p>
        </w:tc>
        <w:tc>
          <w:tcPr>
            <w:tcW w:w="0" w:type="auto"/>
            <w:tcBorders>
              <w:top w:val="single" w:sz="4" w:space="0" w:color="auto"/>
              <w:left w:val="nil"/>
              <w:bottom w:val="nil"/>
              <w:right w:val="nil"/>
            </w:tcBorders>
            <w:shd w:val="clear" w:color="auto" w:fill="auto"/>
            <w:noWrap/>
            <w:vAlign w:val="bottom"/>
            <w:hideMark/>
          </w:tcPr>
          <w:p w14:paraId="79C517D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12.8</w:t>
            </w:r>
          </w:p>
        </w:tc>
        <w:tc>
          <w:tcPr>
            <w:tcW w:w="0" w:type="auto"/>
            <w:tcBorders>
              <w:top w:val="single" w:sz="4" w:space="0" w:color="auto"/>
              <w:left w:val="nil"/>
              <w:bottom w:val="nil"/>
              <w:right w:val="nil"/>
            </w:tcBorders>
            <w:shd w:val="clear" w:color="auto" w:fill="auto"/>
            <w:noWrap/>
            <w:vAlign w:val="bottom"/>
            <w:hideMark/>
          </w:tcPr>
          <w:p w14:paraId="19310161"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37.8</w:t>
            </w:r>
          </w:p>
        </w:tc>
      </w:tr>
      <w:tr w:rsidR="0026231E" w:rsidRPr="005C116D" w14:paraId="7D3680A0" w14:textId="77777777" w:rsidTr="005C116D">
        <w:trPr>
          <w:trHeight w:val="320"/>
        </w:trPr>
        <w:tc>
          <w:tcPr>
            <w:tcW w:w="0" w:type="auto"/>
            <w:tcBorders>
              <w:top w:val="nil"/>
              <w:left w:val="nil"/>
              <w:bottom w:val="nil"/>
              <w:right w:val="nil"/>
            </w:tcBorders>
            <w:shd w:val="clear" w:color="auto" w:fill="auto"/>
            <w:noWrap/>
            <w:vAlign w:val="bottom"/>
            <w:hideMark/>
          </w:tcPr>
          <w:p w14:paraId="36B82A49"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New England</w:t>
            </w:r>
          </w:p>
        </w:tc>
        <w:tc>
          <w:tcPr>
            <w:tcW w:w="0" w:type="auto"/>
            <w:tcBorders>
              <w:top w:val="nil"/>
              <w:left w:val="nil"/>
              <w:bottom w:val="nil"/>
              <w:right w:val="nil"/>
            </w:tcBorders>
            <w:shd w:val="clear" w:color="auto" w:fill="auto"/>
            <w:noWrap/>
            <w:vAlign w:val="bottom"/>
            <w:hideMark/>
          </w:tcPr>
          <w:p w14:paraId="523B0E0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3-7.0</w:t>
            </w:r>
          </w:p>
        </w:tc>
        <w:tc>
          <w:tcPr>
            <w:tcW w:w="0" w:type="auto"/>
            <w:tcBorders>
              <w:top w:val="nil"/>
              <w:left w:val="nil"/>
              <w:bottom w:val="nil"/>
              <w:right w:val="nil"/>
            </w:tcBorders>
            <w:shd w:val="clear" w:color="auto" w:fill="auto"/>
            <w:noWrap/>
            <w:vAlign w:val="bottom"/>
            <w:hideMark/>
          </w:tcPr>
          <w:p w14:paraId="3E95344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-7.8</w:t>
            </w:r>
          </w:p>
        </w:tc>
        <w:tc>
          <w:tcPr>
            <w:tcW w:w="0" w:type="auto"/>
            <w:tcBorders>
              <w:top w:val="nil"/>
              <w:left w:val="nil"/>
              <w:bottom w:val="nil"/>
              <w:right w:val="nil"/>
            </w:tcBorders>
            <w:shd w:val="clear" w:color="auto" w:fill="auto"/>
            <w:noWrap/>
            <w:vAlign w:val="bottom"/>
            <w:hideMark/>
          </w:tcPr>
          <w:p w14:paraId="7D0246B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2.6</w:t>
            </w:r>
          </w:p>
        </w:tc>
        <w:tc>
          <w:tcPr>
            <w:tcW w:w="0" w:type="auto"/>
            <w:tcBorders>
              <w:top w:val="nil"/>
              <w:left w:val="nil"/>
              <w:bottom w:val="nil"/>
              <w:right w:val="nil"/>
            </w:tcBorders>
            <w:shd w:val="clear" w:color="auto" w:fill="auto"/>
            <w:noWrap/>
            <w:vAlign w:val="bottom"/>
            <w:hideMark/>
          </w:tcPr>
          <w:p w14:paraId="5B5F3DDB"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8.4</w:t>
            </w:r>
          </w:p>
        </w:tc>
        <w:tc>
          <w:tcPr>
            <w:tcW w:w="0" w:type="auto"/>
            <w:tcBorders>
              <w:top w:val="nil"/>
              <w:left w:val="nil"/>
              <w:bottom w:val="nil"/>
              <w:right w:val="nil"/>
            </w:tcBorders>
            <w:shd w:val="clear" w:color="auto" w:fill="auto"/>
            <w:noWrap/>
            <w:vAlign w:val="bottom"/>
            <w:hideMark/>
          </w:tcPr>
          <w:p w14:paraId="6FD4EBEC"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13.4</w:t>
            </w:r>
          </w:p>
        </w:tc>
        <w:tc>
          <w:tcPr>
            <w:tcW w:w="0" w:type="auto"/>
            <w:tcBorders>
              <w:top w:val="nil"/>
              <w:left w:val="nil"/>
              <w:bottom w:val="nil"/>
              <w:right w:val="nil"/>
            </w:tcBorders>
            <w:shd w:val="clear" w:color="auto" w:fill="auto"/>
            <w:noWrap/>
            <w:vAlign w:val="bottom"/>
            <w:hideMark/>
          </w:tcPr>
          <w:p w14:paraId="566BB61E"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35.5</w:t>
            </w:r>
          </w:p>
        </w:tc>
      </w:tr>
      <w:tr w:rsidR="0026231E" w:rsidRPr="005C116D" w14:paraId="5C166699" w14:textId="77777777" w:rsidTr="005C116D">
        <w:trPr>
          <w:trHeight w:val="320"/>
        </w:trPr>
        <w:tc>
          <w:tcPr>
            <w:tcW w:w="0" w:type="auto"/>
            <w:tcBorders>
              <w:top w:val="nil"/>
              <w:left w:val="nil"/>
              <w:bottom w:val="nil"/>
              <w:right w:val="nil"/>
            </w:tcBorders>
            <w:shd w:val="clear" w:color="auto" w:fill="auto"/>
            <w:noWrap/>
            <w:vAlign w:val="bottom"/>
            <w:hideMark/>
          </w:tcPr>
          <w:p w14:paraId="2EF17143"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Northern Great Plains</w:t>
            </w:r>
          </w:p>
        </w:tc>
        <w:tc>
          <w:tcPr>
            <w:tcW w:w="0" w:type="auto"/>
            <w:tcBorders>
              <w:top w:val="nil"/>
              <w:left w:val="nil"/>
              <w:bottom w:val="nil"/>
              <w:right w:val="nil"/>
            </w:tcBorders>
            <w:shd w:val="clear" w:color="auto" w:fill="auto"/>
            <w:noWrap/>
            <w:vAlign w:val="bottom"/>
            <w:hideMark/>
          </w:tcPr>
          <w:p w14:paraId="7F92E9D5"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3-7.0</w:t>
            </w:r>
          </w:p>
        </w:tc>
        <w:tc>
          <w:tcPr>
            <w:tcW w:w="0" w:type="auto"/>
            <w:tcBorders>
              <w:top w:val="nil"/>
              <w:left w:val="nil"/>
              <w:bottom w:val="nil"/>
              <w:right w:val="nil"/>
            </w:tcBorders>
            <w:shd w:val="clear" w:color="auto" w:fill="auto"/>
            <w:noWrap/>
            <w:vAlign w:val="bottom"/>
            <w:hideMark/>
          </w:tcPr>
          <w:p w14:paraId="4221900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-7.0</w:t>
            </w:r>
          </w:p>
        </w:tc>
        <w:tc>
          <w:tcPr>
            <w:tcW w:w="0" w:type="auto"/>
            <w:tcBorders>
              <w:top w:val="nil"/>
              <w:left w:val="nil"/>
              <w:bottom w:val="nil"/>
              <w:right w:val="nil"/>
            </w:tcBorders>
            <w:shd w:val="clear" w:color="auto" w:fill="auto"/>
            <w:noWrap/>
            <w:vAlign w:val="bottom"/>
            <w:hideMark/>
          </w:tcPr>
          <w:p w14:paraId="1CA056B5"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1.4</w:t>
            </w:r>
          </w:p>
        </w:tc>
        <w:tc>
          <w:tcPr>
            <w:tcW w:w="0" w:type="auto"/>
            <w:tcBorders>
              <w:top w:val="nil"/>
              <w:left w:val="nil"/>
              <w:bottom w:val="nil"/>
              <w:right w:val="nil"/>
            </w:tcBorders>
            <w:shd w:val="clear" w:color="auto" w:fill="auto"/>
            <w:noWrap/>
            <w:vAlign w:val="bottom"/>
            <w:hideMark/>
          </w:tcPr>
          <w:p w14:paraId="4E2B2DA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4.6</w:t>
            </w:r>
          </w:p>
        </w:tc>
        <w:tc>
          <w:tcPr>
            <w:tcW w:w="0" w:type="auto"/>
            <w:tcBorders>
              <w:top w:val="nil"/>
              <w:left w:val="nil"/>
              <w:bottom w:val="nil"/>
              <w:right w:val="nil"/>
            </w:tcBorders>
            <w:shd w:val="clear" w:color="auto" w:fill="auto"/>
            <w:noWrap/>
            <w:vAlign w:val="bottom"/>
            <w:hideMark/>
          </w:tcPr>
          <w:p w14:paraId="69824517"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9.4</w:t>
            </w:r>
          </w:p>
        </w:tc>
        <w:tc>
          <w:tcPr>
            <w:tcW w:w="0" w:type="auto"/>
            <w:tcBorders>
              <w:top w:val="nil"/>
              <w:left w:val="nil"/>
              <w:bottom w:val="nil"/>
              <w:right w:val="nil"/>
            </w:tcBorders>
            <w:shd w:val="clear" w:color="auto" w:fill="auto"/>
            <w:noWrap/>
            <w:vAlign w:val="bottom"/>
            <w:hideMark/>
          </w:tcPr>
          <w:p w14:paraId="45A167C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32.5</w:t>
            </w:r>
          </w:p>
        </w:tc>
      </w:tr>
      <w:tr w:rsidR="0026231E" w:rsidRPr="005C116D" w14:paraId="49407553" w14:textId="77777777" w:rsidTr="005C116D">
        <w:trPr>
          <w:trHeight w:val="320"/>
        </w:trPr>
        <w:tc>
          <w:tcPr>
            <w:tcW w:w="0" w:type="auto"/>
            <w:tcBorders>
              <w:top w:val="nil"/>
              <w:left w:val="nil"/>
              <w:bottom w:val="nil"/>
              <w:right w:val="nil"/>
            </w:tcBorders>
            <w:shd w:val="clear" w:color="auto" w:fill="auto"/>
            <w:noWrap/>
            <w:vAlign w:val="bottom"/>
            <w:hideMark/>
          </w:tcPr>
          <w:p w14:paraId="626AF5B7"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Northwest</w:t>
            </w:r>
          </w:p>
        </w:tc>
        <w:tc>
          <w:tcPr>
            <w:tcW w:w="0" w:type="auto"/>
            <w:tcBorders>
              <w:top w:val="nil"/>
              <w:left w:val="nil"/>
              <w:bottom w:val="nil"/>
              <w:right w:val="nil"/>
            </w:tcBorders>
            <w:shd w:val="clear" w:color="auto" w:fill="auto"/>
            <w:noWrap/>
            <w:vAlign w:val="bottom"/>
            <w:hideMark/>
          </w:tcPr>
          <w:p w14:paraId="3C614A2B"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3-7.0</w:t>
            </w:r>
          </w:p>
        </w:tc>
        <w:tc>
          <w:tcPr>
            <w:tcW w:w="0" w:type="auto"/>
            <w:tcBorders>
              <w:top w:val="nil"/>
              <w:left w:val="nil"/>
              <w:bottom w:val="nil"/>
              <w:right w:val="nil"/>
            </w:tcBorders>
            <w:shd w:val="clear" w:color="auto" w:fill="auto"/>
            <w:noWrap/>
            <w:vAlign w:val="bottom"/>
            <w:hideMark/>
          </w:tcPr>
          <w:p w14:paraId="7B67218B"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-10.7</w:t>
            </w:r>
          </w:p>
        </w:tc>
        <w:tc>
          <w:tcPr>
            <w:tcW w:w="0" w:type="auto"/>
            <w:tcBorders>
              <w:top w:val="nil"/>
              <w:left w:val="nil"/>
              <w:bottom w:val="nil"/>
              <w:right w:val="nil"/>
            </w:tcBorders>
            <w:shd w:val="clear" w:color="auto" w:fill="auto"/>
            <w:noWrap/>
            <w:vAlign w:val="bottom"/>
            <w:hideMark/>
          </w:tcPr>
          <w:p w14:paraId="3E7ECE1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1.1</w:t>
            </w:r>
          </w:p>
        </w:tc>
        <w:tc>
          <w:tcPr>
            <w:tcW w:w="0" w:type="auto"/>
            <w:tcBorders>
              <w:top w:val="nil"/>
              <w:left w:val="nil"/>
              <w:bottom w:val="nil"/>
              <w:right w:val="nil"/>
            </w:tcBorders>
            <w:shd w:val="clear" w:color="auto" w:fill="auto"/>
            <w:noWrap/>
            <w:vAlign w:val="bottom"/>
            <w:hideMark/>
          </w:tcPr>
          <w:p w14:paraId="21B597FC"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5.7</w:t>
            </w:r>
          </w:p>
        </w:tc>
        <w:tc>
          <w:tcPr>
            <w:tcW w:w="0" w:type="auto"/>
            <w:tcBorders>
              <w:top w:val="nil"/>
              <w:left w:val="nil"/>
              <w:bottom w:val="nil"/>
              <w:right w:val="nil"/>
            </w:tcBorders>
            <w:shd w:val="clear" w:color="auto" w:fill="auto"/>
            <w:noWrap/>
            <w:vAlign w:val="bottom"/>
            <w:hideMark/>
          </w:tcPr>
          <w:p w14:paraId="4E945E89"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10.4</w:t>
            </w:r>
          </w:p>
        </w:tc>
        <w:tc>
          <w:tcPr>
            <w:tcW w:w="0" w:type="auto"/>
            <w:tcBorders>
              <w:top w:val="nil"/>
              <w:left w:val="nil"/>
              <w:bottom w:val="nil"/>
              <w:right w:val="nil"/>
            </w:tcBorders>
            <w:shd w:val="clear" w:color="auto" w:fill="auto"/>
            <w:noWrap/>
            <w:vAlign w:val="bottom"/>
            <w:hideMark/>
          </w:tcPr>
          <w:p w14:paraId="2CFB8C41"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34.1</w:t>
            </w:r>
          </w:p>
        </w:tc>
      </w:tr>
      <w:tr w:rsidR="0026231E" w:rsidRPr="005C116D" w14:paraId="7163BCD2" w14:textId="77777777" w:rsidTr="005C116D">
        <w:trPr>
          <w:trHeight w:val="320"/>
        </w:trPr>
        <w:tc>
          <w:tcPr>
            <w:tcW w:w="0" w:type="auto"/>
            <w:tcBorders>
              <w:top w:val="nil"/>
              <w:left w:val="nil"/>
              <w:bottom w:val="nil"/>
              <w:right w:val="nil"/>
            </w:tcBorders>
            <w:shd w:val="clear" w:color="auto" w:fill="auto"/>
            <w:noWrap/>
            <w:vAlign w:val="bottom"/>
            <w:hideMark/>
          </w:tcPr>
          <w:p w14:paraId="48E1D794"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Southeast</w:t>
            </w:r>
          </w:p>
        </w:tc>
        <w:tc>
          <w:tcPr>
            <w:tcW w:w="0" w:type="auto"/>
            <w:tcBorders>
              <w:top w:val="nil"/>
              <w:left w:val="nil"/>
              <w:bottom w:val="nil"/>
              <w:right w:val="nil"/>
            </w:tcBorders>
            <w:shd w:val="clear" w:color="auto" w:fill="auto"/>
            <w:noWrap/>
            <w:vAlign w:val="bottom"/>
            <w:hideMark/>
          </w:tcPr>
          <w:p w14:paraId="1B182E39"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3-7.0</w:t>
            </w:r>
          </w:p>
        </w:tc>
        <w:tc>
          <w:tcPr>
            <w:tcW w:w="0" w:type="auto"/>
            <w:tcBorders>
              <w:top w:val="nil"/>
              <w:left w:val="nil"/>
              <w:bottom w:val="nil"/>
              <w:right w:val="nil"/>
            </w:tcBorders>
            <w:shd w:val="clear" w:color="auto" w:fill="auto"/>
            <w:noWrap/>
            <w:vAlign w:val="bottom"/>
            <w:hideMark/>
          </w:tcPr>
          <w:p w14:paraId="09B1F1F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-10.9</w:t>
            </w:r>
          </w:p>
        </w:tc>
        <w:tc>
          <w:tcPr>
            <w:tcW w:w="0" w:type="auto"/>
            <w:tcBorders>
              <w:top w:val="nil"/>
              <w:left w:val="nil"/>
              <w:bottom w:val="nil"/>
              <w:right w:val="nil"/>
            </w:tcBorders>
            <w:shd w:val="clear" w:color="auto" w:fill="auto"/>
            <w:noWrap/>
            <w:vAlign w:val="bottom"/>
            <w:hideMark/>
          </w:tcPr>
          <w:p w14:paraId="0A9B44A1"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1.5</w:t>
            </w:r>
          </w:p>
        </w:tc>
        <w:tc>
          <w:tcPr>
            <w:tcW w:w="0" w:type="auto"/>
            <w:tcBorders>
              <w:top w:val="nil"/>
              <w:left w:val="nil"/>
              <w:bottom w:val="nil"/>
              <w:right w:val="nil"/>
            </w:tcBorders>
            <w:shd w:val="clear" w:color="auto" w:fill="auto"/>
            <w:noWrap/>
            <w:vAlign w:val="bottom"/>
            <w:hideMark/>
          </w:tcPr>
          <w:p w14:paraId="01A4900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5.7</w:t>
            </w:r>
          </w:p>
        </w:tc>
        <w:tc>
          <w:tcPr>
            <w:tcW w:w="0" w:type="auto"/>
            <w:tcBorders>
              <w:top w:val="nil"/>
              <w:left w:val="nil"/>
              <w:bottom w:val="nil"/>
              <w:right w:val="nil"/>
            </w:tcBorders>
            <w:shd w:val="clear" w:color="auto" w:fill="auto"/>
            <w:noWrap/>
            <w:vAlign w:val="bottom"/>
            <w:hideMark/>
          </w:tcPr>
          <w:p w14:paraId="2137527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12.2</w:t>
            </w:r>
          </w:p>
        </w:tc>
        <w:tc>
          <w:tcPr>
            <w:tcW w:w="0" w:type="auto"/>
            <w:tcBorders>
              <w:top w:val="nil"/>
              <w:left w:val="nil"/>
              <w:bottom w:val="nil"/>
              <w:right w:val="nil"/>
            </w:tcBorders>
            <w:shd w:val="clear" w:color="auto" w:fill="auto"/>
            <w:noWrap/>
            <w:vAlign w:val="bottom"/>
            <w:hideMark/>
          </w:tcPr>
          <w:p w14:paraId="6262550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47.8</w:t>
            </w:r>
          </w:p>
        </w:tc>
      </w:tr>
      <w:tr w:rsidR="0026231E" w:rsidRPr="005C116D" w14:paraId="3BE63C26" w14:textId="77777777" w:rsidTr="005C116D">
        <w:trPr>
          <w:trHeight w:val="320"/>
        </w:trPr>
        <w:tc>
          <w:tcPr>
            <w:tcW w:w="0" w:type="auto"/>
            <w:tcBorders>
              <w:top w:val="nil"/>
              <w:left w:val="nil"/>
              <w:right w:val="nil"/>
            </w:tcBorders>
            <w:shd w:val="clear" w:color="auto" w:fill="auto"/>
            <w:noWrap/>
            <w:vAlign w:val="bottom"/>
            <w:hideMark/>
          </w:tcPr>
          <w:p w14:paraId="1A4FC864"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Southern Great Plains</w:t>
            </w:r>
          </w:p>
        </w:tc>
        <w:tc>
          <w:tcPr>
            <w:tcW w:w="0" w:type="auto"/>
            <w:tcBorders>
              <w:top w:val="nil"/>
              <w:left w:val="nil"/>
              <w:right w:val="nil"/>
            </w:tcBorders>
            <w:shd w:val="clear" w:color="auto" w:fill="auto"/>
            <w:noWrap/>
            <w:vAlign w:val="bottom"/>
            <w:hideMark/>
          </w:tcPr>
          <w:p w14:paraId="01C760C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3-7.0</w:t>
            </w:r>
          </w:p>
        </w:tc>
        <w:tc>
          <w:tcPr>
            <w:tcW w:w="0" w:type="auto"/>
            <w:tcBorders>
              <w:top w:val="nil"/>
              <w:left w:val="nil"/>
              <w:right w:val="nil"/>
            </w:tcBorders>
            <w:shd w:val="clear" w:color="auto" w:fill="auto"/>
            <w:noWrap/>
            <w:vAlign w:val="bottom"/>
            <w:hideMark/>
          </w:tcPr>
          <w:p w14:paraId="58D93BF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-6.3</w:t>
            </w:r>
          </w:p>
        </w:tc>
        <w:tc>
          <w:tcPr>
            <w:tcW w:w="0" w:type="auto"/>
            <w:tcBorders>
              <w:top w:val="nil"/>
              <w:left w:val="nil"/>
              <w:right w:val="nil"/>
            </w:tcBorders>
            <w:shd w:val="clear" w:color="auto" w:fill="auto"/>
            <w:noWrap/>
            <w:vAlign w:val="bottom"/>
            <w:hideMark/>
          </w:tcPr>
          <w:p w14:paraId="20DF368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2.8</w:t>
            </w:r>
          </w:p>
        </w:tc>
        <w:tc>
          <w:tcPr>
            <w:tcW w:w="0" w:type="auto"/>
            <w:tcBorders>
              <w:top w:val="nil"/>
              <w:left w:val="nil"/>
              <w:right w:val="nil"/>
            </w:tcBorders>
            <w:shd w:val="clear" w:color="auto" w:fill="auto"/>
            <w:noWrap/>
            <w:vAlign w:val="bottom"/>
            <w:hideMark/>
          </w:tcPr>
          <w:p w14:paraId="2E3A91F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7.1</w:t>
            </w:r>
          </w:p>
        </w:tc>
        <w:tc>
          <w:tcPr>
            <w:tcW w:w="0" w:type="auto"/>
            <w:tcBorders>
              <w:top w:val="nil"/>
              <w:left w:val="nil"/>
              <w:right w:val="nil"/>
            </w:tcBorders>
            <w:shd w:val="clear" w:color="auto" w:fill="auto"/>
            <w:noWrap/>
            <w:vAlign w:val="bottom"/>
            <w:hideMark/>
          </w:tcPr>
          <w:p w14:paraId="17FE4C75"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11.7</w:t>
            </w:r>
          </w:p>
        </w:tc>
        <w:tc>
          <w:tcPr>
            <w:tcW w:w="0" w:type="auto"/>
            <w:tcBorders>
              <w:top w:val="nil"/>
              <w:left w:val="nil"/>
              <w:right w:val="nil"/>
            </w:tcBorders>
            <w:shd w:val="clear" w:color="auto" w:fill="auto"/>
            <w:noWrap/>
            <w:vAlign w:val="bottom"/>
            <w:hideMark/>
          </w:tcPr>
          <w:p w14:paraId="11C7DFE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39.6</w:t>
            </w:r>
          </w:p>
        </w:tc>
      </w:tr>
      <w:tr w:rsidR="0026231E" w:rsidRPr="005C116D" w14:paraId="0B9F33DF" w14:textId="77777777" w:rsidTr="005C116D">
        <w:trPr>
          <w:trHeight w:val="320"/>
        </w:trPr>
        <w:tc>
          <w:tcPr>
            <w:tcW w:w="0" w:type="auto"/>
            <w:tcBorders>
              <w:top w:val="nil"/>
              <w:left w:val="nil"/>
              <w:bottom w:val="single" w:sz="4" w:space="0" w:color="auto"/>
              <w:right w:val="nil"/>
            </w:tcBorders>
            <w:shd w:val="clear" w:color="auto" w:fill="auto"/>
            <w:noWrap/>
            <w:vAlign w:val="bottom"/>
            <w:hideMark/>
          </w:tcPr>
          <w:p w14:paraId="0A9E485D"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Southwest</w:t>
            </w:r>
          </w:p>
        </w:tc>
        <w:tc>
          <w:tcPr>
            <w:tcW w:w="0" w:type="auto"/>
            <w:tcBorders>
              <w:top w:val="nil"/>
              <w:left w:val="nil"/>
              <w:bottom w:val="single" w:sz="4" w:space="0" w:color="auto"/>
              <w:right w:val="nil"/>
            </w:tcBorders>
            <w:shd w:val="clear" w:color="auto" w:fill="auto"/>
            <w:noWrap/>
            <w:vAlign w:val="bottom"/>
            <w:hideMark/>
          </w:tcPr>
          <w:p w14:paraId="754AC0FE"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3-7.0</w:t>
            </w:r>
          </w:p>
        </w:tc>
        <w:tc>
          <w:tcPr>
            <w:tcW w:w="0" w:type="auto"/>
            <w:tcBorders>
              <w:top w:val="nil"/>
              <w:left w:val="nil"/>
              <w:bottom w:val="single" w:sz="4" w:space="0" w:color="auto"/>
              <w:right w:val="nil"/>
            </w:tcBorders>
            <w:shd w:val="clear" w:color="auto" w:fill="auto"/>
            <w:noWrap/>
            <w:vAlign w:val="bottom"/>
            <w:hideMark/>
          </w:tcPr>
          <w:p w14:paraId="4FDACCBB"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-6.2</w:t>
            </w:r>
          </w:p>
        </w:tc>
        <w:tc>
          <w:tcPr>
            <w:tcW w:w="0" w:type="auto"/>
            <w:tcBorders>
              <w:top w:val="nil"/>
              <w:left w:val="nil"/>
              <w:bottom w:val="single" w:sz="4" w:space="0" w:color="auto"/>
              <w:right w:val="nil"/>
            </w:tcBorders>
            <w:shd w:val="clear" w:color="auto" w:fill="auto"/>
            <w:noWrap/>
            <w:vAlign w:val="bottom"/>
            <w:hideMark/>
          </w:tcPr>
          <w:p w14:paraId="17ECF089"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1.5</w:t>
            </w:r>
          </w:p>
        </w:tc>
        <w:tc>
          <w:tcPr>
            <w:tcW w:w="0" w:type="auto"/>
            <w:tcBorders>
              <w:top w:val="nil"/>
              <w:left w:val="nil"/>
              <w:bottom w:val="single" w:sz="4" w:space="0" w:color="auto"/>
              <w:right w:val="nil"/>
            </w:tcBorders>
            <w:shd w:val="clear" w:color="auto" w:fill="auto"/>
            <w:noWrap/>
            <w:vAlign w:val="bottom"/>
            <w:hideMark/>
          </w:tcPr>
          <w:p w14:paraId="77D47FF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5.9</w:t>
            </w:r>
          </w:p>
        </w:tc>
        <w:tc>
          <w:tcPr>
            <w:tcW w:w="0" w:type="auto"/>
            <w:tcBorders>
              <w:top w:val="nil"/>
              <w:left w:val="nil"/>
              <w:bottom w:val="single" w:sz="4" w:space="0" w:color="auto"/>
              <w:right w:val="nil"/>
            </w:tcBorders>
            <w:shd w:val="clear" w:color="auto" w:fill="auto"/>
            <w:noWrap/>
            <w:vAlign w:val="bottom"/>
            <w:hideMark/>
          </w:tcPr>
          <w:p w14:paraId="2E3F5DB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10.3</w:t>
            </w:r>
          </w:p>
        </w:tc>
        <w:tc>
          <w:tcPr>
            <w:tcW w:w="0" w:type="auto"/>
            <w:tcBorders>
              <w:top w:val="nil"/>
              <w:left w:val="nil"/>
              <w:bottom w:val="single" w:sz="4" w:space="0" w:color="auto"/>
              <w:right w:val="nil"/>
            </w:tcBorders>
            <w:shd w:val="clear" w:color="auto" w:fill="auto"/>
            <w:noWrap/>
            <w:vAlign w:val="bottom"/>
            <w:hideMark/>
          </w:tcPr>
          <w:p w14:paraId="4FFBD82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24.0</w:t>
            </w:r>
          </w:p>
        </w:tc>
      </w:tr>
      <w:tr w:rsidR="0026231E" w:rsidRPr="005C116D" w14:paraId="081E83B6" w14:textId="77777777" w:rsidTr="005C116D">
        <w:trPr>
          <w:trHeight w:val="320"/>
        </w:trPr>
        <w:tc>
          <w:tcPr>
            <w:tcW w:w="0" w:type="auto"/>
            <w:tcBorders>
              <w:top w:val="single" w:sz="4" w:space="0" w:color="auto"/>
              <w:left w:val="nil"/>
              <w:bottom w:val="nil"/>
              <w:right w:val="nil"/>
            </w:tcBorders>
            <w:shd w:val="clear" w:color="auto" w:fill="auto"/>
            <w:noWrap/>
            <w:vAlign w:val="bottom"/>
            <w:hideMark/>
          </w:tcPr>
          <w:p w14:paraId="7595A93B"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Midwest</w:t>
            </w:r>
          </w:p>
        </w:tc>
        <w:tc>
          <w:tcPr>
            <w:tcW w:w="0" w:type="auto"/>
            <w:tcBorders>
              <w:top w:val="single" w:sz="4" w:space="0" w:color="auto"/>
              <w:left w:val="nil"/>
              <w:bottom w:val="nil"/>
              <w:right w:val="nil"/>
            </w:tcBorders>
            <w:shd w:val="clear" w:color="auto" w:fill="auto"/>
            <w:noWrap/>
            <w:vAlign w:val="bottom"/>
            <w:hideMark/>
          </w:tcPr>
          <w:p w14:paraId="098A379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5-8.5</w:t>
            </w:r>
          </w:p>
        </w:tc>
        <w:tc>
          <w:tcPr>
            <w:tcW w:w="0" w:type="auto"/>
            <w:tcBorders>
              <w:top w:val="single" w:sz="4" w:space="0" w:color="auto"/>
              <w:left w:val="nil"/>
              <w:bottom w:val="nil"/>
              <w:right w:val="nil"/>
            </w:tcBorders>
            <w:shd w:val="clear" w:color="auto" w:fill="auto"/>
            <w:noWrap/>
            <w:vAlign w:val="bottom"/>
            <w:hideMark/>
          </w:tcPr>
          <w:p w14:paraId="1684738E"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-10.8</w:t>
            </w:r>
          </w:p>
        </w:tc>
        <w:tc>
          <w:tcPr>
            <w:tcW w:w="0" w:type="auto"/>
            <w:tcBorders>
              <w:top w:val="single" w:sz="4" w:space="0" w:color="auto"/>
              <w:left w:val="nil"/>
              <w:bottom w:val="nil"/>
              <w:right w:val="nil"/>
            </w:tcBorders>
            <w:shd w:val="clear" w:color="auto" w:fill="auto"/>
            <w:noWrap/>
            <w:vAlign w:val="bottom"/>
            <w:hideMark/>
          </w:tcPr>
          <w:p w14:paraId="7251C92D"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2.5</w:t>
            </w:r>
          </w:p>
        </w:tc>
        <w:tc>
          <w:tcPr>
            <w:tcW w:w="0" w:type="auto"/>
            <w:tcBorders>
              <w:top w:val="single" w:sz="4" w:space="0" w:color="auto"/>
              <w:left w:val="nil"/>
              <w:bottom w:val="nil"/>
              <w:right w:val="nil"/>
            </w:tcBorders>
            <w:shd w:val="clear" w:color="auto" w:fill="auto"/>
            <w:noWrap/>
            <w:vAlign w:val="bottom"/>
            <w:hideMark/>
          </w:tcPr>
          <w:p w14:paraId="469FC53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7.7</w:t>
            </w:r>
          </w:p>
        </w:tc>
        <w:tc>
          <w:tcPr>
            <w:tcW w:w="0" w:type="auto"/>
            <w:tcBorders>
              <w:top w:val="single" w:sz="4" w:space="0" w:color="auto"/>
              <w:left w:val="nil"/>
              <w:bottom w:val="nil"/>
              <w:right w:val="nil"/>
            </w:tcBorders>
            <w:shd w:val="clear" w:color="auto" w:fill="auto"/>
            <w:noWrap/>
            <w:vAlign w:val="bottom"/>
            <w:hideMark/>
          </w:tcPr>
          <w:p w14:paraId="7A5D071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15.3</w:t>
            </w:r>
          </w:p>
        </w:tc>
        <w:tc>
          <w:tcPr>
            <w:tcW w:w="0" w:type="auto"/>
            <w:tcBorders>
              <w:top w:val="single" w:sz="4" w:space="0" w:color="auto"/>
              <w:left w:val="nil"/>
              <w:bottom w:val="nil"/>
              <w:right w:val="nil"/>
            </w:tcBorders>
            <w:shd w:val="clear" w:color="auto" w:fill="auto"/>
            <w:noWrap/>
            <w:vAlign w:val="bottom"/>
            <w:hideMark/>
          </w:tcPr>
          <w:p w14:paraId="5DE7290B"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46.9</w:t>
            </w:r>
          </w:p>
        </w:tc>
      </w:tr>
      <w:tr w:rsidR="0026231E" w:rsidRPr="005C116D" w14:paraId="5C2493B7" w14:textId="77777777" w:rsidTr="005C116D">
        <w:trPr>
          <w:trHeight w:val="320"/>
        </w:trPr>
        <w:tc>
          <w:tcPr>
            <w:tcW w:w="0" w:type="auto"/>
            <w:tcBorders>
              <w:top w:val="nil"/>
              <w:left w:val="nil"/>
              <w:bottom w:val="nil"/>
              <w:right w:val="nil"/>
            </w:tcBorders>
            <w:shd w:val="clear" w:color="auto" w:fill="auto"/>
            <w:noWrap/>
            <w:vAlign w:val="bottom"/>
            <w:hideMark/>
          </w:tcPr>
          <w:p w14:paraId="15AF8222"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New England</w:t>
            </w:r>
          </w:p>
        </w:tc>
        <w:tc>
          <w:tcPr>
            <w:tcW w:w="0" w:type="auto"/>
            <w:tcBorders>
              <w:top w:val="nil"/>
              <w:left w:val="nil"/>
              <w:bottom w:val="nil"/>
              <w:right w:val="nil"/>
            </w:tcBorders>
            <w:shd w:val="clear" w:color="auto" w:fill="auto"/>
            <w:noWrap/>
            <w:vAlign w:val="bottom"/>
            <w:hideMark/>
          </w:tcPr>
          <w:p w14:paraId="092021DB"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5-8.5</w:t>
            </w:r>
          </w:p>
        </w:tc>
        <w:tc>
          <w:tcPr>
            <w:tcW w:w="0" w:type="auto"/>
            <w:tcBorders>
              <w:top w:val="nil"/>
              <w:left w:val="nil"/>
              <w:bottom w:val="nil"/>
              <w:right w:val="nil"/>
            </w:tcBorders>
            <w:shd w:val="clear" w:color="auto" w:fill="auto"/>
            <w:noWrap/>
            <w:vAlign w:val="bottom"/>
            <w:hideMark/>
          </w:tcPr>
          <w:p w14:paraId="30BF775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-7.8</w:t>
            </w:r>
          </w:p>
        </w:tc>
        <w:tc>
          <w:tcPr>
            <w:tcW w:w="0" w:type="auto"/>
            <w:tcBorders>
              <w:top w:val="nil"/>
              <w:left w:val="nil"/>
              <w:bottom w:val="nil"/>
              <w:right w:val="nil"/>
            </w:tcBorders>
            <w:shd w:val="clear" w:color="auto" w:fill="auto"/>
            <w:noWrap/>
            <w:vAlign w:val="bottom"/>
            <w:hideMark/>
          </w:tcPr>
          <w:p w14:paraId="3C51576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3.1</w:t>
            </w:r>
          </w:p>
        </w:tc>
        <w:tc>
          <w:tcPr>
            <w:tcW w:w="0" w:type="auto"/>
            <w:tcBorders>
              <w:top w:val="nil"/>
              <w:left w:val="nil"/>
              <w:bottom w:val="nil"/>
              <w:right w:val="nil"/>
            </w:tcBorders>
            <w:shd w:val="clear" w:color="auto" w:fill="auto"/>
            <w:noWrap/>
            <w:vAlign w:val="bottom"/>
            <w:hideMark/>
          </w:tcPr>
          <w:p w14:paraId="17942494"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10.3</w:t>
            </w:r>
          </w:p>
        </w:tc>
        <w:tc>
          <w:tcPr>
            <w:tcW w:w="0" w:type="auto"/>
            <w:tcBorders>
              <w:top w:val="nil"/>
              <w:left w:val="nil"/>
              <w:bottom w:val="nil"/>
              <w:right w:val="nil"/>
            </w:tcBorders>
            <w:shd w:val="clear" w:color="auto" w:fill="auto"/>
            <w:noWrap/>
            <w:vAlign w:val="bottom"/>
            <w:hideMark/>
          </w:tcPr>
          <w:p w14:paraId="294C00C8"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16.7</w:t>
            </w:r>
          </w:p>
        </w:tc>
        <w:tc>
          <w:tcPr>
            <w:tcW w:w="0" w:type="auto"/>
            <w:tcBorders>
              <w:top w:val="nil"/>
              <w:left w:val="nil"/>
              <w:bottom w:val="nil"/>
              <w:right w:val="nil"/>
            </w:tcBorders>
            <w:shd w:val="clear" w:color="auto" w:fill="auto"/>
            <w:noWrap/>
            <w:vAlign w:val="bottom"/>
            <w:hideMark/>
          </w:tcPr>
          <w:p w14:paraId="63C6C947"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41.4</w:t>
            </w:r>
          </w:p>
        </w:tc>
      </w:tr>
      <w:tr w:rsidR="0026231E" w:rsidRPr="005C116D" w14:paraId="5689B520" w14:textId="77777777" w:rsidTr="005C116D">
        <w:trPr>
          <w:trHeight w:val="320"/>
        </w:trPr>
        <w:tc>
          <w:tcPr>
            <w:tcW w:w="0" w:type="auto"/>
            <w:tcBorders>
              <w:top w:val="nil"/>
              <w:left w:val="nil"/>
              <w:bottom w:val="nil"/>
              <w:right w:val="nil"/>
            </w:tcBorders>
            <w:shd w:val="clear" w:color="auto" w:fill="auto"/>
            <w:noWrap/>
            <w:vAlign w:val="bottom"/>
            <w:hideMark/>
          </w:tcPr>
          <w:p w14:paraId="0243B50B"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Northern Great Plains</w:t>
            </w:r>
          </w:p>
        </w:tc>
        <w:tc>
          <w:tcPr>
            <w:tcW w:w="0" w:type="auto"/>
            <w:tcBorders>
              <w:top w:val="nil"/>
              <w:left w:val="nil"/>
              <w:bottom w:val="nil"/>
              <w:right w:val="nil"/>
            </w:tcBorders>
            <w:shd w:val="clear" w:color="auto" w:fill="auto"/>
            <w:noWrap/>
            <w:vAlign w:val="bottom"/>
            <w:hideMark/>
          </w:tcPr>
          <w:p w14:paraId="7A85072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5-8.5</w:t>
            </w:r>
          </w:p>
        </w:tc>
        <w:tc>
          <w:tcPr>
            <w:tcW w:w="0" w:type="auto"/>
            <w:tcBorders>
              <w:top w:val="nil"/>
              <w:left w:val="nil"/>
              <w:bottom w:val="nil"/>
              <w:right w:val="nil"/>
            </w:tcBorders>
            <w:shd w:val="clear" w:color="auto" w:fill="auto"/>
            <w:noWrap/>
            <w:vAlign w:val="bottom"/>
            <w:hideMark/>
          </w:tcPr>
          <w:p w14:paraId="5C6FC6F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-7.8</w:t>
            </w:r>
          </w:p>
        </w:tc>
        <w:tc>
          <w:tcPr>
            <w:tcW w:w="0" w:type="auto"/>
            <w:tcBorders>
              <w:top w:val="nil"/>
              <w:left w:val="nil"/>
              <w:bottom w:val="nil"/>
              <w:right w:val="nil"/>
            </w:tcBorders>
            <w:shd w:val="clear" w:color="auto" w:fill="auto"/>
            <w:noWrap/>
            <w:vAlign w:val="bottom"/>
            <w:hideMark/>
          </w:tcPr>
          <w:p w14:paraId="47320A04"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1.6</w:t>
            </w:r>
          </w:p>
        </w:tc>
        <w:tc>
          <w:tcPr>
            <w:tcW w:w="0" w:type="auto"/>
            <w:tcBorders>
              <w:top w:val="nil"/>
              <w:left w:val="nil"/>
              <w:bottom w:val="nil"/>
              <w:right w:val="nil"/>
            </w:tcBorders>
            <w:shd w:val="clear" w:color="auto" w:fill="auto"/>
            <w:noWrap/>
            <w:vAlign w:val="bottom"/>
            <w:hideMark/>
          </w:tcPr>
          <w:p w14:paraId="65B70C1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6.1</w:t>
            </w:r>
          </w:p>
        </w:tc>
        <w:tc>
          <w:tcPr>
            <w:tcW w:w="0" w:type="auto"/>
            <w:tcBorders>
              <w:top w:val="nil"/>
              <w:left w:val="nil"/>
              <w:bottom w:val="nil"/>
              <w:right w:val="nil"/>
            </w:tcBorders>
            <w:shd w:val="clear" w:color="auto" w:fill="auto"/>
            <w:noWrap/>
            <w:vAlign w:val="bottom"/>
            <w:hideMark/>
          </w:tcPr>
          <w:p w14:paraId="3A571FD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11.6</w:t>
            </w:r>
          </w:p>
        </w:tc>
        <w:tc>
          <w:tcPr>
            <w:tcW w:w="0" w:type="auto"/>
            <w:tcBorders>
              <w:top w:val="nil"/>
              <w:left w:val="nil"/>
              <w:bottom w:val="nil"/>
              <w:right w:val="nil"/>
            </w:tcBorders>
            <w:shd w:val="clear" w:color="auto" w:fill="auto"/>
            <w:noWrap/>
            <w:vAlign w:val="bottom"/>
            <w:hideMark/>
          </w:tcPr>
          <w:p w14:paraId="3B6CC33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39.9</w:t>
            </w:r>
          </w:p>
        </w:tc>
      </w:tr>
      <w:tr w:rsidR="0026231E" w:rsidRPr="005C116D" w14:paraId="32483926" w14:textId="77777777" w:rsidTr="005C116D">
        <w:trPr>
          <w:trHeight w:val="320"/>
        </w:trPr>
        <w:tc>
          <w:tcPr>
            <w:tcW w:w="0" w:type="auto"/>
            <w:tcBorders>
              <w:top w:val="nil"/>
              <w:left w:val="nil"/>
              <w:bottom w:val="nil"/>
              <w:right w:val="nil"/>
            </w:tcBorders>
            <w:shd w:val="clear" w:color="auto" w:fill="auto"/>
            <w:noWrap/>
            <w:vAlign w:val="bottom"/>
            <w:hideMark/>
          </w:tcPr>
          <w:p w14:paraId="7BF6638A"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Northwest</w:t>
            </w:r>
          </w:p>
        </w:tc>
        <w:tc>
          <w:tcPr>
            <w:tcW w:w="0" w:type="auto"/>
            <w:tcBorders>
              <w:top w:val="nil"/>
              <w:left w:val="nil"/>
              <w:bottom w:val="nil"/>
              <w:right w:val="nil"/>
            </w:tcBorders>
            <w:shd w:val="clear" w:color="auto" w:fill="auto"/>
            <w:noWrap/>
            <w:vAlign w:val="bottom"/>
            <w:hideMark/>
          </w:tcPr>
          <w:p w14:paraId="365599F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5-8.5</w:t>
            </w:r>
          </w:p>
        </w:tc>
        <w:tc>
          <w:tcPr>
            <w:tcW w:w="0" w:type="auto"/>
            <w:tcBorders>
              <w:top w:val="nil"/>
              <w:left w:val="nil"/>
              <w:bottom w:val="nil"/>
              <w:right w:val="nil"/>
            </w:tcBorders>
            <w:shd w:val="clear" w:color="auto" w:fill="auto"/>
            <w:noWrap/>
            <w:vAlign w:val="bottom"/>
            <w:hideMark/>
          </w:tcPr>
          <w:p w14:paraId="0CFFB9A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-11.6</w:t>
            </w:r>
          </w:p>
        </w:tc>
        <w:tc>
          <w:tcPr>
            <w:tcW w:w="0" w:type="auto"/>
            <w:tcBorders>
              <w:top w:val="nil"/>
              <w:left w:val="nil"/>
              <w:bottom w:val="nil"/>
              <w:right w:val="nil"/>
            </w:tcBorders>
            <w:shd w:val="clear" w:color="auto" w:fill="auto"/>
            <w:noWrap/>
            <w:vAlign w:val="bottom"/>
            <w:hideMark/>
          </w:tcPr>
          <w:p w14:paraId="4981DBE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2.0</w:t>
            </w:r>
          </w:p>
        </w:tc>
        <w:tc>
          <w:tcPr>
            <w:tcW w:w="0" w:type="auto"/>
            <w:tcBorders>
              <w:top w:val="nil"/>
              <w:left w:val="nil"/>
              <w:bottom w:val="nil"/>
              <w:right w:val="nil"/>
            </w:tcBorders>
            <w:shd w:val="clear" w:color="auto" w:fill="auto"/>
            <w:noWrap/>
            <w:vAlign w:val="bottom"/>
            <w:hideMark/>
          </w:tcPr>
          <w:p w14:paraId="15DD715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7.9</w:t>
            </w:r>
          </w:p>
        </w:tc>
        <w:tc>
          <w:tcPr>
            <w:tcW w:w="0" w:type="auto"/>
            <w:tcBorders>
              <w:top w:val="nil"/>
              <w:left w:val="nil"/>
              <w:bottom w:val="nil"/>
              <w:right w:val="nil"/>
            </w:tcBorders>
            <w:shd w:val="clear" w:color="auto" w:fill="auto"/>
            <w:noWrap/>
            <w:vAlign w:val="bottom"/>
            <w:hideMark/>
          </w:tcPr>
          <w:p w14:paraId="6B52540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12.7</w:t>
            </w:r>
          </w:p>
        </w:tc>
        <w:tc>
          <w:tcPr>
            <w:tcW w:w="0" w:type="auto"/>
            <w:tcBorders>
              <w:top w:val="nil"/>
              <w:left w:val="nil"/>
              <w:bottom w:val="nil"/>
              <w:right w:val="nil"/>
            </w:tcBorders>
            <w:shd w:val="clear" w:color="auto" w:fill="auto"/>
            <w:noWrap/>
            <w:vAlign w:val="bottom"/>
            <w:hideMark/>
          </w:tcPr>
          <w:p w14:paraId="506E4B3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41.9</w:t>
            </w:r>
          </w:p>
        </w:tc>
      </w:tr>
      <w:tr w:rsidR="0026231E" w:rsidRPr="005C116D" w14:paraId="0419168F" w14:textId="77777777" w:rsidTr="005C116D">
        <w:trPr>
          <w:trHeight w:val="320"/>
        </w:trPr>
        <w:tc>
          <w:tcPr>
            <w:tcW w:w="0" w:type="auto"/>
            <w:tcBorders>
              <w:top w:val="nil"/>
              <w:left w:val="nil"/>
              <w:bottom w:val="nil"/>
              <w:right w:val="nil"/>
            </w:tcBorders>
            <w:shd w:val="clear" w:color="auto" w:fill="auto"/>
            <w:noWrap/>
            <w:vAlign w:val="bottom"/>
            <w:hideMark/>
          </w:tcPr>
          <w:p w14:paraId="17C53B2D"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Southeast</w:t>
            </w:r>
          </w:p>
        </w:tc>
        <w:tc>
          <w:tcPr>
            <w:tcW w:w="0" w:type="auto"/>
            <w:tcBorders>
              <w:top w:val="nil"/>
              <w:left w:val="nil"/>
              <w:bottom w:val="nil"/>
              <w:right w:val="nil"/>
            </w:tcBorders>
            <w:shd w:val="clear" w:color="auto" w:fill="auto"/>
            <w:noWrap/>
            <w:vAlign w:val="bottom"/>
            <w:hideMark/>
          </w:tcPr>
          <w:p w14:paraId="047BF50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5-8.5</w:t>
            </w:r>
          </w:p>
        </w:tc>
        <w:tc>
          <w:tcPr>
            <w:tcW w:w="0" w:type="auto"/>
            <w:tcBorders>
              <w:top w:val="nil"/>
              <w:left w:val="nil"/>
              <w:bottom w:val="nil"/>
              <w:right w:val="nil"/>
            </w:tcBorders>
            <w:shd w:val="clear" w:color="auto" w:fill="auto"/>
            <w:noWrap/>
            <w:vAlign w:val="bottom"/>
            <w:hideMark/>
          </w:tcPr>
          <w:p w14:paraId="2274ED69"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-11.3</w:t>
            </w:r>
          </w:p>
        </w:tc>
        <w:tc>
          <w:tcPr>
            <w:tcW w:w="0" w:type="auto"/>
            <w:tcBorders>
              <w:top w:val="nil"/>
              <w:left w:val="nil"/>
              <w:bottom w:val="nil"/>
              <w:right w:val="nil"/>
            </w:tcBorders>
            <w:shd w:val="clear" w:color="auto" w:fill="auto"/>
            <w:noWrap/>
            <w:vAlign w:val="bottom"/>
            <w:hideMark/>
          </w:tcPr>
          <w:p w14:paraId="7AC48805"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1.8</w:t>
            </w:r>
          </w:p>
        </w:tc>
        <w:tc>
          <w:tcPr>
            <w:tcW w:w="0" w:type="auto"/>
            <w:tcBorders>
              <w:top w:val="nil"/>
              <w:left w:val="nil"/>
              <w:bottom w:val="nil"/>
              <w:right w:val="nil"/>
            </w:tcBorders>
            <w:shd w:val="clear" w:color="auto" w:fill="auto"/>
            <w:noWrap/>
            <w:vAlign w:val="bottom"/>
            <w:hideMark/>
          </w:tcPr>
          <w:p w14:paraId="60A30E77"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6.8</w:t>
            </w:r>
          </w:p>
        </w:tc>
        <w:tc>
          <w:tcPr>
            <w:tcW w:w="0" w:type="auto"/>
            <w:tcBorders>
              <w:top w:val="nil"/>
              <w:left w:val="nil"/>
              <w:bottom w:val="nil"/>
              <w:right w:val="nil"/>
            </w:tcBorders>
            <w:shd w:val="clear" w:color="auto" w:fill="auto"/>
            <w:noWrap/>
            <w:vAlign w:val="bottom"/>
            <w:hideMark/>
          </w:tcPr>
          <w:p w14:paraId="6A6EE59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15.3</w:t>
            </w:r>
          </w:p>
        </w:tc>
        <w:tc>
          <w:tcPr>
            <w:tcW w:w="0" w:type="auto"/>
            <w:tcBorders>
              <w:top w:val="nil"/>
              <w:left w:val="nil"/>
              <w:bottom w:val="nil"/>
              <w:right w:val="nil"/>
            </w:tcBorders>
            <w:shd w:val="clear" w:color="auto" w:fill="auto"/>
            <w:noWrap/>
            <w:vAlign w:val="bottom"/>
            <w:hideMark/>
          </w:tcPr>
          <w:p w14:paraId="3B6A9D16"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61.1</w:t>
            </w:r>
          </w:p>
        </w:tc>
      </w:tr>
      <w:tr w:rsidR="0026231E" w:rsidRPr="005C116D" w14:paraId="33B164C4" w14:textId="77777777" w:rsidTr="005C116D">
        <w:trPr>
          <w:trHeight w:val="320"/>
        </w:trPr>
        <w:tc>
          <w:tcPr>
            <w:tcW w:w="0" w:type="auto"/>
            <w:tcBorders>
              <w:top w:val="nil"/>
              <w:left w:val="nil"/>
              <w:right w:val="nil"/>
            </w:tcBorders>
            <w:shd w:val="clear" w:color="auto" w:fill="auto"/>
            <w:noWrap/>
            <w:vAlign w:val="bottom"/>
            <w:hideMark/>
          </w:tcPr>
          <w:p w14:paraId="51831CF4"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Southern Great Plains</w:t>
            </w:r>
          </w:p>
        </w:tc>
        <w:tc>
          <w:tcPr>
            <w:tcW w:w="0" w:type="auto"/>
            <w:tcBorders>
              <w:top w:val="nil"/>
              <w:left w:val="nil"/>
              <w:right w:val="nil"/>
            </w:tcBorders>
            <w:shd w:val="clear" w:color="auto" w:fill="auto"/>
            <w:noWrap/>
            <w:vAlign w:val="bottom"/>
            <w:hideMark/>
          </w:tcPr>
          <w:p w14:paraId="2DFA8E8A"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5-8.5</w:t>
            </w:r>
          </w:p>
        </w:tc>
        <w:tc>
          <w:tcPr>
            <w:tcW w:w="0" w:type="auto"/>
            <w:tcBorders>
              <w:top w:val="nil"/>
              <w:left w:val="nil"/>
              <w:right w:val="nil"/>
            </w:tcBorders>
            <w:shd w:val="clear" w:color="auto" w:fill="auto"/>
            <w:noWrap/>
            <w:vAlign w:val="bottom"/>
            <w:hideMark/>
          </w:tcPr>
          <w:p w14:paraId="003B0C11"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-7.2</w:t>
            </w:r>
          </w:p>
        </w:tc>
        <w:tc>
          <w:tcPr>
            <w:tcW w:w="0" w:type="auto"/>
            <w:tcBorders>
              <w:top w:val="nil"/>
              <w:left w:val="nil"/>
              <w:right w:val="nil"/>
            </w:tcBorders>
            <w:shd w:val="clear" w:color="auto" w:fill="auto"/>
            <w:noWrap/>
            <w:vAlign w:val="bottom"/>
            <w:hideMark/>
          </w:tcPr>
          <w:p w14:paraId="744AAA09"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3.3</w:t>
            </w:r>
          </w:p>
        </w:tc>
        <w:tc>
          <w:tcPr>
            <w:tcW w:w="0" w:type="auto"/>
            <w:tcBorders>
              <w:top w:val="nil"/>
              <w:left w:val="nil"/>
              <w:right w:val="nil"/>
            </w:tcBorders>
            <w:shd w:val="clear" w:color="auto" w:fill="auto"/>
            <w:noWrap/>
            <w:vAlign w:val="bottom"/>
            <w:hideMark/>
          </w:tcPr>
          <w:p w14:paraId="6F6A0E8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8.6</w:t>
            </w:r>
          </w:p>
        </w:tc>
        <w:tc>
          <w:tcPr>
            <w:tcW w:w="0" w:type="auto"/>
            <w:tcBorders>
              <w:top w:val="nil"/>
              <w:left w:val="nil"/>
              <w:right w:val="nil"/>
            </w:tcBorders>
            <w:shd w:val="clear" w:color="auto" w:fill="auto"/>
            <w:noWrap/>
            <w:vAlign w:val="bottom"/>
            <w:hideMark/>
          </w:tcPr>
          <w:p w14:paraId="52BB876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14.6</w:t>
            </w:r>
          </w:p>
        </w:tc>
        <w:tc>
          <w:tcPr>
            <w:tcW w:w="0" w:type="auto"/>
            <w:tcBorders>
              <w:top w:val="nil"/>
              <w:left w:val="nil"/>
              <w:right w:val="nil"/>
            </w:tcBorders>
            <w:shd w:val="clear" w:color="auto" w:fill="auto"/>
            <w:noWrap/>
            <w:vAlign w:val="bottom"/>
            <w:hideMark/>
          </w:tcPr>
          <w:p w14:paraId="7F45CC09"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53.3</w:t>
            </w:r>
          </w:p>
        </w:tc>
      </w:tr>
      <w:tr w:rsidR="0026231E" w:rsidRPr="005C116D" w14:paraId="70E8909A" w14:textId="77777777" w:rsidTr="005C116D">
        <w:trPr>
          <w:trHeight w:val="320"/>
        </w:trPr>
        <w:tc>
          <w:tcPr>
            <w:tcW w:w="0" w:type="auto"/>
            <w:tcBorders>
              <w:top w:val="nil"/>
              <w:left w:val="nil"/>
              <w:bottom w:val="single" w:sz="4" w:space="0" w:color="auto"/>
              <w:right w:val="nil"/>
            </w:tcBorders>
            <w:shd w:val="clear" w:color="auto" w:fill="auto"/>
            <w:noWrap/>
            <w:vAlign w:val="bottom"/>
            <w:hideMark/>
          </w:tcPr>
          <w:p w14:paraId="37737178" w14:textId="77777777" w:rsidR="0026231E" w:rsidRPr="005C116D" w:rsidRDefault="0026231E" w:rsidP="00FF10B6">
            <w:pPr>
              <w:tabs>
                <w:tab w:val="clear" w:pos="260"/>
              </w:tabs>
              <w:spacing w:after="0" w:line="240" w:lineRule="auto"/>
              <w:jc w:val="lef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Southwest</w:t>
            </w:r>
          </w:p>
        </w:tc>
        <w:tc>
          <w:tcPr>
            <w:tcW w:w="0" w:type="auto"/>
            <w:tcBorders>
              <w:top w:val="nil"/>
              <w:left w:val="nil"/>
              <w:bottom w:val="single" w:sz="4" w:space="0" w:color="auto"/>
              <w:right w:val="nil"/>
            </w:tcBorders>
            <w:shd w:val="clear" w:color="auto" w:fill="auto"/>
            <w:noWrap/>
            <w:vAlign w:val="bottom"/>
            <w:hideMark/>
          </w:tcPr>
          <w:p w14:paraId="62D4E042"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5-8.5</w:t>
            </w:r>
          </w:p>
        </w:tc>
        <w:tc>
          <w:tcPr>
            <w:tcW w:w="0" w:type="auto"/>
            <w:tcBorders>
              <w:top w:val="nil"/>
              <w:left w:val="nil"/>
              <w:bottom w:val="single" w:sz="4" w:space="0" w:color="auto"/>
              <w:right w:val="nil"/>
            </w:tcBorders>
            <w:shd w:val="clear" w:color="auto" w:fill="auto"/>
            <w:noWrap/>
            <w:vAlign w:val="bottom"/>
            <w:hideMark/>
          </w:tcPr>
          <w:p w14:paraId="1BAC31C0"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-6.9</w:t>
            </w:r>
          </w:p>
        </w:tc>
        <w:tc>
          <w:tcPr>
            <w:tcW w:w="0" w:type="auto"/>
            <w:tcBorders>
              <w:top w:val="nil"/>
              <w:left w:val="nil"/>
              <w:bottom w:val="single" w:sz="4" w:space="0" w:color="auto"/>
              <w:right w:val="nil"/>
            </w:tcBorders>
            <w:shd w:val="clear" w:color="auto" w:fill="auto"/>
            <w:noWrap/>
            <w:vAlign w:val="bottom"/>
            <w:hideMark/>
          </w:tcPr>
          <w:p w14:paraId="37FD4A33"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2.1</w:t>
            </w:r>
          </w:p>
        </w:tc>
        <w:tc>
          <w:tcPr>
            <w:tcW w:w="0" w:type="auto"/>
            <w:tcBorders>
              <w:top w:val="nil"/>
              <w:left w:val="nil"/>
              <w:bottom w:val="single" w:sz="4" w:space="0" w:color="auto"/>
              <w:right w:val="nil"/>
            </w:tcBorders>
            <w:shd w:val="clear" w:color="auto" w:fill="auto"/>
            <w:noWrap/>
            <w:vAlign w:val="bottom"/>
            <w:hideMark/>
          </w:tcPr>
          <w:p w14:paraId="0B1449E4"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7.5</w:t>
            </w:r>
          </w:p>
        </w:tc>
        <w:tc>
          <w:tcPr>
            <w:tcW w:w="0" w:type="auto"/>
            <w:tcBorders>
              <w:top w:val="nil"/>
              <w:left w:val="nil"/>
              <w:bottom w:val="single" w:sz="4" w:space="0" w:color="auto"/>
              <w:right w:val="nil"/>
            </w:tcBorders>
            <w:shd w:val="clear" w:color="auto" w:fill="auto"/>
            <w:noWrap/>
            <w:vAlign w:val="bottom"/>
            <w:hideMark/>
          </w:tcPr>
          <w:p w14:paraId="24636E9F"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13.0</w:t>
            </w:r>
          </w:p>
        </w:tc>
        <w:tc>
          <w:tcPr>
            <w:tcW w:w="0" w:type="auto"/>
            <w:tcBorders>
              <w:top w:val="nil"/>
              <w:left w:val="nil"/>
              <w:bottom w:val="single" w:sz="4" w:space="0" w:color="auto"/>
              <w:right w:val="nil"/>
            </w:tcBorders>
            <w:shd w:val="clear" w:color="auto" w:fill="auto"/>
            <w:noWrap/>
            <w:vAlign w:val="bottom"/>
            <w:hideMark/>
          </w:tcPr>
          <w:p w14:paraId="1597857C" w14:textId="77777777" w:rsidR="0026231E" w:rsidRPr="005C116D" w:rsidRDefault="0026231E" w:rsidP="00FF10B6">
            <w:pPr>
              <w:tabs>
                <w:tab w:val="clear" w:pos="260"/>
              </w:tabs>
              <w:spacing w:after="0" w:line="240" w:lineRule="auto"/>
              <w:jc w:val="right"/>
              <w:rPr>
                <w:rFonts w:ascii="Aptos Narrow" w:eastAsia="Times New Roman" w:hAnsi="Aptos Narrow" w:cs="Times New Roman"/>
                <w:color w:val="000000"/>
                <w:sz w:val="20"/>
                <w:szCs w:val="20"/>
              </w:rPr>
            </w:pPr>
            <w:r w:rsidRPr="005C116D">
              <w:rPr>
                <w:rFonts w:ascii="Aptos Narrow" w:eastAsia="Times New Roman" w:hAnsi="Aptos Narrow" w:cs="Times New Roman"/>
                <w:color w:val="000000"/>
                <w:sz w:val="20"/>
                <w:szCs w:val="20"/>
              </w:rPr>
              <w:t>30.2</w:t>
            </w:r>
          </w:p>
        </w:tc>
      </w:tr>
    </w:tbl>
    <w:p w14:paraId="798B265E" w14:textId="45554712" w:rsidR="0023343F" w:rsidRDefault="0023343F">
      <w:pPr>
        <w:tabs>
          <w:tab w:val="clear" w:pos="260"/>
        </w:tabs>
        <w:spacing w:after="160" w:line="259" w:lineRule="auto"/>
        <w:jc w:val="left"/>
        <w:rPr>
          <w:b/>
          <w:bCs/>
          <w:u w:val="single"/>
        </w:rPr>
      </w:pPr>
      <w:r>
        <w:rPr>
          <w:b/>
          <w:bCs/>
          <w:u w:val="single"/>
        </w:rPr>
        <w:br w:type="page"/>
      </w:r>
    </w:p>
    <w:p w14:paraId="674D2AD5" w14:textId="40B65895" w:rsidR="00BF5C8C" w:rsidRPr="00EA2673" w:rsidRDefault="00BF5C8C" w:rsidP="00BF5C8C">
      <w:r>
        <w:rPr>
          <w:b/>
          <w:bCs/>
          <w:u w:val="single"/>
        </w:rPr>
        <w:lastRenderedPageBreak/>
        <w:t>Table</w:t>
      </w:r>
      <w:r w:rsidRPr="001152FC">
        <w:rPr>
          <w:b/>
          <w:bCs/>
          <w:u w:val="single"/>
        </w:rPr>
        <w:t xml:space="preserve"> S</w:t>
      </w:r>
      <w:r>
        <w:rPr>
          <w:b/>
          <w:bCs/>
          <w:u w:val="single"/>
        </w:rPr>
        <w:t>4</w:t>
      </w:r>
      <w:r w:rsidRPr="00EA2673">
        <w:t xml:space="preserve">. Global climate models (GCMs) used for </w:t>
      </w:r>
      <w:r>
        <w:t xml:space="preserve">modeled mid-century (2040-2051) daily </w:t>
      </w:r>
      <w:r w:rsidR="005C116D">
        <w:t>maximum</w:t>
      </w:r>
      <w:r>
        <w:t xml:space="preserve"> temperatures under </w:t>
      </w:r>
      <w:r w:rsidRPr="00EA2673">
        <w:t>various Shared Socio-Economic Pathways (SSP).</w:t>
      </w:r>
      <w:r>
        <w:t xml:space="preserve"> Not every GCM had outputs for every SSP.</w:t>
      </w:r>
    </w:p>
    <w:tbl>
      <w:tblPr>
        <w:tblW w:w="3280" w:type="pct"/>
        <w:tblCellMar>
          <w:left w:w="70" w:type="dxa"/>
          <w:right w:w="70" w:type="dxa"/>
        </w:tblCellMar>
        <w:tblLook w:val="04A0" w:firstRow="1" w:lastRow="0" w:firstColumn="1" w:lastColumn="0" w:noHBand="0" w:noVBand="1"/>
      </w:tblPr>
      <w:tblGrid>
        <w:gridCol w:w="358"/>
        <w:gridCol w:w="2170"/>
        <w:gridCol w:w="1265"/>
        <w:gridCol w:w="1265"/>
        <w:gridCol w:w="1082"/>
      </w:tblGrid>
      <w:tr w:rsidR="00BF5C8C" w:rsidRPr="00686871" w14:paraId="094ABDB0" w14:textId="77777777" w:rsidTr="00BF5C8C">
        <w:trPr>
          <w:trHeight w:val="144"/>
        </w:trPr>
        <w:tc>
          <w:tcPr>
            <w:tcW w:w="292" w:type="pct"/>
            <w:tcBorders>
              <w:bottom w:val="single" w:sz="4" w:space="0" w:color="auto"/>
            </w:tcBorders>
            <w:vAlign w:val="bottom"/>
          </w:tcPr>
          <w:p w14:paraId="167110F6" w14:textId="77777777" w:rsidR="00BF5C8C" w:rsidRPr="007947DD" w:rsidRDefault="00BF5C8C">
            <w:pPr>
              <w:pStyle w:val="NoSpacing"/>
              <w:rPr>
                <w:b/>
                <w:bCs/>
                <w:sz w:val="18"/>
                <w:szCs w:val="18"/>
                <w:lang w:eastAsia="es-MX"/>
              </w:rPr>
            </w:pPr>
            <w:r w:rsidRPr="007947DD">
              <w:rPr>
                <w:b/>
                <w:bCs/>
                <w:sz w:val="18"/>
                <w:szCs w:val="18"/>
                <w:lang w:eastAsia="es-MX"/>
              </w:rPr>
              <w:t>#</w:t>
            </w:r>
          </w:p>
        </w:tc>
        <w:tc>
          <w:tcPr>
            <w:tcW w:w="1767" w:type="pct"/>
            <w:tcBorders>
              <w:bottom w:val="single" w:sz="4" w:space="0" w:color="auto"/>
            </w:tcBorders>
            <w:shd w:val="clear" w:color="auto" w:fill="auto"/>
            <w:noWrap/>
            <w:vAlign w:val="bottom"/>
            <w:hideMark/>
          </w:tcPr>
          <w:p w14:paraId="0AA47035" w14:textId="77777777" w:rsidR="00BF5C8C" w:rsidRPr="007947DD" w:rsidRDefault="00BF5C8C">
            <w:pPr>
              <w:pStyle w:val="NoSpacing"/>
              <w:rPr>
                <w:b/>
                <w:bCs/>
                <w:sz w:val="18"/>
                <w:szCs w:val="18"/>
                <w:lang w:val="es-US" w:eastAsia="es-MX"/>
              </w:rPr>
            </w:pPr>
            <w:r w:rsidRPr="007947DD">
              <w:rPr>
                <w:b/>
                <w:bCs/>
                <w:sz w:val="18"/>
                <w:szCs w:val="18"/>
                <w:lang w:val="es-US" w:eastAsia="es-MX"/>
              </w:rPr>
              <w:t>GCM</w:t>
            </w:r>
          </w:p>
        </w:tc>
        <w:tc>
          <w:tcPr>
            <w:tcW w:w="1030" w:type="pct"/>
            <w:tcBorders>
              <w:bottom w:val="single" w:sz="4" w:space="0" w:color="auto"/>
            </w:tcBorders>
            <w:shd w:val="clear" w:color="auto" w:fill="auto"/>
            <w:noWrap/>
            <w:vAlign w:val="bottom"/>
            <w:hideMark/>
          </w:tcPr>
          <w:p w14:paraId="617155A1" w14:textId="77777777" w:rsidR="00BF5C8C" w:rsidRPr="007947DD" w:rsidRDefault="00BF5C8C">
            <w:pPr>
              <w:pStyle w:val="NoSpacing"/>
              <w:jc w:val="center"/>
              <w:rPr>
                <w:b/>
                <w:bCs/>
                <w:sz w:val="18"/>
                <w:szCs w:val="18"/>
                <w:lang w:val="es-US" w:eastAsia="es-MX"/>
              </w:rPr>
            </w:pPr>
            <w:r w:rsidRPr="007947DD">
              <w:rPr>
                <w:b/>
                <w:bCs/>
                <w:sz w:val="18"/>
                <w:szCs w:val="18"/>
                <w:lang w:val="es-US" w:eastAsia="es-MX"/>
              </w:rPr>
              <w:t xml:space="preserve">SSP </w:t>
            </w:r>
            <w:r>
              <w:rPr>
                <w:b/>
                <w:bCs/>
                <w:sz w:val="18"/>
                <w:szCs w:val="18"/>
                <w:lang w:val="es-US" w:eastAsia="es-MX"/>
              </w:rPr>
              <w:t>2-4.5</w:t>
            </w:r>
          </w:p>
        </w:tc>
        <w:tc>
          <w:tcPr>
            <w:tcW w:w="1030" w:type="pct"/>
            <w:tcBorders>
              <w:bottom w:val="single" w:sz="4" w:space="0" w:color="auto"/>
            </w:tcBorders>
            <w:shd w:val="clear" w:color="auto" w:fill="auto"/>
            <w:noWrap/>
            <w:vAlign w:val="bottom"/>
            <w:hideMark/>
          </w:tcPr>
          <w:p w14:paraId="53EEDA0D" w14:textId="77777777" w:rsidR="00BF5C8C" w:rsidRPr="007947DD" w:rsidRDefault="00BF5C8C">
            <w:pPr>
              <w:pStyle w:val="NoSpacing"/>
              <w:jc w:val="center"/>
              <w:rPr>
                <w:b/>
                <w:bCs/>
                <w:sz w:val="18"/>
                <w:szCs w:val="18"/>
                <w:lang w:val="es-US" w:eastAsia="es-MX"/>
              </w:rPr>
            </w:pPr>
            <w:r w:rsidRPr="007947DD">
              <w:rPr>
                <w:b/>
                <w:bCs/>
                <w:sz w:val="18"/>
                <w:szCs w:val="18"/>
                <w:lang w:val="es-US" w:eastAsia="es-MX"/>
              </w:rPr>
              <w:t xml:space="preserve">SSP </w:t>
            </w:r>
            <w:r>
              <w:rPr>
                <w:b/>
                <w:bCs/>
                <w:sz w:val="18"/>
                <w:szCs w:val="18"/>
                <w:lang w:val="es-US" w:eastAsia="es-MX"/>
              </w:rPr>
              <w:t>3-7.0</w:t>
            </w:r>
          </w:p>
        </w:tc>
        <w:tc>
          <w:tcPr>
            <w:tcW w:w="881" w:type="pct"/>
            <w:tcBorders>
              <w:bottom w:val="single" w:sz="4" w:space="0" w:color="auto"/>
            </w:tcBorders>
            <w:shd w:val="clear" w:color="auto" w:fill="auto"/>
            <w:noWrap/>
            <w:vAlign w:val="bottom"/>
            <w:hideMark/>
          </w:tcPr>
          <w:p w14:paraId="0D301964" w14:textId="77777777" w:rsidR="00BF5C8C" w:rsidRPr="007947DD" w:rsidRDefault="00BF5C8C">
            <w:pPr>
              <w:pStyle w:val="NoSpacing"/>
              <w:jc w:val="center"/>
              <w:rPr>
                <w:b/>
                <w:bCs/>
                <w:sz w:val="18"/>
                <w:szCs w:val="18"/>
                <w:lang w:val="es-US" w:eastAsia="es-MX"/>
              </w:rPr>
            </w:pPr>
            <w:r w:rsidRPr="007947DD">
              <w:rPr>
                <w:b/>
                <w:bCs/>
                <w:sz w:val="18"/>
                <w:szCs w:val="18"/>
                <w:lang w:val="es-US" w:eastAsia="es-MX"/>
              </w:rPr>
              <w:t xml:space="preserve">SSP </w:t>
            </w:r>
            <w:r>
              <w:rPr>
                <w:b/>
                <w:bCs/>
                <w:sz w:val="18"/>
                <w:szCs w:val="18"/>
                <w:lang w:val="es-US" w:eastAsia="es-MX"/>
              </w:rPr>
              <w:t>5-8.5</w:t>
            </w:r>
          </w:p>
        </w:tc>
      </w:tr>
      <w:tr w:rsidR="00BF5C8C" w:rsidRPr="00686871" w14:paraId="0E5A51B1" w14:textId="77777777" w:rsidTr="00BF5C8C">
        <w:trPr>
          <w:trHeight w:val="144"/>
        </w:trPr>
        <w:tc>
          <w:tcPr>
            <w:tcW w:w="292" w:type="pct"/>
            <w:tcBorders>
              <w:top w:val="single" w:sz="4" w:space="0" w:color="auto"/>
            </w:tcBorders>
            <w:vAlign w:val="bottom"/>
          </w:tcPr>
          <w:p w14:paraId="135BD0CC" w14:textId="77777777" w:rsidR="00BF5C8C" w:rsidRPr="00686871" w:rsidRDefault="00BF5C8C">
            <w:pPr>
              <w:pStyle w:val="NoSpacing"/>
              <w:rPr>
                <w:sz w:val="18"/>
                <w:szCs w:val="18"/>
                <w:lang w:val="es-US" w:eastAsia="es-MX"/>
              </w:rPr>
            </w:pPr>
            <w:r w:rsidRPr="00686871">
              <w:rPr>
                <w:sz w:val="18"/>
                <w:szCs w:val="18"/>
                <w:lang w:val="es-US" w:eastAsia="es-MX"/>
              </w:rPr>
              <w:t>1</w:t>
            </w:r>
          </w:p>
        </w:tc>
        <w:tc>
          <w:tcPr>
            <w:tcW w:w="1767" w:type="pct"/>
            <w:tcBorders>
              <w:top w:val="single" w:sz="4" w:space="0" w:color="auto"/>
            </w:tcBorders>
            <w:shd w:val="clear" w:color="auto" w:fill="auto"/>
            <w:noWrap/>
            <w:vAlign w:val="bottom"/>
            <w:hideMark/>
          </w:tcPr>
          <w:p w14:paraId="4465DD01" w14:textId="77777777" w:rsidR="00BF5C8C" w:rsidRPr="00686871" w:rsidRDefault="00BF5C8C">
            <w:pPr>
              <w:pStyle w:val="NoSpacing"/>
              <w:rPr>
                <w:sz w:val="18"/>
                <w:szCs w:val="18"/>
                <w:lang w:val="es-US" w:eastAsia="es-MX"/>
              </w:rPr>
            </w:pPr>
            <w:r w:rsidRPr="00686871">
              <w:rPr>
                <w:sz w:val="18"/>
                <w:szCs w:val="18"/>
                <w:lang w:val="es-US" w:eastAsia="es-MX"/>
              </w:rPr>
              <w:t>ACCESS-CM2</w:t>
            </w:r>
          </w:p>
        </w:tc>
        <w:tc>
          <w:tcPr>
            <w:tcW w:w="1030" w:type="pct"/>
            <w:tcBorders>
              <w:top w:val="single" w:sz="4" w:space="0" w:color="auto"/>
            </w:tcBorders>
            <w:shd w:val="clear" w:color="auto" w:fill="auto"/>
            <w:noWrap/>
            <w:vAlign w:val="bottom"/>
            <w:hideMark/>
          </w:tcPr>
          <w:p w14:paraId="12DC405D" w14:textId="77777777" w:rsidR="00BF5C8C" w:rsidRPr="00686871" w:rsidRDefault="00BF5C8C">
            <w:pPr>
              <w:pStyle w:val="NoSpacing"/>
              <w:jc w:val="center"/>
              <w:rPr>
                <w:sz w:val="18"/>
                <w:szCs w:val="18"/>
                <w:lang w:val="es-US" w:eastAsia="es-MX"/>
              </w:rPr>
            </w:pPr>
            <w:r>
              <w:rPr>
                <w:sz w:val="18"/>
                <w:szCs w:val="18"/>
                <w:lang w:val="es-US" w:eastAsia="es-MX"/>
              </w:rPr>
              <w:t>x</w:t>
            </w:r>
          </w:p>
        </w:tc>
        <w:tc>
          <w:tcPr>
            <w:tcW w:w="1030" w:type="pct"/>
            <w:tcBorders>
              <w:top w:val="single" w:sz="4" w:space="0" w:color="auto"/>
            </w:tcBorders>
            <w:shd w:val="clear" w:color="auto" w:fill="auto"/>
            <w:noWrap/>
            <w:vAlign w:val="bottom"/>
            <w:hideMark/>
          </w:tcPr>
          <w:p w14:paraId="269DF0D3" w14:textId="77777777" w:rsidR="00BF5C8C" w:rsidRPr="00686871" w:rsidRDefault="00BF5C8C">
            <w:pPr>
              <w:pStyle w:val="NoSpacing"/>
              <w:jc w:val="center"/>
              <w:rPr>
                <w:sz w:val="18"/>
                <w:szCs w:val="18"/>
                <w:lang w:val="es-US" w:eastAsia="es-MX"/>
              </w:rPr>
            </w:pPr>
            <w:r w:rsidRPr="00AF6972">
              <w:rPr>
                <w:sz w:val="18"/>
                <w:szCs w:val="18"/>
                <w:lang w:val="es-US" w:eastAsia="es-MX"/>
              </w:rPr>
              <w:t>x</w:t>
            </w:r>
          </w:p>
        </w:tc>
        <w:tc>
          <w:tcPr>
            <w:tcW w:w="881" w:type="pct"/>
            <w:tcBorders>
              <w:top w:val="single" w:sz="4" w:space="0" w:color="auto"/>
            </w:tcBorders>
            <w:shd w:val="clear" w:color="auto" w:fill="auto"/>
            <w:noWrap/>
            <w:vAlign w:val="bottom"/>
            <w:hideMark/>
          </w:tcPr>
          <w:p w14:paraId="142C9B9B"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4810B2F8" w14:textId="77777777" w:rsidTr="00BF5C8C">
        <w:trPr>
          <w:trHeight w:val="144"/>
        </w:trPr>
        <w:tc>
          <w:tcPr>
            <w:tcW w:w="292" w:type="pct"/>
            <w:vAlign w:val="bottom"/>
          </w:tcPr>
          <w:p w14:paraId="39FCB89C" w14:textId="77777777" w:rsidR="00BF5C8C" w:rsidRPr="00686871" w:rsidRDefault="00BF5C8C">
            <w:pPr>
              <w:pStyle w:val="NoSpacing"/>
              <w:rPr>
                <w:sz w:val="18"/>
                <w:szCs w:val="18"/>
                <w:lang w:val="es-US" w:eastAsia="es-MX"/>
              </w:rPr>
            </w:pPr>
            <w:r w:rsidRPr="00686871">
              <w:rPr>
                <w:sz w:val="18"/>
                <w:szCs w:val="18"/>
                <w:lang w:val="es-US" w:eastAsia="es-MX"/>
              </w:rPr>
              <w:t>2</w:t>
            </w:r>
          </w:p>
        </w:tc>
        <w:tc>
          <w:tcPr>
            <w:tcW w:w="1767" w:type="pct"/>
            <w:shd w:val="clear" w:color="auto" w:fill="auto"/>
            <w:noWrap/>
            <w:vAlign w:val="bottom"/>
            <w:hideMark/>
          </w:tcPr>
          <w:p w14:paraId="2F431330" w14:textId="77777777" w:rsidR="00BF5C8C" w:rsidRPr="00686871" w:rsidRDefault="00BF5C8C">
            <w:pPr>
              <w:pStyle w:val="NoSpacing"/>
              <w:rPr>
                <w:sz w:val="18"/>
                <w:szCs w:val="18"/>
                <w:lang w:val="es-US" w:eastAsia="es-MX"/>
              </w:rPr>
            </w:pPr>
            <w:r w:rsidRPr="00686871">
              <w:rPr>
                <w:sz w:val="18"/>
                <w:szCs w:val="18"/>
                <w:lang w:val="es-US" w:eastAsia="es-MX"/>
              </w:rPr>
              <w:t>ACCESS-ESM1-5</w:t>
            </w:r>
          </w:p>
        </w:tc>
        <w:tc>
          <w:tcPr>
            <w:tcW w:w="1030" w:type="pct"/>
            <w:shd w:val="clear" w:color="auto" w:fill="auto"/>
            <w:noWrap/>
            <w:vAlign w:val="bottom"/>
            <w:hideMark/>
          </w:tcPr>
          <w:p w14:paraId="3B43DC19" w14:textId="77777777" w:rsidR="00BF5C8C" w:rsidRPr="00686871" w:rsidRDefault="00BF5C8C">
            <w:pPr>
              <w:pStyle w:val="NoSpacing"/>
              <w:jc w:val="center"/>
              <w:rPr>
                <w:sz w:val="18"/>
                <w:szCs w:val="18"/>
                <w:lang w:val="es-US" w:eastAsia="es-MX"/>
              </w:rPr>
            </w:pPr>
            <w:r>
              <w:rPr>
                <w:sz w:val="18"/>
                <w:szCs w:val="18"/>
                <w:lang w:val="es-US" w:eastAsia="es-MX"/>
              </w:rPr>
              <w:t>x</w:t>
            </w:r>
          </w:p>
        </w:tc>
        <w:tc>
          <w:tcPr>
            <w:tcW w:w="1030" w:type="pct"/>
            <w:shd w:val="clear" w:color="auto" w:fill="auto"/>
            <w:noWrap/>
            <w:vAlign w:val="bottom"/>
            <w:hideMark/>
          </w:tcPr>
          <w:p w14:paraId="355F85BF" w14:textId="77777777" w:rsidR="00BF5C8C" w:rsidRPr="00686871" w:rsidRDefault="00BF5C8C">
            <w:pPr>
              <w:pStyle w:val="NoSpacing"/>
              <w:jc w:val="center"/>
              <w:rPr>
                <w:sz w:val="18"/>
                <w:szCs w:val="18"/>
                <w:lang w:val="es-US" w:eastAsia="es-MX"/>
              </w:rPr>
            </w:pPr>
            <w:r w:rsidRPr="00AF6972">
              <w:rPr>
                <w:sz w:val="18"/>
                <w:szCs w:val="18"/>
                <w:lang w:val="es-US" w:eastAsia="es-MX"/>
              </w:rPr>
              <w:t>x</w:t>
            </w:r>
          </w:p>
        </w:tc>
        <w:tc>
          <w:tcPr>
            <w:tcW w:w="881" w:type="pct"/>
            <w:shd w:val="clear" w:color="auto" w:fill="auto"/>
            <w:noWrap/>
            <w:vAlign w:val="bottom"/>
            <w:hideMark/>
          </w:tcPr>
          <w:p w14:paraId="2C9AC1FC"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6D4E5C9F" w14:textId="77777777" w:rsidTr="00BF5C8C">
        <w:trPr>
          <w:trHeight w:val="144"/>
        </w:trPr>
        <w:tc>
          <w:tcPr>
            <w:tcW w:w="292" w:type="pct"/>
            <w:vAlign w:val="bottom"/>
          </w:tcPr>
          <w:p w14:paraId="43AEA671" w14:textId="77777777" w:rsidR="00BF5C8C" w:rsidRPr="00686871" w:rsidRDefault="00BF5C8C">
            <w:pPr>
              <w:pStyle w:val="NoSpacing"/>
              <w:rPr>
                <w:sz w:val="18"/>
                <w:szCs w:val="18"/>
                <w:lang w:val="es-US" w:eastAsia="es-MX"/>
              </w:rPr>
            </w:pPr>
            <w:r w:rsidRPr="00686871">
              <w:rPr>
                <w:sz w:val="18"/>
                <w:szCs w:val="18"/>
                <w:lang w:val="es-US" w:eastAsia="es-MX"/>
              </w:rPr>
              <w:t>3</w:t>
            </w:r>
          </w:p>
        </w:tc>
        <w:tc>
          <w:tcPr>
            <w:tcW w:w="1767" w:type="pct"/>
            <w:shd w:val="clear" w:color="auto" w:fill="auto"/>
            <w:noWrap/>
            <w:vAlign w:val="bottom"/>
            <w:hideMark/>
          </w:tcPr>
          <w:p w14:paraId="1E34086E" w14:textId="77777777" w:rsidR="00BF5C8C" w:rsidRPr="00686871" w:rsidRDefault="00BF5C8C">
            <w:pPr>
              <w:pStyle w:val="NoSpacing"/>
              <w:rPr>
                <w:sz w:val="18"/>
                <w:szCs w:val="18"/>
                <w:lang w:val="es-US" w:eastAsia="es-MX"/>
              </w:rPr>
            </w:pPr>
            <w:r w:rsidRPr="00686871">
              <w:rPr>
                <w:sz w:val="18"/>
                <w:szCs w:val="18"/>
                <w:lang w:val="es-US" w:eastAsia="es-MX"/>
              </w:rPr>
              <w:t>BCC-CSM2-MR</w:t>
            </w:r>
          </w:p>
        </w:tc>
        <w:tc>
          <w:tcPr>
            <w:tcW w:w="1030" w:type="pct"/>
            <w:shd w:val="clear" w:color="auto" w:fill="auto"/>
            <w:noWrap/>
            <w:vAlign w:val="bottom"/>
            <w:hideMark/>
          </w:tcPr>
          <w:p w14:paraId="4D343376"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66A704FD" w14:textId="77777777" w:rsidR="00BF5C8C" w:rsidRPr="00686871" w:rsidRDefault="00BF5C8C">
            <w:pPr>
              <w:pStyle w:val="NoSpacing"/>
              <w:jc w:val="center"/>
              <w:rPr>
                <w:sz w:val="18"/>
                <w:szCs w:val="18"/>
                <w:lang w:val="es-US" w:eastAsia="es-MX"/>
              </w:rPr>
            </w:pPr>
            <w:r w:rsidRPr="00AF6972">
              <w:rPr>
                <w:sz w:val="18"/>
                <w:szCs w:val="18"/>
                <w:lang w:val="es-US" w:eastAsia="es-MX"/>
              </w:rPr>
              <w:t>x</w:t>
            </w:r>
          </w:p>
        </w:tc>
        <w:tc>
          <w:tcPr>
            <w:tcW w:w="881" w:type="pct"/>
            <w:shd w:val="clear" w:color="auto" w:fill="auto"/>
            <w:noWrap/>
            <w:vAlign w:val="bottom"/>
            <w:hideMark/>
          </w:tcPr>
          <w:p w14:paraId="307756EC"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415227BD" w14:textId="77777777" w:rsidTr="00BF5C8C">
        <w:trPr>
          <w:trHeight w:val="144"/>
        </w:trPr>
        <w:tc>
          <w:tcPr>
            <w:tcW w:w="292" w:type="pct"/>
            <w:vAlign w:val="bottom"/>
          </w:tcPr>
          <w:p w14:paraId="72442523" w14:textId="77777777" w:rsidR="00BF5C8C" w:rsidRPr="00686871" w:rsidRDefault="00BF5C8C">
            <w:pPr>
              <w:pStyle w:val="NoSpacing"/>
              <w:rPr>
                <w:sz w:val="18"/>
                <w:szCs w:val="18"/>
                <w:lang w:val="es-US" w:eastAsia="es-MX"/>
              </w:rPr>
            </w:pPr>
            <w:r w:rsidRPr="00686871">
              <w:rPr>
                <w:sz w:val="18"/>
                <w:szCs w:val="18"/>
                <w:lang w:val="es-US" w:eastAsia="es-MX"/>
              </w:rPr>
              <w:t>4</w:t>
            </w:r>
          </w:p>
        </w:tc>
        <w:tc>
          <w:tcPr>
            <w:tcW w:w="1767" w:type="pct"/>
            <w:shd w:val="clear" w:color="auto" w:fill="auto"/>
            <w:noWrap/>
            <w:vAlign w:val="bottom"/>
            <w:hideMark/>
          </w:tcPr>
          <w:p w14:paraId="3B51A6C7" w14:textId="77777777" w:rsidR="00BF5C8C" w:rsidRPr="00686871" w:rsidRDefault="00BF5C8C">
            <w:pPr>
              <w:pStyle w:val="NoSpacing"/>
              <w:rPr>
                <w:sz w:val="18"/>
                <w:szCs w:val="18"/>
                <w:lang w:val="es-US" w:eastAsia="es-MX"/>
              </w:rPr>
            </w:pPr>
            <w:r w:rsidRPr="00686871">
              <w:rPr>
                <w:sz w:val="18"/>
                <w:szCs w:val="18"/>
                <w:lang w:val="es-US" w:eastAsia="es-MX"/>
              </w:rPr>
              <w:t>CanESM5</w:t>
            </w:r>
          </w:p>
        </w:tc>
        <w:tc>
          <w:tcPr>
            <w:tcW w:w="1030" w:type="pct"/>
            <w:shd w:val="clear" w:color="auto" w:fill="auto"/>
            <w:noWrap/>
            <w:vAlign w:val="bottom"/>
            <w:hideMark/>
          </w:tcPr>
          <w:p w14:paraId="4677EBE5"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01A19499" w14:textId="77777777" w:rsidR="00BF5C8C" w:rsidRPr="00686871" w:rsidRDefault="00BF5C8C">
            <w:pPr>
              <w:pStyle w:val="NoSpacing"/>
              <w:jc w:val="center"/>
              <w:rPr>
                <w:sz w:val="18"/>
                <w:szCs w:val="18"/>
                <w:lang w:val="es-US" w:eastAsia="es-MX"/>
              </w:rPr>
            </w:pPr>
            <w:r w:rsidRPr="00AF6972">
              <w:rPr>
                <w:sz w:val="18"/>
                <w:szCs w:val="18"/>
                <w:lang w:val="es-US" w:eastAsia="es-MX"/>
              </w:rPr>
              <w:t>x</w:t>
            </w:r>
          </w:p>
        </w:tc>
        <w:tc>
          <w:tcPr>
            <w:tcW w:w="881" w:type="pct"/>
            <w:shd w:val="clear" w:color="auto" w:fill="auto"/>
            <w:noWrap/>
            <w:vAlign w:val="bottom"/>
            <w:hideMark/>
          </w:tcPr>
          <w:p w14:paraId="2ECE7458"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0DAD6EC7" w14:textId="77777777" w:rsidTr="00BF5C8C">
        <w:trPr>
          <w:trHeight w:val="144"/>
        </w:trPr>
        <w:tc>
          <w:tcPr>
            <w:tcW w:w="292" w:type="pct"/>
            <w:vAlign w:val="bottom"/>
          </w:tcPr>
          <w:p w14:paraId="07CB65DA" w14:textId="77777777" w:rsidR="00BF5C8C" w:rsidRPr="00686871" w:rsidRDefault="00BF5C8C">
            <w:pPr>
              <w:pStyle w:val="NoSpacing"/>
              <w:rPr>
                <w:sz w:val="18"/>
                <w:szCs w:val="18"/>
                <w:lang w:val="es-US" w:eastAsia="es-MX"/>
              </w:rPr>
            </w:pPr>
            <w:r w:rsidRPr="00686871">
              <w:rPr>
                <w:sz w:val="18"/>
                <w:szCs w:val="18"/>
                <w:lang w:val="es-US" w:eastAsia="es-MX"/>
              </w:rPr>
              <w:t>5</w:t>
            </w:r>
          </w:p>
        </w:tc>
        <w:tc>
          <w:tcPr>
            <w:tcW w:w="1767" w:type="pct"/>
            <w:shd w:val="clear" w:color="auto" w:fill="auto"/>
            <w:noWrap/>
            <w:vAlign w:val="bottom"/>
            <w:hideMark/>
          </w:tcPr>
          <w:p w14:paraId="210F1272" w14:textId="77777777" w:rsidR="00BF5C8C" w:rsidRPr="00686871" w:rsidRDefault="00BF5C8C">
            <w:pPr>
              <w:pStyle w:val="NoSpacing"/>
              <w:rPr>
                <w:sz w:val="18"/>
                <w:szCs w:val="18"/>
                <w:lang w:val="es-US" w:eastAsia="es-MX"/>
              </w:rPr>
            </w:pPr>
            <w:r w:rsidRPr="00686871">
              <w:rPr>
                <w:sz w:val="18"/>
                <w:szCs w:val="18"/>
                <w:lang w:val="es-US" w:eastAsia="es-MX"/>
              </w:rPr>
              <w:t>CMCC-CM2-SR5</w:t>
            </w:r>
          </w:p>
        </w:tc>
        <w:tc>
          <w:tcPr>
            <w:tcW w:w="1030" w:type="pct"/>
            <w:shd w:val="clear" w:color="auto" w:fill="auto"/>
            <w:noWrap/>
            <w:vAlign w:val="bottom"/>
            <w:hideMark/>
          </w:tcPr>
          <w:p w14:paraId="5A43665F"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66BB24E0" w14:textId="77777777" w:rsidR="00BF5C8C" w:rsidRPr="00686871" w:rsidRDefault="00BF5C8C">
            <w:pPr>
              <w:pStyle w:val="NoSpacing"/>
              <w:jc w:val="center"/>
              <w:rPr>
                <w:sz w:val="18"/>
                <w:szCs w:val="18"/>
                <w:lang w:val="es-US" w:eastAsia="es-MX"/>
              </w:rPr>
            </w:pPr>
          </w:p>
        </w:tc>
        <w:tc>
          <w:tcPr>
            <w:tcW w:w="881" w:type="pct"/>
            <w:shd w:val="clear" w:color="auto" w:fill="auto"/>
            <w:noWrap/>
            <w:vAlign w:val="bottom"/>
            <w:hideMark/>
          </w:tcPr>
          <w:p w14:paraId="34828177"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243CD99D" w14:textId="77777777" w:rsidTr="00BF5C8C">
        <w:trPr>
          <w:trHeight w:val="144"/>
        </w:trPr>
        <w:tc>
          <w:tcPr>
            <w:tcW w:w="292" w:type="pct"/>
            <w:vAlign w:val="bottom"/>
          </w:tcPr>
          <w:p w14:paraId="517F72C7" w14:textId="77777777" w:rsidR="00BF5C8C" w:rsidRPr="00686871" w:rsidRDefault="00BF5C8C">
            <w:pPr>
              <w:pStyle w:val="NoSpacing"/>
              <w:rPr>
                <w:sz w:val="18"/>
                <w:szCs w:val="18"/>
                <w:lang w:val="es-US" w:eastAsia="es-MX"/>
              </w:rPr>
            </w:pPr>
            <w:r w:rsidRPr="00686871">
              <w:rPr>
                <w:sz w:val="18"/>
                <w:szCs w:val="18"/>
                <w:lang w:val="es-US" w:eastAsia="es-MX"/>
              </w:rPr>
              <w:t>6</w:t>
            </w:r>
          </w:p>
        </w:tc>
        <w:tc>
          <w:tcPr>
            <w:tcW w:w="1767" w:type="pct"/>
            <w:shd w:val="clear" w:color="auto" w:fill="auto"/>
            <w:noWrap/>
            <w:vAlign w:val="bottom"/>
            <w:hideMark/>
          </w:tcPr>
          <w:p w14:paraId="216315C2" w14:textId="77777777" w:rsidR="00BF5C8C" w:rsidRPr="00686871" w:rsidRDefault="00BF5C8C">
            <w:pPr>
              <w:pStyle w:val="NoSpacing"/>
              <w:rPr>
                <w:sz w:val="18"/>
                <w:szCs w:val="18"/>
                <w:lang w:val="es-US" w:eastAsia="es-MX"/>
              </w:rPr>
            </w:pPr>
            <w:r w:rsidRPr="00686871">
              <w:rPr>
                <w:sz w:val="18"/>
                <w:szCs w:val="18"/>
                <w:lang w:val="es-US" w:eastAsia="es-MX"/>
              </w:rPr>
              <w:t>CMCC-ESM2</w:t>
            </w:r>
          </w:p>
        </w:tc>
        <w:tc>
          <w:tcPr>
            <w:tcW w:w="1030" w:type="pct"/>
            <w:shd w:val="clear" w:color="auto" w:fill="auto"/>
            <w:noWrap/>
            <w:vAlign w:val="bottom"/>
            <w:hideMark/>
          </w:tcPr>
          <w:p w14:paraId="714688AB"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39F5F61E" w14:textId="77777777" w:rsidR="00BF5C8C" w:rsidRPr="00686871" w:rsidRDefault="00BF5C8C">
            <w:pPr>
              <w:pStyle w:val="NoSpacing"/>
              <w:jc w:val="center"/>
              <w:rPr>
                <w:sz w:val="18"/>
                <w:szCs w:val="18"/>
                <w:lang w:val="es-US" w:eastAsia="es-MX"/>
              </w:rPr>
            </w:pPr>
            <w:r w:rsidRPr="002A0876">
              <w:rPr>
                <w:sz w:val="18"/>
                <w:szCs w:val="18"/>
                <w:lang w:val="es-US" w:eastAsia="es-MX"/>
              </w:rPr>
              <w:t>x</w:t>
            </w:r>
          </w:p>
        </w:tc>
        <w:tc>
          <w:tcPr>
            <w:tcW w:w="881" w:type="pct"/>
            <w:shd w:val="clear" w:color="auto" w:fill="auto"/>
            <w:noWrap/>
            <w:vAlign w:val="bottom"/>
            <w:hideMark/>
          </w:tcPr>
          <w:p w14:paraId="2BEFA940"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4A78E7C0" w14:textId="77777777" w:rsidTr="00BF5C8C">
        <w:trPr>
          <w:trHeight w:val="144"/>
        </w:trPr>
        <w:tc>
          <w:tcPr>
            <w:tcW w:w="292" w:type="pct"/>
            <w:vAlign w:val="bottom"/>
          </w:tcPr>
          <w:p w14:paraId="4D751BF3" w14:textId="77777777" w:rsidR="00BF5C8C" w:rsidRPr="00686871" w:rsidRDefault="00BF5C8C">
            <w:pPr>
              <w:pStyle w:val="NoSpacing"/>
              <w:rPr>
                <w:sz w:val="18"/>
                <w:szCs w:val="18"/>
                <w:lang w:val="es-US" w:eastAsia="es-MX"/>
              </w:rPr>
            </w:pPr>
            <w:r w:rsidRPr="00686871">
              <w:rPr>
                <w:sz w:val="18"/>
                <w:szCs w:val="18"/>
                <w:lang w:val="es-US" w:eastAsia="es-MX"/>
              </w:rPr>
              <w:t>7</w:t>
            </w:r>
          </w:p>
        </w:tc>
        <w:tc>
          <w:tcPr>
            <w:tcW w:w="1767" w:type="pct"/>
            <w:shd w:val="clear" w:color="auto" w:fill="auto"/>
            <w:noWrap/>
            <w:vAlign w:val="bottom"/>
            <w:hideMark/>
          </w:tcPr>
          <w:p w14:paraId="20BE10CC" w14:textId="77777777" w:rsidR="00BF5C8C" w:rsidRPr="00686871" w:rsidRDefault="00BF5C8C">
            <w:pPr>
              <w:pStyle w:val="NoSpacing"/>
              <w:rPr>
                <w:sz w:val="18"/>
                <w:szCs w:val="18"/>
                <w:lang w:val="es-US" w:eastAsia="es-MX"/>
              </w:rPr>
            </w:pPr>
            <w:r w:rsidRPr="00686871">
              <w:rPr>
                <w:sz w:val="18"/>
                <w:szCs w:val="18"/>
                <w:lang w:val="es-US" w:eastAsia="es-MX"/>
              </w:rPr>
              <w:t>CNRM-CM6-1</w:t>
            </w:r>
          </w:p>
        </w:tc>
        <w:tc>
          <w:tcPr>
            <w:tcW w:w="1030" w:type="pct"/>
            <w:shd w:val="clear" w:color="auto" w:fill="auto"/>
            <w:noWrap/>
            <w:vAlign w:val="bottom"/>
            <w:hideMark/>
          </w:tcPr>
          <w:p w14:paraId="36971B95"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5E09E2D1" w14:textId="77777777" w:rsidR="00BF5C8C" w:rsidRPr="00686871" w:rsidRDefault="00BF5C8C">
            <w:pPr>
              <w:pStyle w:val="NoSpacing"/>
              <w:jc w:val="center"/>
              <w:rPr>
                <w:sz w:val="18"/>
                <w:szCs w:val="18"/>
                <w:lang w:val="es-US" w:eastAsia="es-MX"/>
              </w:rPr>
            </w:pPr>
            <w:r w:rsidRPr="002A0876">
              <w:rPr>
                <w:sz w:val="18"/>
                <w:szCs w:val="18"/>
                <w:lang w:val="es-US" w:eastAsia="es-MX"/>
              </w:rPr>
              <w:t>x</w:t>
            </w:r>
          </w:p>
        </w:tc>
        <w:tc>
          <w:tcPr>
            <w:tcW w:w="881" w:type="pct"/>
            <w:shd w:val="clear" w:color="auto" w:fill="auto"/>
            <w:noWrap/>
            <w:vAlign w:val="bottom"/>
            <w:hideMark/>
          </w:tcPr>
          <w:p w14:paraId="3C4F54E7"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4356D4F3" w14:textId="77777777" w:rsidTr="00BF5C8C">
        <w:trPr>
          <w:trHeight w:val="144"/>
        </w:trPr>
        <w:tc>
          <w:tcPr>
            <w:tcW w:w="292" w:type="pct"/>
            <w:vAlign w:val="bottom"/>
          </w:tcPr>
          <w:p w14:paraId="1B5F95AE" w14:textId="77777777" w:rsidR="00BF5C8C" w:rsidRPr="00686871" w:rsidRDefault="00BF5C8C">
            <w:pPr>
              <w:pStyle w:val="NoSpacing"/>
              <w:rPr>
                <w:sz w:val="18"/>
                <w:szCs w:val="18"/>
                <w:lang w:val="es-US" w:eastAsia="es-MX"/>
              </w:rPr>
            </w:pPr>
            <w:r w:rsidRPr="00686871">
              <w:rPr>
                <w:sz w:val="18"/>
                <w:szCs w:val="18"/>
                <w:lang w:val="es-US" w:eastAsia="es-MX"/>
              </w:rPr>
              <w:t>8</w:t>
            </w:r>
          </w:p>
        </w:tc>
        <w:tc>
          <w:tcPr>
            <w:tcW w:w="1767" w:type="pct"/>
            <w:shd w:val="clear" w:color="auto" w:fill="auto"/>
            <w:noWrap/>
            <w:vAlign w:val="bottom"/>
            <w:hideMark/>
          </w:tcPr>
          <w:p w14:paraId="3CFE0163" w14:textId="77777777" w:rsidR="00BF5C8C" w:rsidRPr="00686871" w:rsidRDefault="00BF5C8C">
            <w:pPr>
              <w:pStyle w:val="NoSpacing"/>
              <w:rPr>
                <w:sz w:val="18"/>
                <w:szCs w:val="18"/>
                <w:lang w:val="es-US" w:eastAsia="es-MX"/>
              </w:rPr>
            </w:pPr>
            <w:r w:rsidRPr="00686871">
              <w:rPr>
                <w:sz w:val="18"/>
                <w:szCs w:val="18"/>
                <w:lang w:val="es-US" w:eastAsia="es-MX"/>
              </w:rPr>
              <w:t>CNRM-ESM2-1</w:t>
            </w:r>
          </w:p>
        </w:tc>
        <w:tc>
          <w:tcPr>
            <w:tcW w:w="1030" w:type="pct"/>
            <w:shd w:val="clear" w:color="auto" w:fill="auto"/>
            <w:noWrap/>
            <w:vAlign w:val="bottom"/>
            <w:hideMark/>
          </w:tcPr>
          <w:p w14:paraId="7788103F"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39E4468F" w14:textId="77777777" w:rsidR="00BF5C8C" w:rsidRPr="00686871" w:rsidRDefault="00BF5C8C">
            <w:pPr>
              <w:pStyle w:val="NoSpacing"/>
              <w:jc w:val="center"/>
              <w:rPr>
                <w:sz w:val="18"/>
                <w:szCs w:val="18"/>
                <w:lang w:val="es-US" w:eastAsia="es-MX"/>
              </w:rPr>
            </w:pPr>
            <w:r w:rsidRPr="002A0876">
              <w:rPr>
                <w:sz w:val="18"/>
                <w:szCs w:val="18"/>
                <w:lang w:val="es-US" w:eastAsia="es-MX"/>
              </w:rPr>
              <w:t>x</w:t>
            </w:r>
          </w:p>
        </w:tc>
        <w:tc>
          <w:tcPr>
            <w:tcW w:w="881" w:type="pct"/>
            <w:shd w:val="clear" w:color="auto" w:fill="auto"/>
            <w:noWrap/>
            <w:vAlign w:val="bottom"/>
            <w:hideMark/>
          </w:tcPr>
          <w:p w14:paraId="0573B797"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38460D06" w14:textId="77777777" w:rsidTr="00BF5C8C">
        <w:trPr>
          <w:trHeight w:val="144"/>
        </w:trPr>
        <w:tc>
          <w:tcPr>
            <w:tcW w:w="292" w:type="pct"/>
            <w:vAlign w:val="bottom"/>
          </w:tcPr>
          <w:p w14:paraId="753457D9" w14:textId="77777777" w:rsidR="00BF5C8C" w:rsidRPr="00686871" w:rsidRDefault="00BF5C8C">
            <w:pPr>
              <w:pStyle w:val="NoSpacing"/>
              <w:rPr>
                <w:sz w:val="18"/>
                <w:szCs w:val="18"/>
                <w:lang w:val="es-US" w:eastAsia="es-MX"/>
              </w:rPr>
            </w:pPr>
            <w:r w:rsidRPr="00686871">
              <w:rPr>
                <w:sz w:val="18"/>
                <w:szCs w:val="18"/>
                <w:lang w:val="es-US" w:eastAsia="es-MX"/>
              </w:rPr>
              <w:t>9</w:t>
            </w:r>
          </w:p>
        </w:tc>
        <w:tc>
          <w:tcPr>
            <w:tcW w:w="1767" w:type="pct"/>
            <w:shd w:val="clear" w:color="auto" w:fill="auto"/>
            <w:noWrap/>
            <w:vAlign w:val="bottom"/>
            <w:hideMark/>
          </w:tcPr>
          <w:p w14:paraId="741B1D69" w14:textId="77777777" w:rsidR="00BF5C8C" w:rsidRPr="00686871" w:rsidRDefault="00BF5C8C">
            <w:pPr>
              <w:pStyle w:val="NoSpacing"/>
              <w:rPr>
                <w:sz w:val="18"/>
                <w:szCs w:val="18"/>
                <w:lang w:val="es-US" w:eastAsia="es-MX"/>
              </w:rPr>
            </w:pPr>
            <w:r w:rsidRPr="00686871">
              <w:rPr>
                <w:sz w:val="18"/>
                <w:szCs w:val="18"/>
                <w:lang w:val="es-US" w:eastAsia="es-MX"/>
              </w:rPr>
              <w:t>EC-Earth3</w:t>
            </w:r>
          </w:p>
        </w:tc>
        <w:tc>
          <w:tcPr>
            <w:tcW w:w="1030" w:type="pct"/>
            <w:shd w:val="clear" w:color="auto" w:fill="auto"/>
            <w:noWrap/>
            <w:vAlign w:val="bottom"/>
            <w:hideMark/>
          </w:tcPr>
          <w:p w14:paraId="4F442F78"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05DDDED9" w14:textId="77777777" w:rsidR="00BF5C8C" w:rsidRPr="00686871" w:rsidRDefault="00BF5C8C">
            <w:pPr>
              <w:pStyle w:val="NoSpacing"/>
              <w:jc w:val="center"/>
              <w:rPr>
                <w:sz w:val="18"/>
                <w:szCs w:val="18"/>
                <w:lang w:val="es-US" w:eastAsia="es-MX"/>
              </w:rPr>
            </w:pPr>
            <w:r w:rsidRPr="002A0876">
              <w:rPr>
                <w:sz w:val="18"/>
                <w:szCs w:val="18"/>
                <w:lang w:val="es-US" w:eastAsia="es-MX"/>
              </w:rPr>
              <w:t>x</w:t>
            </w:r>
          </w:p>
        </w:tc>
        <w:tc>
          <w:tcPr>
            <w:tcW w:w="881" w:type="pct"/>
            <w:shd w:val="clear" w:color="auto" w:fill="auto"/>
            <w:noWrap/>
            <w:vAlign w:val="bottom"/>
            <w:hideMark/>
          </w:tcPr>
          <w:p w14:paraId="2BBACC8D"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6F280450" w14:textId="77777777" w:rsidTr="00BF5C8C">
        <w:trPr>
          <w:trHeight w:val="144"/>
        </w:trPr>
        <w:tc>
          <w:tcPr>
            <w:tcW w:w="292" w:type="pct"/>
            <w:vAlign w:val="bottom"/>
          </w:tcPr>
          <w:p w14:paraId="726E63D0" w14:textId="77777777" w:rsidR="00BF5C8C" w:rsidRPr="00686871" w:rsidRDefault="00BF5C8C">
            <w:pPr>
              <w:pStyle w:val="NoSpacing"/>
              <w:rPr>
                <w:sz w:val="18"/>
                <w:szCs w:val="18"/>
                <w:lang w:val="es-US" w:eastAsia="es-MX"/>
              </w:rPr>
            </w:pPr>
            <w:r w:rsidRPr="00686871">
              <w:rPr>
                <w:sz w:val="18"/>
                <w:szCs w:val="18"/>
                <w:lang w:val="es-US" w:eastAsia="es-MX"/>
              </w:rPr>
              <w:t>10</w:t>
            </w:r>
          </w:p>
        </w:tc>
        <w:tc>
          <w:tcPr>
            <w:tcW w:w="1767" w:type="pct"/>
            <w:shd w:val="clear" w:color="auto" w:fill="auto"/>
            <w:noWrap/>
            <w:vAlign w:val="bottom"/>
            <w:hideMark/>
          </w:tcPr>
          <w:p w14:paraId="0FF80B17" w14:textId="77777777" w:rsidR="00BF5C8C" w:rsidRPr="00686871" w:rsidRDefault="00BF5C8C">
            <w:pPr>
              <w:pStyle w:val="NoSpacing"/>
              <w:rPr>
                <w:sz w:val="18"/>
                <w:szCs w:val="18"/>
                <w:lang w:val="es-US" w:eastAsia="es-MX"/>
              </w:rPr>
            </w:pPr>
            <w:r w:rsidRPr="00686871">
              <w:rPr>
                <w:sz w:val="18"/>
                <w:szCs w:val="18"/>
                <w:lang w:val="es-US" w:eastAsia="es-MX"/>
              </w:rPr>
              <w:t>EC-Earth3-Veg-LR</w:t>
            </w:r>
          </w:p>
        </w:tc>
        <w:tc>
          <w:tcPr>
            <w:tcW w:w="1030" w:type="pct"/>
            <w:shd w:val="clear" w:color="auto" w:fill="auto"/>
            <w:noWrap/>
            <w:vAlign w:val="bottom"/>
            <w:hideMark/>
          </w:tcPr>
          <w:p w14:paraId="39CE33D1"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36A6B730" w14:textId="77777777" w:rsidR="00BF5C8C" w:rsidRPr="00686871" w:rsidRDefault="00BF5C8C">
            <w:pPr>
              <w:pStyle w:val="NoSpacing"/>
              <w:jc w:val="center"/>
              <w:rPr>
                <w:sz w:val="18"/>
                <w:szCs w:val="18"/>
                <w:lang w:val="es-US" w:eastAsia="es-MX"/>
              </w:rPr>
            </w:pPr>
            <w:r w:rsidRPr="002A0876">
              <w:rPr>
                <w:sz w:val="18"/>
                <w:szCs w:val="18"/>
                <w:lang w:val="es-US" w:eastAsia="es-MX"/>
              </w:rPr>
              <w:t>x</w:t>
            </w:r>
          </w:p>
        </w:tc>
        <w:tc>
          <w:tcPr>
            <w:tcW w:w="881" w:type="pct"/>
            <w:shd w:val="clear" w:color="auto" w:fill="auto"/>
            <w:noWrap/>
            <w:vAlign w:val="bottom"/>
            <w:hideMark/>
          </w:tcPr>
          <w:p w14:paraId="34CE733F"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6B771939" w14:textId="77777777" w:rsidTr="00BF5C8C">
        <w:trPr>
          <w:trHeight w:val="144"/>
        </w:trPr>
        <w:tc>
          <w:tcPr>
            <w:tcW w:w="292" w:type="pct"/>
            <w:vAlign w:val="bottom"/>
          </w:tcPr>
          <w:p w14:paraId="6D3A5564" w14:textId="77777777" w:rsidR="00BF5C8C" w:rsidRPr="00686871" w:rsidRDefault="00BF5C8C">
            <w:pPr>
              <w:pStyle w:val="NoSpacing"/>
              <w:rPr>
                <w:sz w:val="18"/>
                <w:szCs w:val="18"/>
                <w:lang w:val="es-US" w:eastAsia="es-MX"/>
              </w:rPr>
            </w:pPr>
            <w:r w:rsidRPr="00686871">
              <w:rPr>
                <w:sz w:val="18"/>
                <w:szCs w:val="18"/>
                <w:lang w:val="es-US" w:eastAsia="es-MX"/>
              </w:rPr>
              <w:t>11</w:t>
            </w:r>
          </w:p>
        </w:tc>
        <w:tc>
          <w:tcPr>
            <w:tcW w:w="1767" w:type="pct"/>
            <w:shd w:val="clear" w:color="auto" w:fill="auto"/>
            <w:noWrap/>
            <w:vAlign w:val="bottom"/>
            <w:hideMark/>
          </w:tcPr>
          <w:p w14:paraId="71EABF8E" w14:textId="77777777" w:rsidR="00BF5C8C" w:rsidRPr="00686871" w:rsidRDefault="00BF5C8C">
            <w:pPr>
              <w:pStyle w:val="NoSpacing"/>
              <w:rPr>
                <w:sz w:val="18"/>
                <w:szCs w:val="18"/>
                <w:lang w:val="es-US" w:eastAsia="es-MX"/>
              </w:rPr>
            </w:pPr>
            <w:r w:rsidRPr="00686871">
              <w:rPr>
                <w:sz w:val="18"/>
                <w:szCs w:val="18"/>
                <w:lang w:val="es-US" w:eastAsia="es-MX"/>
              </w:rPr>
              <w:t>FGOALS-g3</w:t>
            </w:r>
          </w:p>
        </w:tc>
        <w:tc>
          <w:tcPr>
            <w:tcW w:w="1030" w:type="pct"/>
            <w:shd w:val="clear" w:color="auto" w:fill="auto"/>
            <w:noWrap/>
            <w:vAlign w:val="bottom"/>
            <w:hideMark/>
          </w:tcPr>
          <w:p w14:paraId="55C3AFE2"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4F3F5056" w14:textId="77777777" w:rsidR="00BF5C8C" w:rsidRPr="00686871" w:rsidRDefault="00BF5C8C">
            <w:pPr>
              <w:pStyle w:val="NoSpacing"/>
              <w:jc w:val="center"/>
              <w:rPr>
                <w:sz w:val="18"/>
                <w:szCs w:val="18"/>
                <w:lang w:val="es-US" w:eastAsia="es-MX"/>
              </w:rPr>
            </w:pPr>
            <w:r w:rsidRPr="002A0876">
              <w:rPr>
                <w:sz w:val="18"/>
                <w:szCs w:val="18"/>
                <w:lang w:val="es-US" w:eastAsia="es-MX"/>
              </w:rPr>
              <w:t>x</w:t>
            </w:r>
          </w:p>
        </w:tc>
        <w:tc>
          <w:tcPr>
            <w:tcW w:w="881" w:type="pct"/>
            <w:shd w:val="clear" w:color="auto" w:fill="auto"/>
            <w:noWrap/>
            <w:vAlign w:val="bottom"/>
            <w:hideMark/>
          </w:tcPr>
          <w:p w14:paraId="4AF9C7E9"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42FDDF6F" w14:textId="77777777" w:rsidTr="00BF5C8C">
        <w:trPr>
          <w:trHeight w:val="144"/>
        </w:trPr>
        <w:tc>
          <w:tcPr>
            <w:tcW w:w="292" w:type="pct"/>
            <w:vAlign w:val="bottom"/>
          </w:tcPr>
          <w:p w14:paraId="530F88E8" w14:textId="77777777" w:rsidR="00BF5C8C" w:rsidRPr="00686871" w:rsidRDefault="00BF5C8C">
            <w:pPr>
              <w:pStyle w:val="NoSpacing"/>
              <w:rPr>
                <w:sz w:val="18"/>
                <w:szCs w:val="18"/>
                <w:lang w:val="es-US" w:eastAsia="es-MX"/>
              </w:rPr>
            </w:pPr>
            <w:r w:rsidRPr="00686871">
              <w:rPr>
                <w:sz w:val="18"/>
                <w:szCs w:val="18"/>
                <w:lang w:val="es-US" w:eastAsia="es-MX"/>
              </w:rPr>
              <w:t>12</w:t>
            </w:r>
          </w:p>
        </w:tc>
        <w:tc>
          <w:tcPr>
            <w:tcW w:w="1767" w:type="pct"/>
            <w:shd w:val="clear" w:color="auto" w:fill="auto"/>
            <w:noWrap/>
            <w:vAlign w:val="bottom"/>
            <w:hideMark/>
          </w:tcPr>
          <w:p w14:paraId="16040706" w14:textId="77777777" w:rsidR="00BF5C8C" w:rsidRPr="00686871" w:rsidRDefault="00BF5C8C">
            <w:pPr>
              <w:pStyle w:val="NoSpacing"/>
              <w:rPr>
                <w:sz w:val="18"/>
                <w:szCs w:val="18"/>
                <w:lang w:val="es-US" w:eastAsia="es-MX"/>
              </w:rPr>
            </w:pPr>
            <w:r w:rsidRPr="00686871">
              <w:rPr>
                <w:sz w:val="18"/>
                <w:szCs w:val="18"/>
                <w:lang w:val="es-US" w:eastAsia="es-MX"/>
              </w:rPr>
              <w:t>GFDL-CM4</w:t>
            </w:r>
            <w:r w:rsidRPr="00410441">
              <w:rPr>
                <w:sz w:val="18"/>
                <w:szCs w:val="18"/>
                <w:vertAlign w:val="superscript"/>
                <w:lang w:val="es-US" w:eastAsia="es-MX"/>
              </w:rPr>
              <w:t>a</w:t>
            </w:r>
          </w:p>
        </w:tc>
        <w:tc>
          <w:tcPr>
            <w:tcW w:w="1030" w:type="pct"/>
            <w:shd w:val="clear" w:color="auto" w:fill="auto"/>
            <w:noWrap/>
            <w:vAlign w:val="bottom"/>
            <w:hideMark/>
          </w:tcPr>
          <w:p w14:paraId="338E2362"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6EF034E6" w14:textId="77777777" w:rsidR="00BF5C8C" w:rsidRPr="00686871" w:rsidRDefault="00BF5C8C">
            <w:pPr>
              <w:pStyle w:val="NoSpacing"/>
              <w:jc w:val="center"/>
              <w:rPr>
                <w:sz w:val="18"/>
                <w:szCs w:val="18"/>
                <w:lang w:val="es-US" w:eastAsia="es-MX"/>
              </w:rPr>
            </w:pPr>
          </w:p>
        </w:tc>
        <w:tc>
          <w:tcPr>
            <w:tcW w:w="881" w:type="pct"/>
            <w:shd w:val="clear" w:color="auto" w:fill="auto"/>
            <w:noWrap/>
            <w:vAlign w:val="bottom"/>
            <w:hideMark/>
          </w:tcPr>
          <w:p w14:paraId="102A54A4"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57EC467F" w14:textId="77777777" w:rsidTr="00BF5C8C">
        <w:trPr>
          <w:trHeight w:val="144"/>
        </w:trPr>
        <w:tc>
          <w:tcPr>
            <w:tcW w:w="292" w:type="pct"/>
            <w:vAlign w:val="bottom"/>
          </w:tcPr>
          <w:p w14:paraId="20718695" w14:textId="77777777" w:rsidR="00BF5C8C" w:rsidRPr="00686871" w:rsidRDefault="00BF5C8C">
            <w:pPr>
              <w:pStyle w:val="NoSpacing"/>
              <w:rPr>
                <w:sz w:val="18"/>
                <w:szCs w:val="18"/>
                <w:lang w:val="es-US" w:eastAsia="es-MX"/>
              </w:rPr>
            </w:pPr>
            <w:r w:rsidRPr="00686871">
              <w:rPr>
                <w:sz w:val="18"/>
                <w:szCs w:val="18"/>
                <w:lang w:val="es-US" w:eastAsia="es-MX"/>
              </w:rPr>
              <w:t>13</w:t>
            </w:r>
          </w:p>
        </w:tc>
        <w:tc>
          <w:tcPr>
            <w:tcW w:w="1767" w:type="pct"/>
            <w:shd w:val="clear" w:color="auto" w:fill="auto"/>
            <w:noWrap/>
            <w:vAlign w:val="bottom"/>
            <w:hideMark/>
          </w:tcPr>
          <w:p w14:paraId="3E44D320" w14:textId="77777777" w:rsidR="00BF5C8C" w:rsidRPr="00686871" w:rsidRDefault="00BF5C8C">
            <w:pPr>
              <w:pStyle w:val="NoSpacing"/>
              <w:rPr>
                <w:sz w:val="18"/>
                <w:szCs w:val="18"/>
                <w:lang w:val="es-US" w:eastAsia="es-MX"/>
              </w:rPr>
            </w:pPr>
            <w:r w:rsidRPr="00686871">
              <w:rPr>
                <w:sz w:val="18"/>
                <w:szCs w:val="18"/>
                <w:lang w:val="es-US" w:eastAsia="es-MX"/>
              </w:rPr>
              <w:t>GFDL-CM4</w:t>
            </w:r>
            <w:r w:rsidRPr="00410441">
              <w:rPr>
                <w:sz w:val="18"/>
                <w:szCs w:val="18"/>
                <w:vertAlign w:val="superscript"/>
                <w:lang w:val="es-US" w:eastAsia="es-MX"/>
              </w:rPr>
              <w:t>b</w:t>
            </w:r>
          </w:p>
        </w:tc>
        <w:tc>
          <w:tcPr>
            <w:tcW w:w="1030" w:type="pct"/>
            <w:shd w:val="clear" w:color="auto" w:fill="auto"/>
            <w:noWrap/>
            <w:vAlign w:val="bottom"/>
            <w:hideMark/>
          </w:tcPr>
          <w:p w14:paraId="71645A06"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31DE8B7F" w14:textId="77777777" w:rsidR="00BF5C8C" w:rsidRPr="00686871" w:rsidRDefault="00BF5C8C">
            <w:pPr>
              <w:pStyle w:val="NoSpacing"/>
              <w:jc w:val="center"/>
              <w:rPr>
                <w:sz w:val="18"/>
                <w:szCs w:val="18"/>
                <w:lang w:val="es-US" w:eastAsia="es-MX"/>
              </w:rPr>
            </w:pPr>
          </w:p>
        </w:tc>
        <w:tc>
          <w:tcPr>
            <w:tcW w:w="881" w:type="pct"/>
            <w:shd w:val="clear" w:color="auto" w:fill="auto"/>
            <w:noWrap/>
            <w:vAlign w:val="bottom"/>
            <w:hideMark/>
          </w:tcPr>
          <w:p w14:paraId="419A4F98"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605291C1" w14:textId="77777777" w:rsidTr="00BF5C8C">
        <w:trPr>
          <w:trHeight w:val="144"/>
        </w:trPr>
        <w:tc>
          <w:tcPr>
            <w:tcW w:w="292" w:type="pct"/>
            <w:vAlign w:val="bottom"/>
          </w:tcPr>
          <w:p w14:paraId="1E594C88" w14:textId="77777777" w:rsidR="00BF5C8C" w:rsidRPr="00686871" w:rsidRDefault="00BF5C8C">
            <w:pPr>
              <w:pStyle w:val="NoSpacing"/>
              <w:rPr>
                <w:sz w:val="18"/>
                <w:szCs w:val="18"/>
                <w:lang w:val="es-US" w:eastAsia="es-MX"/>
              </w:rPr>
            </w:pPr>
            <w:r w:rsidRPr="00686871">
              <w:rPr>
                <w:sz w:val="18"/>
                <w:szCs w:val="18"/>
                <w:lang w:val="es-US" w:eastAsia="es-MX"/>
              </w:rPr>
              <w:t>14</w:t>
            </w:r>
          </w:p>
        </w:tc>
        <w:tc>
          <w:tcPr>
            <w:tcW w:w="1767" w:type="pct"/>
            <w:shd w:val="clear" w:color="auto" w:fill="auto"/>
            <w:noWrap/>
            <w:vAlign w:val="bottom"/>
            <w:hideMark/>
          </w:tcPr>
          <w:p w14:paraId="62D9C170" w14:textId="77777777" w:rsidR="00BF5C8C" w:rsidRPr="00686871" w:rsidRDefault="00BF5C8C">
            <w:pPr>
              <w:pStyle w:val="NoSpacing"/>
              <w:rPr>
                <w:sz w:val="18"/>
                <w:szCs w:val="18"/>
                <w:lang w:val="es-US" w:eastAsia="es-MX"/>
              </w:rPr>
            </w:pPr>
            <w:r w:rsidRPr="00686871">
              <w:rPr>
                <w:sz w:val="18"/>
                <w:szCs w:val="18"/>
                <w:lang w:val="es-US" w:eastAsia="es-MX"/>
              </w:rPr>
              <w:t>GFDL-ESM4</w:t>
            </w:r>
          </w:p>
        </w:tc>
        <w:tc>
          <w:tcPr>
            <w:tcW w:w="1030" w:type="pct"/>
            <w:shd w:val="clear" w:color="auto" w:fill="auto"/>
            <w:noWrap/>
            <w:vAlign w:val="bottom"/>
            <w:hideMark/>
          </w:tcPr>
          <w:p w14:paraId="56DEE331"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3FBEB228" w14:textId="77777777" w:rsidR="00BF5C8C" w:rsidRPr="00686871" w:rsidRDefault="00BF5C8C">
            <w:pPr>
              <w:pStyle w:val="NoSpacing"/>
              <w:jc w:val="center"/>
              <w:rPr>
                <w:sz w:val="18"/>
                <w:szCs w:val="18"/>
                <w:lang w:val="es-US" w:eastAsia="es-MX"/>
              </w:rPr>
            </w:pPr>
            <w:r w:rsidRPr="00D72B83">
              <w:rPr>
                <w:sz w:val="18"/>
                <w:szCs w:val="18"/>
                <w:lang w:val="es-US" w:eastAsia="es-MX"/>
              </w:rPr>
              <w:t>x</w:t>
            </w:r>
          </w:p>
        </w:tc>
        <w:tc>
          <w:tcPr>
            <w:tcW w:w="881" w:type="pct"/>
            <w:shd w:val="clear" w:color="auto" w:fill="auto"/>
            <w:noWrap/>
            <w:vAlign w:val="bottom"/>
            <w:hideMark/>
          </w:tcPr>
          <w:p w14:paraId="11C57CD4"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649D9DC7" w14:textId="77777777" w:rsidTr="00BF5C8C">
        <w:trPr>
          <w:trHeight w:val="144"/>
        </w:trPr>
        <w:tc>
          <w:tcPr>
            <w:tcW w:w="292" w:type="pct"/>
            <w:vAlign w:val="bottom"/>
          </w:tcPr>
          <w:p w14:paraId="5AAE708E" w14:textId="77777777" w:rsidR="00BF5C8C" w:rsidRPr="00686871" w:rsidRDefault="00BF5C8C">
            <w:pPr>
              <w:pStyle w:val="NoSpacing"/>
              <w:rPr>
                <w:sz w:val="18"/>
                <w:szCs w:val="18"/>
                <w:lang w:val="es-US" w:eastAsia="es-MX"/>
              </w:rPr>
            </w:pPr>
            <w:r w:rsidRPr="00686871">
              <w:rPr>
                <w:sz w:val="18"/>
                <w:szCs w:val="18"/>
                <w:lang w:val="es-US" w:eastAsia="es-MX"/>
              </w:rPr>
              <w:t>15</w:t>
            </w:r>
          </w:p>
        </w:tc>
        <w:tc>
          <w:tcPr>
            <w:tcW w:w="1767" w:type="pct"/>
            <w:shd w:val="clear" w:color="auto" w:fill="auto"/>
            <w:noWrap/>
            <w:vAlign w:val="bottom"/>
            <w:hideMark/>
          </w:tcPr>
          <w:p w14:paraId="7120D073" w14:textId="77777777" w:rsidR="00BF5C8C" w:rsidRPr="00686871" w:rsidRDefault="00BF5C8C">
            <w:pPr>
              <w:pStyle w:val="NoSpacing"/>
              <w:rPr>
                <w:sz w:val="18"/>
                <w:szCs w:val="18"/>
                <w:lang w:val="es-US" w:eastAsia="es-MX"/>
              </w:rPr>
            </w:pPr>
            <w:r w:rsidRPr="00686871">
              <w:rPr>
                <w:sz w:val="18"/>
                <w:szCs w:val="18"/>
                <w:lang w:val="es-US" w:eastAsia="es-MX"/>
              </w:rPr>
              <w:t>GISS-E2-1-G</w:t>
            </w:r>
          </w:p>
        </w:tc>
        <w:tc>
          <w:tcPr>
            <w:tcW w:w="1030" w:type="pct"/>
            <w:shd w:val="clear" w:color="auto" w:fill="auto"/>
            <w:noWrap/>
            <w:vAlign w:val="bottom"/>
            <w:hideMark/>
          </w:tcPr>
          <w:p w14:paraId="12E9B5F4"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2AF613F4" w14:textId="77777777" w:rsidR="00BF5C8C" w:rsidRPr="00686871" w:rsidRDefault="00BF5C8C">
            <w:pPr>
              <w:pStyle w:val="NoSpacing"/>
              <w:jc w:val="center"/>
              <w:rPr>
                <w:sz w:val="18"/>
                <w:szCs w:val="18"/>
                <w:lang w:val="es-US" w:eastAsia="es-MX"/>
              </w:rPr>
            </w:pPr>
            <w:r w:rsidRPr="00D72B83">
              <w:rPr>
                <w:sz w:val="18"/>
                <w:szCs w:val="18"/>
                <w:lang w:val="es-US" w:eastAsia="es-MX"/>
              </w:rPr>
              <w:t>x</w:t>
            </w:r>
          </w:p>
        </w:tc>
        <w:tc>
          <w:tcPr>
            <w:tcW w:w="881" w:type="pct"/>
            <w:shd w:val="clear" w:color="auto" w:fill="auto"/>
            <w:noWrap/>
            <w:vAlign w:val="bottom"/>
            <w:hideMark/>
          </w:tcPr>
          <w:p w14:paraId="3D6847F7"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485D0843" w14:textId="77777777" w:rsidTr="00BF5C8C">
        <w:trPr>
          <w:trHeight w:val="144"/>
        </w:trPr>
        <w:tc>
          <w:tcPr>
            <w:tcW w:w="292" w:type="pct"/>
            <w:vAlign w:val="bottom"/>
          </w:tcPr>
          <w:p w14:paraId="0DBACD56" w14:textId="77777777" w:rsidR="00BF5C8C" w:rsidRPr="00686871" w:rsidRDefault="00BF5C8C">
            <w:pPr>
              <w:pStyle w:val="NoSpacing"/>
              <w:rPr>
                <w:sz w:val="18"/>
                <w:szCs w:val="18"/>
                <w:lang w:val="es-US" w:eastAsia="es-MX"/>
              </w:rPr>
            </w:pPr>
            <w:r w:rsidRPr="00686871">
              <w:rPr>
                <w:sz w:val="18"/>
                <w:szCs w:val="18"/>
                <w:lang w:val="es-US" w:eastAsia="es-MX"/>
              </w:rPr>
              <w:t>16</w:t>
            </w:r>
          </w:p>
        </w:tc>
        <w:tc>
          <w:tcPr>
            <w:tcW w:w="1767" w:type="pct"/>
            <w:shd w:val="clear" w:color="auto" w:fill="auto"/>
            <w:noWrap/>
            <w:vAlign w:val="bottom"/>
            <w:hideMark/>
          </w:tcPr>
          <w:p w14:paraId="52642140" w14:textId="77777777" w:rsidR="00BF5C8C" w:rsidRPr="00686871" w:rsidRDefault="00BF5C8C">
            <w:pPr>
              <w:pStyle w:val="NoSpacing"/>
              <w:rPr>
                <w:sz w:val="18"/>
                <w:szCs w:val="18"/>
                <w:lang w:val="es-US" w:eastAsia="es-MX"/>
              </w:rPr>
            </w:pPr>
            <w:r w:rsidRPr="00686871">
              <w:rPr>
                <w:sz w:val="18"/>
                <w:szCs w:val="18"/>
                <w:lang w:val="es-US" w:eastAsia="es-MX"/>
              </w:rPr>
              <w:t>HadGEM3-GC31-LL</w:t>
            </w:r>
          </w:p>
        </w:tc>
        <w:tc>
          <w:tcPr>
            <w:tcW w:w="1030" w:type="pct"/>
            <w:shd w:val="clear" w:color="auto" w:fill="auto"/>
            <w:noWrap/>
            <w:vAlign w:val="bottom"/>
            <w:hideMark/>
          </w:tcPr>
          <w:p w14:paraId="665C7940" w14:textId="77777777" w:rsidR="00BF5C8C" w:rsidRPr="00686871" w:rsidRDefault="00BF5C8C">
            <w:pPr>
              <w:pStyle w:val="NoSpacing"/>
              <w:jc w:val="center"/>
              <w:rPr>
                <w:sz w:val="18"/>
                <w:szCs w:val="18"/>
                <w:lang w:val="es-US" w:eastAsia="es-MX"/>
              </w:rPr>
            </w:pPr>
            <w:r w:rsidRPr="00B54EBD">
              <w:rPr>
                <w:sz w:val="18"/>
                <w:szCs w:val="18"/>
                <w:lang w:val="es-US" w:eastAsia="es-MX"/>
              </w:rPr>
              <w:t>x</w:t>
            </w:r>
          </w:p>
        </w:tc>
        <w:tc>
          <w:tcPr>
            <w:tcW w:w="1030" w:type="pct"/>
            <w:shd w:val="clear" w:color="auto" w:fill="auto"/>
            <w:noWrap/>
            <w:vAlign w:val="bottom"/>
            <w:hideMark/>
          </w:tcPr>
          <w:p w14:paraId="04A486C3" w14:textId="77777777" w:rsidR="00BF5C8C" w:rsidRPr="00686871" w:rsidRDefault="00BF5C8C">
            <w:pPr>
              <w:pStyle w:val="NoSpacing"/>
              <w:jc w:val="center"/>
              <w:rPr>
                <w:sz w:val="18"/>
                <w:szCs w:val="18"/>
                <w:lang w:val="es-US" w:eastAsia="es-MX"/>
              </w:rPr>
            </w:pPr>
          </w:p>
        </w:tc>
        <w:tc>
          <w:tcPr>
            <w:tcW w:w="881" w:type="pct"/>
            <w:shd w:val="clear" w:color="auto" w:fill="auto"/>
            <w:noWrap/>
            <w:vAlign w:val="bottom"/>
            <w:hideMark/>
          </w:tcPr>
          <w:p w14:paraId="36D299A4"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54CBA09D" w14:textId="77777777" w:rsidTr="00BF5C8C">
        <w:trPr>
          <w:trHeight w:val="144"/>
        </w:trPr>
        <w:tc>
          <w:tcPr>
            <w:tcW w:w="292" w:type="pct"/>
            <w:vAlign w:val="bottom"/>
          </w:tcPr>
          <w:p w14:paraId="3412CA75" w14:textId="77777777" w:rsidR="00BF5C8C" w:rsidRPr="00686871" w:rsidRDefault="00BF5C8C">
            <w:pPr>
              <w:pStyle w:val="NoSpacing"/>
              <w:rPr>
                <w:sz w:val="18"/>
                <w:szCs w:val="18"/>
                <w:lang w:val="es-US" w:eastAsia="es-MX"/>
              </w:rPr>
            </w:pPr>
            <w:r w:rsidRPr="00686871">
              <w:rPr>
                <w:sz w:val="18"/>
                <w:szCs w:val="18"/>
                <w:lang w:val="es-US" w:eastAsia="es-MX"/>
              </w:rPr>
              <w:t>17</w:t>
            </w:r>
          </w:p>
        </w:tc>
        <w:tc>
          <w:tcPr>
            <w:tcW w:w="1767" w:type="pct"/>
            <w:shd w:val="clear" w:color="auto" w:fill="auto"/>
            <w:noWrap/>
            <w:vAlign w:val="bottom"/>
            <w:hideMark/>
          </w:tcPr>
          <w:p w14:paraId="4FEDB55B" w14:textId="77777777" w:rsidR="00BF5C8C" w:rsidRPr="00686871" w:rsidRDefault="00BF5C8C">
            <w:pPr>
              <w:pStyle w:val="NoSpacing"/>
              <w:rPr>
                <w:sz w:val="18"/>
                <w:szCs w:val="18"/>
                <w:lang w:val="es-US" w:eastAsia="es-MX"/>
              </w:rPr>
            </w:pPr>
            <w:r w:rsidRPr="00686871">
              <w:rPr>
                <w:sz w:val="18"/>
                <w:szCs w:val="18"/>
                <w:lang w:val="es-US" w:eastAsia="es-MX"/>
              </w:rPr>
              <w:t>HadGEM3-GC31-MM</w:t>
            </w:r>
          </w:p>
        </w:tc>
        <w:tc>
          <w:tcPr>
            <w:tcW w:w="1030" w:type="pct"/>
            <w:shd w:val="clear" w:color="auto" w:fill="auto"/>
            <w:noWrap/>
            <w:vAlign w:val="bottom"/>
            <w:hideMark/>
          </w:tcPr>
          <w:p w14:paraId="6D534F81" w14:textId="77777777" w:rsidR="00BF5C8C" w:rsidRPr="00686871" w:rsidRDefault="00BF5C8C">
            <w:pPr>
              <w:pStyle w:val="NoSpacing"/>
              <w:jc w:val="center"/>
              <w:rPr>
                <w:sz w:val="18"/>
                <w:szCs w:val="18"/>
                <w:lang w:val="es-US" w:eastAsia="es-MX"/>
              </w:rPr>
            </w:pPr>
          </w:p>
        </w:tc>
        <w:tc>
          <w:tcPr>
            <w:tcW w:w="1030" w:type="pct"/>
            <w:shd w:val="clear" w:color="auto" w:fill="auto"/>
            <w:noWrap/>
            <w:vAlign w:val="bottom"/>
            <w:hideMark/>
          </w:tcPr>
          <w:p w14:paraId="301DF3D6" w14:textId="77777777" w:rsidR="00BF5C8C" w:rsidRPr="00686871" w:rsidRDefault="00BF5C8C">
            <w:pPr>
              <w:pStyle w:val="NoSpacing"/>
              <w:jc w:val="center"/>
              <w:rPr>
                <w:sz w:val="18"/>
                <w:szCs w:val="18"/>
                <w:lang w:val="es-US" w:eastAsia="es-MX"/>
              </w:rPr>
            </w:pPr>
          </w:p>
        </w:tc>
        <w:tc>
          <w:tcPr>
            <w:tcW w:w="881" w:type="pct"/>
            <w:shd w:val="clear" w:color="auto" w:fill="auto"/>
            <w:noWrap/>
            <w:vAlign w:val="bottom"/>
            <w:hideMark/>
          </w:tcPr>
          <w:p w14:paraId="082028D8"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7DBA7EB2" w14:textId="77777777" w:rsidTr="00BF5C8C">
        <w:trPr>
          <w:trHeight w:val="144"/>
        </w:trPr>
        <w:tc>
          <w:tcPr>
            <w:tcW w:w="292" w:type="pct"/>
            <w:vAlign w:val="bottom"/>
          </w:tcPr>
          <w:p w14:paraId="22DD7F14" w14:textId="77777777" w:rsidR="00BF5C8C" w:rsidRPr="00686871" w:rsidRDefault="00BF5C8C">
            <w:pPr>
              <w:pStyle w:val="NoSpacing"/>
              <w:rPr>
                <w:sz w:val="18"/>
                <w:szCs w:val="18"/>
                <w:lang w:val="es-US" w:eastAsia="es-MX"/>
              </w:rPr>
            </w:pPr>
            <w:r w:rsidRPr="00686871">
              <w:rPr>
                <w:sz w:val="18"/>
                <w:szCs w:val="18"/>
                <w:lang w:val="es-US" w:eastAsia="es-MX"/>
              </w:rPr>
              <w:t>18</w:t>
            </w:r>
          </w:p>
        </w:tc>
        <w:tc>
          <w:tcPr>
            <w:tcW w:w="1767" w:type="pct"/>
            <w:shd w:val="clear" w:color="auto" w:fill="auto"/>
            <w:noWrap/>
            <w:vAlign w:val="bottom"/>
            <w:hideMark/>
          </w:tcPr>
          <w:p w14:paraId="2660E627" w14:textId="77777777" w:rsidR="00BF5C8C" w:rsidRPr="00686871" w:rsidRDefault="00BF5C8C">
            <w:pPr>
              <w:pStyle w:val="NoSpacing"/>
              <w:rPr>
                <w:sz w:val="18"/>
                <w:szCs w:val="18"/>
                <w:lang w:val="es-US" w:eastAsia="es-MX"/>
              </w:rPr>
            </w:pPr>
            <w:r w:rsidRPr="00686871">
              <w:rPr>
                <w:sz w:val="18"/>
                <w:szCs w:val="18"/>
                <w:lang w:val="es-US" w:eastAsia="es-MX"/>
              </w:rPr>
              <w:t>INM-CM4-8</w:t>
            </w:r>
          </w:p>
        </w:tc>
        <w:tc>
          <w:tcPr>
            <w:tcW w:w="1030" w:type="pct"/>
            <w:shd w:val="clear" w:color="auto" w:fill="auto"/>
            <w:noWrap/>
            <w:vAlign w:val="bottom"/>
            <w:hideMark/>
          </w:tcPr>
          <w:p w14:paraId="6E6A2F5F"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7AA83B1B" w14:textId="77777777" w:rsidR="00BF5C8C" w:rsidRPr="00686871" w:rsidRDefault="00BF5C8C">
            <w:pPr>
              <w:pStyle w:val="NoSpacing"/>
              <w:jc w:val="center"/>
              <w:rPr>
                <w:sz w:val="18"/>
                <w:szCs w:val="18"/>
                <w:lang w:val="es-US" w:eastAsia="es-MX"/>
              </w:rPr>
            </w:pPr>
            <w:r w:rsidRPr="00EF20D3">
              <w:rPr>
                <w:sz w:val="18"/>
                <w:szCs w:val="18"/>
                <w:lang w:val="es-US" w:eastAsia="es-MX"/>
              </w:rPr>
              <w:t>x</w:t>
            </w:r>
          </w:p>
        </w:tc>
        <w:tc>
          <w:tcPr>
            <w:tcW w:w="881" w:type="pct"/>
            <w:shd w:val="clear" w:color="auto" w:fill="auto"/>
            <w:noWrap/>
            <w:vAlign w:val="bottom"/>
            <w:hideMark/>
          </w:tcPr>
          <w:p w14:paraId="22F074B8"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475C848B" w14:textId="77777777" w:rsidTr="00BF5C8C">
        <w:trPr>
          <w:trHeight w:val="144"/>
        </w:trPr>
        <w:tc>
          <w:tcPr>
            <w:tcW w:w="292" w:type="pct"/>
            <w:vAlign w:val="bottom"/>
          </w:tcPr>
          <w:p w14:paraId="769B7A48" w14:textId="77777777" w:rsidR="00BF5C8C" w:rsidRPr="00686871" w:rsidRDefault="00BF5C8C">
            <w:pPr>
              <w:pStyle w:val="NoSpacing"/>
              <w:rPr>
                <w:sz w:val="18"/>
                <w:szCs w:val="18"/>
                <w:lang w:val="es-US" w:eastAsia="es-MX"/>
              </w:rPr>
            </w:pPr>
            <w:r w:rsidRPr="00686871">
              <w:rPr>
                <w:sz w:val="18"/>
                <w:szCs w:val="18"/>
                <w:lang w:val="es-US" w:eastAsia="es-MX"/>
              </w:rPr>
              <w:t>19</w:t>
            </w:r>
          </w:p>
        </w:tc>
        <w:tc>
          <w:tcPr>
            <w:tcW w:w="1767" w:type="pct"/>
            <w:shd w:val="clear" w:color="auto" w:fill="auto"/>
            <w:noWrap/>
            <w:vAlign w:val="bottom"/>
            <w:hideMark/>
          </w:tcPr>
          <w:p w14:paraId="45AF1384" w14:textId="77777777" w:rsidR="00BF5C8C" w:rsidRPr="00686871" w:rsidRDefault="00BF5C8C">
            <w:pPr>
              <w:pStyle w:val="NoSpacing"/>
              <w:rPr>
                <w:sz w:val="18"/>
                <w:szCs w:val="18"/>
                <w:lang w:val="es-US" w:eastAsia="es-MX"/>
              </w:rPr>
            </w:pPr>
            <w:r w:rsidRPr="00686871">
              <w:rPr>
                <w:sz w:val="18"/>
                <w:szCs w:val="18"/>
                <w:lang w:val="es-US" w:eastAsia="es-MX"/>
              </w:rPr>
              <w:t>INM-CM5-0</w:t>
            </w:r>
          </w:p>
        </w:tc>
        <w:tc>
          <w:tcPr>
            <w:tcW w:w="1030" w:type="pct"/>
            <w:shd w:val="clear" w:color="auto" w:fill="auto"/>
            <w:noWrap/>
            <w:vAlign w:val="bottom"/>
            <w:hideMark/>
          </w:tcPr>
          <w:p w14:paraId="688C966D"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7473CDE1" w14:textId="77777777" w:rsidR="00BF5C8C" w:rsidRPr="00686871" w:rsidRDefault="00BF5C8C">
            <w:pPr>
              <w:pStyle w:val="NoSpacing"/>
              <w:jc w:val="center"/>
              <w:rPr>
                <w:sz w:val="18"/>
                <w:szCs w:val="18"/>
                <w:lang w:val="es-US" w:eastAsia="es-MX"/>
              </w:rPr>
            </w:pPr>
            <w:r w:rsidRPr="00EF20D3">
              <w:rPr>
                <w:sz w:val="18"/>
                <w:szCs w:val="18"/>
                <w:lang w:val="es-US" w:eastAsia="es-MX"/>
              </w:rPr>
              <w:t>x</w:t>
            </w:r>
          </w:p>
        </w:tc>
        <w:tc>
          <w:tcPr>
            <w:tcW w:w="881" w:type="pct"/>
            <w:shd w:val="clear" w:color="auto" w:fill="auto"/>
            <w:noWrap/>
            <w:vAlign w:val="bottom"/>
            <w:hideMark/>
          </w:tcPr>
          <w:p w14:paraId="19AE1B5D"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5146C67A" w14:textId="77777777" w:rsidTr="00BF5C8C">
        <w:trPr>
          <w:trHeight w:val="144"/>
        </w:trPr>
        <w:tc>
          <w:tcPr>
            <w:tcW w:w="292" w:type="pct"/>
            <w:vAlign w:val="bottom"/>
          </w:tcPr>
          <w:p w14:paraId="4355A675" w14:textId="77777777" w:rsidR="00BF5C8C" w:rsidRPr="00686871" w:rsidRDefault="00BF5C8C">
            <w:pPr>
              <w:pStyle w:val="NoSpacing"/>
              <w:rPr>
                <w:sz w:val="18"/>
                <w:szCs w:val="18"/>
                <w:lang w:val="es-US" w:eastAsia="es-MX"/>
              </w:rPr>
            </w:pPr>
            <w:r w:rsidRPr="00686871">
              <w:rPr>
                <w:sz w:val="18"/>
                <w:szCs w:val="18"/>
                <w:lang w:val="es-US" w:eastAsia="es-MX"/>
              </w:rPr>
              <w:t>20</w:t>
            </w:r>
          </w:p>
        </w:tc>
        <w:tc>
          <w:tcPr>
            <w:tcW w:w="1767" w:type="pct"/>
            <w:shd w:val="clear" w:color="auto" w:fill="auto"/>
            <w:noWrap/>
            <w:vAlign w:val="bottom"/>
            <w:hideMark/>
          </w:tcPr>
          <w:p w14:paraId="47DFA7CD" w14:textId="77777777" w:rsidR="00BF5C8C" w:rsidRPr="00686871" w:rsidRDefault="00BF5C8C">
            <w:pPr>
              <w:pStyle w:val="NoSpacing"/>
              <w:rPr>
                <w:sz w:val="18"/>
                <w:szCs w:val="18"/>
                <w:lang w:val="es-US" w:eastAsia="es-MX"/>
              </w:rPr>
            </w:pPr>
            <w:r w:rsidRPr="00686871">
              <w:rPr>
                <w:sz w:val="18"/>
                <w:szCs w:val="18"/>
                <w:lang w:val="es-US" w:eastAsia="es-MX"/>
              </w:rPr>
              <w:t>IPSL-CM6A-LR</w:t>
            </w:r>
          </w:p>
        </w:tc>
        <w:tc>
          <w:tcPr>
            <w:tcW w:w="1030" w:type="pct"/>
            <w:shd w:val="clear" w:color="auto" w:fill="auto"/>
            <w:noWrap/>
            <w:vAlign w:val="bottom"/>
            <w:hideMark/>
          </w:tcPr>
          <w:p w14:paraId="6A354062"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17F3D26F" w14:textId="77777777" w:rsidR="00BF5C8C" w:rsidRPr="00686871" w:rsidRDefault="00BF5C8C">
            <w:pPr>
              <w:pStyle w:val="NoSpacing"/>
              <w:jc w:val="center"/>
              <w:rPr>
                <w:sz w:val="18"/>
                <w:szCs w:val="18"/>
                <w:lang w:val="es-US" w:eastAsia="es-MX"/>
              </w:rPr>
            </w:pPr>
            <w:r w:rsidRPr="00EF20D3">
              <w:rPr>
                <w:sz w:val="18"/>
                <w:szCs w:val="18"/>
                <w:lang w:val="es-US" w:eastAsia="es-MX"/>
              </w:rPr>
              <w:t>x</w:t>
            </w:r>
          </w:p>
        </w:tc>
        <w:tc>
          <w:tcPr>
            <w:tcW w:w="881" w:type="pct"/>
            <w:shd w:val="clear" w:color="auto" w:fill="auto"/>
            <w:noWrap/>
            <w:vAlign w:val="bottom"/>
            <w:hideMark/>
          </w:tcPr>
          <w:p w14:paraId="7FDCB633"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1B8EC737" w14:textId="77777777" w:rsidTr="00BF5C8C">
        <w:trPr>
          <w:trHeight w:val="144"/>
        </w:trPr>
        <w:tc>
          <w:tcPr>
            <w:tcW w:w="292" w:type="pct"/>
            <w:vAlign w:val="bottom"/>
          </w:tcPr>
          <w:p w14:paraId="23390B37" w14:textId="77777777" w:rsidR="00BF5C8C" w:rsidRPr="00686871" w:rsidRDefault="00BF5C8C">
            <w:pPr>
              <w:pStyle w:val="NoSpacing"/>
              <w:rPr>
                <w:sz w:val="18"/>
                <w:szCs w:val="18"/>
                <w:lang w:val="es-US" w:eastAsia="es-MX"/>
              </w:rPr>
            </w:pPr>
            <w:r w:rsidRPr="00686871">
              <w:rPr>
                <w:sz w:val="18"/>
                <w:szCs w:val="18"/>
                <w:lang w:val="es-US" w:eastAsia="es-MX"/>
              </w:rPr>
              <w:t>21</w:t>
            </w:r>
          </w:p>
        </w:tc>
        <w:tc>
          <w:tcPr>
            <w:tcW w:w="1767" w:type="pct"/>
            <w:shd w:val="clear" w:color="auto" w:fill="auto"/>
            <w:noWrap/>
            <w:vAlign w:val="bottom"/>
            <w:hideMark/>
          </w:tcPr>
          <w:p w14:paraId="5E700F1A" w14:textId="77777777" w:rsidR="00BF5C8C" w:rsidRPr="00686871" w:rsidRDefault="00BF5C8C">
            <w:pPr>
              <w:pStyle w:val="NoSpacing"/>
              <w:rPr>
                <w:sz w:val="18"/>
                <w:szCs w:val="18"/>
                <w:lang w:val="es-US" w:eastAsia="es-MX"/>
              </w:rPr>
            </w:pPr>
            <w:r w:rsidRPr="00686871">
              <w:rPr>
                <w:sz w:val="18"/>
                <w:szCs w:val="18"/>
                <w:lang w:val="es-US" w:eastAsia="es-MX"/>
              </w:rPr>
              <w:t>KACE-1-0-G</w:t>
            </w:r>
          </w:p>
        </w:tc>
        <w:tc>
          <w:tcPr>
            <w:tcW w:w="1030" w:type="pct"/>
            <w:shd w:val="clear" w:color="auto" w:fill="auto"/>
            <w:noWrap/>
            <w:vAlign w:val="bottom"/>
            <w:hideMark/>
          </w:tcPr>
          <w:p w14:paraId="0C003549"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7F08E704" w14:textId="77777777" w:rsidR="00BF5C8C" w:rsidRPr="00686871" w:rsidRDefault="00BF5C8C">
            <w:pPr>
              <w:pStyle w:val="NoSpacing"/>
              <w:jc w:val="center"/>
              <w:rPr>
                <w:sz w:val="18"/>
                <w:szCs w:val="18"/>
                <w:lang w:val="es-US" w:eastAsia="es-MX"/>
              </w:rPr>
            </w:pPr>
            <w:r w:rsidRPr="00EF20D3">
              <w:rPr>
                <w:sz w:val="18"/>
                <w:szCs w:val="18"/>
                <w:lang w:val="es-US" w:eastAsia="es-MX"/>
              </w:rPr>
              <w:t>x</w:t>
            </w:r>
          </w:p>
        </w:tc>
        <w:tc>
          <w:tcPr>
            <w:tcW w:w="881" w:type="pct"/>
            <w:shd w:val="clear" w:color="auto" w:fill="auto"/>
            <w:noWrap/>
            <w:vAlign w:val="bottom"/>
            <w:hideMark/>
          </w:tcPr>
          <w:p w14:paraId="139378D2"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5E61ED7D" w14:textId="77777777" w:rsidTr="00BF5C8C">
        <w:trPr>
          <w:trHeight w:val="144"/>
        </w:trPr>
        <w:tc>
          <w:tcPr>
            <w:tcW w:w="292" w:type="pct"/>
            <w:vAlign w:val="bottom"/>
          </w:tcPr>
          <w:p w14:paraId="4F7D41ED" w14:textId="77777777" w:rsidR="00BF5C8C" w:rsidRPr="00686871" w:rsidRDefault="00BF5C8C">
            <w:pPr>
              <w:pStyle w:val="NoSpacing"/>
              <w:rPr>
                <w:sz w:val="18"/>
                <w:szCs w:val="18"/>
                <w:lang w:val="es-US" w:eastAsia="es-MX"/>
              </w:rPr>
            </w:pPr>
            <w:r w:rsidRPr="00686871">
              <w:rPr>
                <w:sz w:val="18"/>
                <w:szCs w:val="18"/>
                <w:lang w:val="es-US" w:eastAsia="es-MX"/>
              </w:rPr>
              <w:t>22</w:t>
            </w:r>
          </w:p>
        </w:tc>
        <w:tc>
          <w:tcPr>
            <w:tcW w:w="1767" w:type="pct"/>
            <w:shd w:val="clear" w:color="auto" w:fill="auto"/>
            <w:noWrap/>
            <w:vAlign w:val="bottom"/>
            <w:hideMark/>
          </w:tcPr>
          <w:p w14:paraId="1356FCBD" w14:textId="77777777" w:rsidR="00BF5C8C" w:rsidRPr="00686871" w:rsidRDefault="00BF5C8C">
            <w:pPr>
              <w:pStyle w:val="NoSpacing"/>
              <w:rPr>
                <w:sz w:val="18"/>
                <w:szCs w:val="18"/>
                <w:lang w:val="es-US" w:eastAsia="es-MX"/>
              </w:rPr>
            </w:pPr>
            <w:r w:rsidRPr="00686871">
              <w:rPr>
                <w:sz w:val="18"/>
                <w:szCs w:val="18"/>
                <w:lang w:val="es-US" w:eastAsia="es-MX"/>
              </w:rPr>
              <w:t>KIOST-ESM</w:t>
            </w:r>
          </w:p>
        </w:tc>
        <w:tc>
          <w:tcPr>
            <w:tcW w:w="1030" w:type="pct"/>
            <w:shd w:val="clear" w:color="auto" w:fill="auto"/>
            <w:noWrap/>
            <w:vAlign w:val="bottom"/>
            <w:hideMark/>
          </w:tcPr>
          <w:p w14:paraId="0B2A97C2"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7C0CB0AF" w14:textId="77777777" w:rsidR="00BF5C8C" w:rsidRPr="00686871" w:rsidRDefault="00BF5C8C">
            <w:pPr>
              <w:pStyle w:val="NoSpacing"/>
              <w:jc w:val="center"/>
              <w:rPr>
                <w:sz w:val="18"/>
                <w:szCs w:val="18"/>
                <w:lang w:val="es-US" w:eastAsia="es-MX"/>
              </w:rPr>
            </w:pPr>
          </w:p>
        </w:tc>
        <w:tc>
          <w:tcPr>
            <w:tcW w:w="881" w:type="pct"/>
            <w:shd w:val="clear" w:color="auto" w:fill="auto"/>
            <w:noWrap/>
            <w:vAlign w:val="bottom"/>
            <w:hideMark/>
          </w:tcPr>
          <w:p w14:paraId="0DE32728"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1A1EAFA0" w14:textId="77777777" w:rsidTr="00BF5C8C">
        <w:trPr>
          <w:trHeight w:val="144"/>
        </w:trPr>
        <w:tc>
          <w:tcPr>
            <w:tcW w:w="292" w:type="pct"/>
            <w:vAlign w:val="bottom"/>
          </w:tcPr>
          <w:p w14:paraId="6DE0CAF2" w14:textId="77777777" w:rsidR="00BF5C8C" w:rsidRPr="00686871" w:rsidRDefault="00BF5C8C">
            <w:pPr>
              <w:pStyle w:val="NoSpacing"/>
              <w:rPr>
                <w:sz w:val="18"/>
                <w:szCs w:val="18"/>
                <w:lang w:val="es-US" w:eastAsia="es-MX"/>
              </w:rPr>
            </w:pPr>
            <w:r w:rsidRPr="00686871">
              <w:rPr>
                <w:sz w:val="18"/>
                <w:szCs w:val="18"/>
                <w:lang w:val="es-US" w:eastAsia="es-MX"/>
              </w:rPr>
              <w:t>23</w:t>
            </w:r>
          </w:p>
        </w:tc>
        <w:tc>
          <w:tcPr>
            <w:tcW w:w="1767" w:type="pct"/>
            <w:shd w:val="clear" w:color="auto" w:fill="auto"/>
            <w:noWrap/>
            <w:vAlign w:val="bottom"/>
            <w:hideMark/>
          </w:tcPr>
          <w:p w14:paraId="63D68D63" w14:textId="77777777" w:rsidR="00BF5C8C" w:rsidRPr="00686871" w:rsidRDefault="00BF5C8C">
            <w:pPr>
              <w:pStyle w:val="NoSpacing"/>
              <w:rPr>
                <w:sz w:val="18"/>
                <w:szCs w:val="18"/>
                <w:lang w:val="es-US" w:eastAsia="es-MX"/>
              </w:rPr>
            </w:pPr>
            <w:r w:rsidRPr="00686871">
              <w:rPr>
                <w:sz w:val="18"/>
                <w:szCs w:val="18"/>
                <w:lang w:val="es-US" w:eastAsia="es-MX"/>
              </w:rPr>
              <w:t>MIROC-ES2L</w:t>
            </w:r>
          </w:p>
        </w:tc>
        <w:tc>
          <w:tcPr>
            <w:tcW w:w="1030" w:type="pct"/>
            <w:shd w:val="clear" w:color="auto" w:fill="auto"/>
            <w:noWrap/>
            <w:vAlign w:val="bottom"/>
            <w:hideMark/>
          </w:tcPr>
          <w:p w14:paraId="38FB0953"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11A18062" w14:textId="77777777" w:rsidR="00BF5C8C" w:rsidRPr="00686871" w:rsidRDefault="00BF5C8C">
            <w:pPr>
              <w:pStyle w:val="NoSpacing"/>
              <w:jc w:val="center"/>
              <w:rPr>
                <w:sz w:val="18"/>
                <w:szCs w:val="18"/>
                <w:lang w:val="es-US" w:eastAsia="es-MX"/>
              </w:rPr>
            </w:pPr>
            <w:r w:rsidRPr="00373AB0">
              <w:rPr>
                <w:sz w:val="18"/>
                <w:szCs w:val="18"/>
                <w:lang w:val="es-US" w:eastAsia="es-MX"/>
              </w:rPr>
              <w:t>x</w:t>
            </w:r>
          </w:p>
        </w:tc>
        <w:tc>
          <w:tcPr>
            <w:tcW w:w="881" w:type="pct"/>
            <w:shd w:val="clear" w:color="auto" w:fill="auto"/>
            <w:noWrap/>
            <w:vAlign w:val="bottom"/>
            <w:hideMark/>
          </w:tcPr>
          <w:p w14:paraId="7BC6F129"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3ED6F797" w14:textId="77777777" w:rsidTr="00BF5C8C">
        <w:trPr>
          <w:trHeight w:val="144"/>
        </w:trPr>
        <w:tc>
          <w:tcPr>
            <w:tcW w:w="292" w:type="pct"/>
            <w:vAlign w:val="bottom"/>
          </w:tcPr>
          <w:p w14:paraId="26445F06" w14:textId="77777777" w:rsidR="00BF5C8C" w:rsidRPr="00686871" w:rsidRDefault="00BF5C8C">
            <w:pPr>
              <w:pStyle w:val="NoSpacing"/>
              <w:rPr>
                <w:sz w:val="18"/>
                <w:szCs w:val="18"/>
                <w:lang w:val="es-US" w:eastAsia="es-MX"/>
              </w:rPr>
            </w:pPr>
            <w:r w:rsidRPr="00686871">
              <w:rPr>
                <w:sz w:val="18"/>
                <w:szCs w:val="18"/>
                <w:lang w:val="es-US" w:eastAsia="es-MX"/>
              </w:rPr>
              <w:t>24</w:t>
            </w:r>
          </w:p>
        </w:tc>
        <w:tc>
          <w:tcPr>
            <w:tcW w:w="1767" w:type="pct"/>
            <w:shd w:val="clear" w:color="auto" w:fill="auto"/>
            <w:noWrap/>
            <w:vAlign w:val="bottom"/>
            <w:hideMark/>
          </w:tcPr>
          <w:p w14:paraId="27FE311D" w14:textId="77777777" w:rsidR="00BF5C8C" w:rsidRPr="00686871" w:rsidRDefault="00BF5C8C">
            <w:pPr>
              <w:pStyle w:val="NoSpacing"/>
              <w:rPr>
                <w:sz w:val="18"/>
                <w:szCs w:val="18"/>
                <w:lang w:val="es-US" w:eastAsia="es-MX"/>
              </w:rPr>
            </w:pPr>
            <w:r w:rsidRPr="00686871">
              <w:rPr>
                <w:sz w:val="18"/>
                <w:szCs w:val="18"/>
                <w:lang w:val="es-US" w:eastAsia="es-MX"/>
              </w:rPr>
              <w:t>MIROC6</w:t>
            </w:r>
          </w:p>
        </w:tc>
        <w:tc>
          <w:tcPr>
            <w:tcW w:w="1030" w:type="pct"/>
            <w:shd w:val="clear" w:color="auto" w:fill="auto"/>
            <w:noWrap/>
            <w:vAlign w:val="bottom"/>
            <w:hideMark/>
          </w:tcPr>
          <w:p w14:paraId="5DAEE765"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19F000EF" w14:textId="77777777" w:rsidR="00BF5C8C" w:rsidRPr="00686871" w:rsidRDefault="00BF5C8C">
            <w:pPr>
              <w:pStyle w:val="NoSpacing"/>
              <w:jc w:val="center"/>
              <w:rPr>
                <w:sz w:val="18"/>
                <w:szCs w:val="18"/>
                <w:lang w:val="es-US" w:eastAsia="es-MX"/>
              </w:rPr>
            </w:pPr>
            <w:r w:rsidRPr="00373AB0">
              <w:rPr>
                <w:sz w:val="18"/>
                <w:szCs w:val="18"/>
                <w:lang w:val="es-US" w:eastAsia="es-MX"/>
              </w:rPr>
              <w:t>x</w:t>
            </w:r>
          </w:p>
        </w:tc>
        <w:tc>
          <w:tcPr>
            <w:tcW w:w="881" w:type="pct"/>
            <w:shd w:val="clear" w:color="auto" w:fill="auto"/>
            <w:noWrap/>
            <w:vAlign w:val="bottom"/>
            <w:hideMark/>
          </w:tcPr>
          <w:p w14:paraId="2760923D"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62926E6B" w14:textId="77777777" w:rsidTr="00BF5C8C">
        <w:trPr>
          <w:trHeight w:val="144"/>
        </w:trPr>
        <w:tc>
          <w:tcPr>
            <w:tcW w:w="292" w:type="pct"/>
            <w:vAlign w:val="bottom"/>
          </w:tcPr>
          <w:p w14:paraId="57E535FE" w14:textId="77777777" w:rsidR="00BF5C8C" w:rsidRPr="00686871" w:rsidRDefault="00BF5C8C">
            <w:pPr>
              <w:pStyle w:val="NoSpacing"/>
              <w:rPr>
                <w:sz w:val="18"/>
                <w:szCs w:val="18"/>
                <w:lang w:val="es-US" w:eastAsia="es-MX"/>
              </w:rPr>
            </w:pPr>
            <w:r w:rsidRPr="00686871">
              <w:rPr>
                <w:sz w:val="18"/>
                <w:szCs w:val="18"/>
                <w:lang w:val="es-US" w:eastAsia="es-MX"/>
              </w:rPr>
              <w:t>25</w:t>
            </w:r>
          </w:p>
        </w:tc>
        <w:tc>
          <w:tcPr>
            <w:tcW w:w="1767" w:type="pct"/>
            <w:shd w:val="clear" w:color="auto" w:fill="auto"/>
            <w:noWrap/>
            <w:vAlign w:val="bottom"/>
            <w:hideMark/>
          </w:tcPr>
          <w:p w14:paraId="0F553ED2" w14:textId="77777777" w:rsidR="00BF5C8C" w:rsidRPr="00686871" w:rsidRDefault="00BF5C8C">
            <w:pPr>
              <w:pStyle w:val="NoSpacing"/>
              <w:rPr>
                <w:sz w:val="18"/>
                <w:szCs w:val="18"/>
                <w:lang w:val="es-US" w:eastAsia="es-MX"/>
              </w:rPr>
            </w:pPr>
            <w:r w:rsidRPr="00686871">
              <w:rPr>
                <w:sz w:val="18"/>
                <w:szCs w:val="18"/>
                <w:lang w:val="es-US" w:eastAsia="es-MX"/>
              </w:rPr>
              <w:t>MPI-ESM1-2-HR</w:t>
            </w:r>
          </w:p>
        </w:tc>
        <w:tc>
          <w:tcPr>
            <w:tcW w:w="1030" w:type="pct"/>
            <w:shd w:val="clear" w:color="auto" w:fill="auto"/>
            <w:noWrap/>
            <w:vAlign w:val="bottom"/>
            <w:hideMark/>
          </w:tcPr>
          <w:p w14:paraId="5457C732"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468198E3" w14:textId="77777777" w:rsidR="00BF5C8C" w:rsidRPr="00686871" w:rsidRDefault="00BF5C8C">
            <w:pPr>
              <w:pStyle w:val="NoSpacing"/>
              <w:jc w:val="center"/>
              <w:rPr>
                <w:sz w:val="18"/>
                <w:szCs w:val="18"/>
                <w:lang w:val="es-US" w:eastAsia="es-MX"/>
              </w:rPr>
            </w:pPr>
            <w:r w:rsidRPr="00373AB0">
              <w:rPr>
                <w:sz w:val="18"/>
                <w:szCs w:val="18"/>
                <w:lang w:val="es-US" w:eastAsia="es-MX"/>
              </w:rPr>
              <w:t>x</w:t>
            </w:r>
          </w:p>
        </w:tc>
        <w:tc>
          <w:tcPr>
            <w:tcW w:w="881" w:type="pct"/>
            <w:shd w:val="clear" w:color="auto" w:fill="auto"/>
            <w:noWrap/>
            <w:vAlign w:val="bottom"/>
            <w:hideMark/>
          </w:tcPr>
          <w:p w14:paraId="74D3207E"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1876F16D" w14:textId="77777777" w:rsidTr="00BF5C8C">
        <w:trPr>
          <w:trHeight w:val="144"/>
        </w:trPr>
        <w:tc>
          <w:tcPr>
            <w:tcW w:w="292" w:type="pct"/>
            <w:vAlign w:val="bottom"/>
          </w:tcPr>
          <w:p w14:paraId="26A2E740" w14:textId="77777777" w:rsidR="00BF5C8C" w:rsidRPr="00686871" w:rsidRDefault="00BF5C8C">
            <w:pPr>
              <w:pStyle w:val="NoSpacing"/>
              <w:rPr>
                <w:sz w:val="18"/>
                <w:szCs w:val="18"/>
                <w:lang w:val="es-US" w:eastAsia="es-MX"/>
              </w:rPr>
            </w:pPr>
            <w:r w:rsidRPr="00686871">
              <w:rPr>
                <w:sz w:val="18"/>
                <w:szCs w:val="18"/>
                <w:lang w:val="es-US" w:eastAsia="es-MX"/>
              </w:rPr>
              <w:t>26</w:t>
            </w:r>
          </w:p>
        </w:tc>
        <w:tc>
          <w:tcPr>
            <w:tcW w:w="1767" w:type="pct"/>
            <w:shd w:val="clear" w:color="auto" w:fill="auto"/>
            <w:noWrap/>
            <w:vAlign w:val="bottom"/>
            <w:hideMark/>
          </w:tcPr>
          <w:p w14:paraId="528E36B3" w14:textId="77777777" w:rsidR="00BF5C8C" w:rsidRPr="00686871" w:rsidRDefault="00BF5C8C">
            <w:pPr>
              <w:pStyle w:val="NoSpacing"/>
              <w:rPr>
                <w:sz w:val="18"/>
                <w:szCs w:val="18"/>
                <w:lang w:val="es-US" w:eastAsia="es-MX"/>
              </w:rPr>
            </w:pPr>
            <w:r w:rsidRPr="00686871">
              <w:rPr>
                <w:sz w:val="18"/>
                <w:szCs w:val="18"/>
                <w:lang w:val="es-US" w:eastAsia="es-MX"/>
              </w:rPr>
              <w:t>MPI-ESM1-2-LR</w:t>
            </w:r>
          </w:p>
        </w:tc>
        <w:tc>
          <w:tcPr>
            <w:tcW w:w="1030" w:type="pct"/>
            <w:shd w:val="clear" w:color="auto" w:fill="auto"/>
            <w:noWrap/>
            <w:vAlign w:val="bottom"/>
            <w:hideMark/>
          </w:tcPr>
          <w:p w14:paraId="34D55090"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76806E7D" w14:textId="77777777" w:rsidR="00BF5C8C" w:rsidRPr="00686871" w:rsidRDefault="00BF5C8C">
            <w:pPr>
              <w:pStyle w:val="NoSpacing"/>
              <w:jc w:val="center"/>
              <w:rPr>
                <w:sz w:val="18"/>
                <w:szCs w:val="18"/>
                <w:lang w:val="es-US" w:eastAsia="es-MX"/>
              </w:rPr>
            </w:pPr>
            <w:r w:rsidRPr="00373AB0">
              <w:rPr>
                <w:sz w:val="18"/>
                <w:szCs w:val="18"/>
                <w:lang w:val="es-US" w:eastAsia="es-MX"/>
              </w:rPr>
              <w:t>x</w:t>
            </w:r>
          </w:p>
        </w:tc>
        <w:tc>
          <w:tcPr>
            <w:tcW w:w="881" w:type="pct"/>
            <w:shd w:val="clear" w:color="auto" w:fill="auto"/>
            <w:noWrap/>
            <w:vAlign w:val="bottom"/>
            <w:hideMark/>
          </w:tcPr>
          <w:p w14:paraId="381BAADF"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0B1A073C" w14:textId="77777777" w:rsidTr="00BF5C8C">
        <w:trPr>
          <w:trHeight w:val="144"/>
        </w:trPr>
        <w:tc>
          <w:tcPr>
            <w:tcW w:w="292" w:type="pct"/>
            <w:vAlign w:val="bottom"/>
          </w:tcPr>
          <w:p w14:paraId="26188FDB" w14:textId="77777777" w:rsidR="00BF5C8C" w:rsidRPr="00686871" w:rsidRDefault="00BF5C8C">
            <w:pPr>
              <w:pStyle w:val="NoSpacing"/>
              <w:rPr>
                <w:sz w:val="18"/>
                <w:szCs w:val="18"/>
                <w:lang w:val="es-US" w:eastAsia="es-MX"/>
              </w:rPr>
            </w:pPr>
            <w:r w:rsidRPr="00686871">
              <w:rPr>
                <w:sz w:val="18"/>
                <w:szCs w:val="18"/>
                <w:lang w:val="es-US" w:eastAsia="es-MX"/>
              </w:rPr>
              <w:t>27</w:t>
            </w:r>
          </w:p>
        </w:tc>
        <w:tc>
          <w:tcPr>
            <w:tcW w:w="1767" w:type="pct"/>
            <w:shd w:val="clear" w:color="auto" w:fill="auto"/>
            <w:noWrap/>
            <w:vAlign w:val="bottom"/>
            <w:hideMark/>
          </w:tcPr>
          <w:p w14:paraId="17539350" w14:textId="77777777" w:rsidR="00BF5C8C" w:rsidRPr="00686871" w:rsidRDefault="00BF5C8C">
            <w:pPr>
              <w:pStyle w:val="NoSpacing"/>
              <w:rPr>
                <w:sz w:val="18"/>
                <w:szCs w:val="18"/>
                <w:lang w:val="es-US" w:eastAsia="es-MX"/>
              </w:rPr>
            </w:pPr>
            <w:r w:rsidRPr="00686871">
              <w:rPr>
                <w:sz w:val="18"/>
                <w:szCs w:val="18"/>
                <w:lang w:val="es-US" w:eastAsia="es-MX"/>
              </w:rPr>
              <w:t>MRI-ESM2-0</w:t>
            </w:r>
          </w:p>
        </w:tc>
        <w:tc>
          <w:tcPr>
            <w:tcW w:w="1030" w:type="pct"/>
            <w:shd w:val="clear" w:color="auto" w:fill="auto"/>
            <w:noWrap/>
            <w:vAlign w:val="bottom"/>
            <w:hideMark/>
          </w:tcPr>
          <w:p w14:paraId="7C4713DD"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4DD20124" w14:textId="77777777" w:rsidR="00BF5C8C" w:rsidRPr="00686871" w:rsidRDefault="00BF5C8C">
            <w:pPr>
              <w:pStyle w:val="NoSpacing"/>
              <w:jc w:val="center"/>
              <w:rPr>
                <w:sz w:val="18"/>
                <w:szCs w:val="18"/>
                <w:lang w:val="es-US" w:eastAsia="es-MX"/>
              </w:rPr>
            </w:pPr>
            <w:r w:rsidRPr="00373AB0">
              <w:rPr>
                <w:sz w:val="18"/>
                <w:szCs w:val="18"/>
                <w:lang w:val="es-US" w:eastAsia="es-MX"/>
              </w:rPr>
              <w:t>x</w:t>
            </w:r>
          </w:p>
        </w:tc>
        <w:tc>
          <w:tcPr>
            <w:tcW w:w="881" w:type="pct"/>
            <w:shd w:val="clear" w:color="auto" w:fill="auto"/>
            <w:noWrap/>
            <w:vAlign w:val="bottom"/>
            <w:hideMark/>
          </w:tcPr>
          <w:p w14:paraId="0C82A5A9"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4D4F95F5" w14:textId="77777777" w:rsidTr="00BF5C8C">
        <w:trPr>
          <w:trHeight w:val="144"/>
        </w:trPr>
        <w:tc>
          <w:tcPr>
            <w:tcW w:w="292" w:type="pct"/>
            <w:vAlign w:val="bottom"/>
          </w:tcPr>
          <w:p w14:paraId="00943D2D" w14:textId="77777777" w:rsidR="00BF5C8C" w:rsidRPr="00686871" w:rsidRDefault="00BF5C8C">
            <w:pPr>
              <w:pStyle w:val="NoSpacing"/>
              <w:rPr>
                <w:sz w:val="18"/>
                <w:szCs w:val="18"/>
                <w:lang w:val="es-US" w:eastAsia="es-MX"/>
              </w:rPr>
            </w:pPr>
            <w:r w:rsidRPr="00686871">
              <w:rPr>
                <w:sz w:val="18"/>
                <w:szCs w:val="18"/>
                <w:lang w:val="es-US" w:eastAsia="es-MX"/>
              </w:rPr>
              <w:t>28</w:t>
            </w:r>
          </w:p>
        </w:tc>
        <w:tc>
          <w:tcPr>
            <w:tcW w:w="1767" w:type="pct"/>
            <w:shd w:val="clear" w:color="auto" w:fill="auto"/>
            <w:noWrap/>
            <w:vAlign w:val="bottom"/>
            <w:hideMark/>
          </w:tcPr>
          <w:p w14:paraId="51FB998D" w14:textId="77777777" w:rsidR="00BF5C8C" w:rsidRPr="00686871" w:rsidRDefault="00BF5C8C">
            <w:pPr>
              <w:pStyle w:val="NoSpacing"/>
              <w:rPr>
                <w:sz w:val="18"/>
                <w:szCs w:val="18"/>
                <w:lang w:val="es-US" w:eastAsia="es-MX"/>
              </w:rPr>
            </w:pPr>
            <w:r w:rsidRPr="00686871">
              <w:rPr>
                <w:sz w:val="18"/>
                <w:szCs w:val="18"/>
                <w:lang w:val="es-US" w:eastAsia="es-MX"/>
              </w:rPr>
              <w:t>NESM3</w:t>
            </w:r>
          </w:p>
        </w:tc>
        <w:tc>
          <w:tcPr>
            <w:tcW w:w="1030" w:type="pct"/>
            <w:shd w:val="clear" w:color="auto" w:fill="auto"/>
            <w:noWrap/>
            <w:vAlign w:val="bottom"/>
            <w:hideMark/>
          </w:tcPr>
          <w:p w14:paraId="3C3E8486"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456EE6DD" w14:textId="77777777" w:rsidR="00BF5C8C" w:rsidRPr="00686871" w:rsidRDefault="00BF5C8C">
            <w:pPr>
              <w:pStyle w:val="NoSpacing"/>
              <w:jc w:val="center"/>
              <w:rPr>
                <w:sz w:val="18"/>
                <w:szCs w:val="18"/>
                <w:lang w:val="es-US" w:eastAsia="es-MX"/>
              </w:rPr>
            </w:pPr>
          </w:p>
        </w:tc>
        <w:tc>
          <w:tcPr>
            <w:tcW w:w="881" w:type="pct"/>
            <w:shd w:val="clear" w:color="auto" w:fill="auto"/>
            <w:noWrap/>
            <w:vAlign w:val="bottom"/>
            <w:hideMark/>
          </w:tcPr>
          <w:p w14:paraId="4A9B927D"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5E8C3581" w14:textId="77777777" w:rsidTr="00BF5C8C">
        <w:trPr>
          <w:trHeight w:val="144"/>
        </w:trPr>
        <w:tc>
          <w:tcPr>
            <w:tcW w:w="292" w:type="pct"/>
            <w:vAlign w:val="bottom"/>
          </w:tcPr>
          <w:p w14:paraId="0138BBF6" w14:textId="77777777" w:rsidR="00BF5C8C" w:rsidRPr="00686871" w:rsidRDefault="00BF5C8C">
            <w:pPr>
              <w:pStyle w:val="NoSpacing"/>
              <w:rPr>
                <w:sz w:val="18"/>
                <w:szCs w:val="18"/>
                <w:lang w:val="es-US" w:eastAsia="es-MX"/>
              </w:rPr>
            </w:pPr>
            <w:r w:rsidRPr="00686871">
              <w:rPr>
                <w:sz w:val="18"/>
                <w:szCs w:val="18"/>
                <w:lang w:val="es-US" w:eastAsia="es-MX"/>
              </w:rPr>
              <w:t>29</w:t>
            </w:r>
          </w:p>
        </w:tc>
        <w:tc>
          <w:tcPr>
            <w:tcW w:w="1767" w:type="pct"/>
            <w:shd w:val="clear" w:color="auto" w:fill="auto"/>
            <w:noWrap/>
            <w:vAlign w:val="bottom"/>
            <w:hideMark/>
          </w:tcPr>
          <w:p w14:paraId="788F8BAE" w14:textId="77777777" w:rsidR="00BF5C8C" w:rsidRPr="00686871" w:rsidRDefault="00BF5C8C">
            <w:pPr>
              <w:pStyle w:val="NoSpacing"/>
              <w:rPr>
                <w:sz w:val="18"/>
                <w:szCs w:val="18"/>
                <w:lang w:val="es-US" w:eastAsia="es-MX"/>
              </w:rPr>
            </w:pPr>
            <w:r w:rsidRPr="00686871">
              <w:rPr>
                <w:sz w:val="18"/>
                <w:szCs w:val="18"/>
                <w:lang w:val="es-US" w:eastAsia="es-MX"/>
              </w:rPr>
              <w:t>NorESM2-LM</w:t>
            </w:r>
          </w:p>
        </w:tc>
        <w:tc>
          <w:tcPr>
            <w:tcW w:w="1030" w:type="pct"/>
            <w:shd w:val="clear" w:color="auto" w:fill="auto"/>
            <w:noWrap/>
            <w:vAlign w:val="bottom"/>
            <w:hideMark/>
          </w:tcPr>
          <w:p w14:paraId="35EE7EB6"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197FCBBC" w14:textId="77777777" w:rsidR="00BF5C8C" w:rsidRPr="00686871" w:rsidRDefault="00BF5C8C">
            <w:pPr>
              <w:pStyle w:val="NoSpacing"/>
              <w:jc w:val="center"/>
              <w:rPr>
                <w:sz w:val="18"/>
                <w:szCs w:val="18"/>
                <w:lang w:val="es-US" w:eastAsia="es-MX"/>
              </w:rPr>
            </w:pPr>
            <w:r w:rsidRPr="00D05DB6">
              <w:rPr>
                <w:sz w:val="18"/>
                <w:szCs w:val="18"/>
                <w:lang w:val="es-US" w:eastAsia="es-MX"/>
              </w:rPr>
              <w:t>x</w:t>
            </w:r>
          </w:p>
        </w:tc>
        <w:tc>
          <w:tcPr>
            <w:tcW w:w="881" w:type="pct"/>
            <w:shd w:val="clear" w:color="auto" w:fill="auto"/>
            <w:noWrap/>
            <w:vAlign w:val="bottom"/>
            <w:hideMark/>
          </w:tcPr>
          <w:p w14:paraId="56B7A6F0"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2FAECE24" w14:textId="77777777" w:rsidTr="00BF5C8C">
        <w:trPr>
          <w:trHeight w:val="144"/>
        </w:trPr>
        <w:tc>
          <w:tcPr>
            <w:tcW w:w="292" w:type="pct"/>
            <w:vAlign w:val="bottom"/>
          </w:tcPr>
          <w:p w14:paraId="43ED7A6B" w14:textId="77777777" w:rsidR="00BF5C8C" w:rsidRPr="00686871" w:rsidRDefault="00BF5C8C">
            <w:pPr>
              <w:pStyle w:val="NoSpacing"/>
              <w:rPr>
                <w:sz w:val="18"/>
                <w:szCs w:val="18"/>
                <w:lang w:val="es-US" w:eastAsia="es-MX"/>
              </w:rPr>
            </w:pPr>
            <w:r w:rsidRPr="00686871">
              <w:rPr>
                <w:sz w:val="18"/>
                <w:szCs w:val="18"/>
                <w:lang w:val="es-US" w:eastAsia="es-MX"/>
              </w:rPr>
              <w:t>30</w:t>
            </w:r>
          </w:p>
        </w:tc>
        <w:tc>
          <w:tcPr>
            <w:tcW w:w="1767" w:type="pct"/>
            <w:shd w:val="clear" w:color="auto" w:fill="auto"/>
            <w:noWrap/>
            <w:vAlign w:val="bottom"/>
            <w:hideMark/>
          </w:tcPr>
          <w:p w14:paraId="087E2B93" w14:textId="77777777" w:rsidR="00BF5C8C" w:rsidRPr="00686871" w:rsidRDefault="00BF5C8C">
            <w:pPr>
              <w:pStyle w:val="NoSpacing"/>
              <w:rPr>
                <w:sz w:val="18"/>
                <w:szCs w:val="18"/>
                <w:lang w:val="es-US" w:eastAsia="es-MX"/>
              </w:rPr>
            </w:pPr>
            <w:r w:rsidRPr="00686871">
              <w:rPr>
                <w:sz w:val="18"/>
                <w:szCs w:val="18"/>
                <w:lang w:val="es-US" w:eastAsia="es-MX"/>
              </w:rPr>
              <w:t>NorESM2-MM</w:t>
            </w:r>
          </w:p>
        </w:tc>
        <w:tc>
          <w:tcPr>
            <w:tcW w:w="1030" w:type="pct"/>
            <w:shd w:val="clear" w:color="auto" w:fill="auto"/>
            <w:noWrap/>
            <w:vAlign w:val="bottom"/>
            <w:hideMark/>
          </w:tcPr>
          <w:p w14:paraId="6B5A4B91"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0211D71E" w14:textId="77777777" w:rsidR="00BF5C8C" w:rsidRPr="00686871" w:rsidRDefault="00BF5C8C">
            <w:pPr>
              <w:pStyle w:val="NoSpacing"/>
              <w:jc w:val="center"/>
              <w:rPr>
                <w:sz w:val="18"/>
                <w:szCs w:val="18"/>
                <w:lang w:val="es-US" w:eastAsia="es-MX"/>
              </w:rPr>
            </w:pPr>
            <w:r w:rsidRPr="00D05DB6">
              <w:rPr>
                <w:sz w:val="18"/>
                <w:szCs w:val="18"/>
                <w:lang w:val="es-US" w:eastAsia="es-MX"/>
              </w:rPr>
              <w:t>x</w:t>
            </w:r>
          </w:p>
        </w:tc>
        <w:tc>
          <w:tcPr>
            <w:tcW w:w="881" w:type="pct"/>
            <w:shd w:val="clear" w:color="auto" w:fill="auto"/>
            <w:noWrap/>
            <w:vAlign w:val="bottom"/>
            <w:hideMark/>
          </w:tcPr>
          <w:p w14:paraId="01763A7F"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1DD3E5EB" w14:textId="77777777" w:rsidTr="00BF5C8C">
        <w:trPr>
          <w:trHeight w:val="144"/>
        </w:trPr>
        <w:tc>
          <w:tcPr>
            <w:tcW w:w="292" w:type="pct"/>
            <w:vAlign w:val="bottom"/>
          </w:tcPr>
          <w:p w14:paraId="602707CC" w14:textId="77777777" w:rsidR="00BF5C8C" w:rsidRPr="00686871" w:rsidRDefault="00BF5C8C">
            <w:pPr>
              <w:pStyle w:val="NoSpacing"/>
              <w:rPr>
                <w:sz w:val="18"/>
                <w:szCs w:val="18"/>
                <w:lang w:val="es-US" w:eastAsia="es-MX"/>
              </w:rPr>
            </w:pPr>
            <w:r w:rsidRPr="00686871">
              <w:rPr>
                <w:sz w:val="18"/>
                <w:szCs w:val="18"/>
                <w:lang w:val="es-US" w:eastAsia="es-MX"/>
              </w:rPr>
              <w:t>31</w:t>
            </w:r>
          </w:p>
        </w:tc>
        <w:tc>
          <w:tcPr>
            <w:tcW w:w="1767" w:type="pct"/>
            <w:shd w:val="clear" w:color="auto" w:fill="auto"/>
            <w:noWrap/>
            <w:vAlign w:val="bottom"/>
            <w:hideMark/>
          </w:tcPr>
          <w:p w14:paraId="54630A34" w14:textId="77777777" w:rsidR="00BF5C8C" w:rsidRPr="00686871" w:rsidRDefault="00BF5C8C">
            <w:pPr>
              <w:pStyle w:val="NoSpacing"/>
              <w:rPr>
                <w:sz w:val="18"/>
                <w:szCs w:val="18"/>
                <w:lang w:val="es-US" w:eastAsia="es-MX"/>
              </w:rPr>
            </w:pPr>
            <w:r w:rsidRPr="00686871">
              <w:rPr>
                <w:sz w:val="18"/>
                <w:szCs w:val="18"/>
                <w:lang w:val="es-US" w:eastAsia="es-MX"/>
              </w:rPr>
              <w:t>TaiESM1</w:t>
            </w:r>
          </w:p>
        </w:tc>
        <w:tc>
          <w:tcPr>
            <w:tcW w:w="1030" w:type="pct"/>
            <w:shd w:val="clear" w:color="auto" w:fill="auto"/>
            <w:noWrap/>
            <w:vAlign w:val="bottom"/>
            <w:hideMark/>
          </w:tcPr>
          <w:p w14:paraId="768B58B6"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shd w:val="clear" w:color="auto" w:fill="auto"/>
            <w:noWrap/>
            <w:vAlign w:val="bottom"/>
            <w:hideMark/>
          </w:tcPr>
          <w:p w14:paraId="5AD72691" w14:textId="77777777" w:rsidR="00BF5C8C" w:rsidRPr="00686871" w:rsidRDefault="00BF5C8C">
            <w:pPr>
              <w:pStyle w:val="NoSpacing"/>
              <w:jc w:val="center"/>
              <w:rPr>
                <w:sz w:val="18"/>
                <w:szCs w:val="18"/>
                <w:lang w:val="es-US" w:eastAsia="es-MX"/>
              </w:rPr>
            </w:pPr>
            <w:r w:rsidRPr="00D05DB6">
              <w:rPr>
                <w:sz w:val="18"/>
                <w:szCs w:val="18"/>
                <w:lang w:val="es-US" w:eastAsia="es-MX"/>
              </w:rPr>
              <w:t>x</w:t>
            </w:r>
          </w:p>
        </w:tc>
        <w:tc>
          <w:tcPr>
            <w:tcW w:w="881" w:type="pct"/>
            <w:shd w:val="clear" w:color="auto" w:fill="auto"/>
            <w:noWrap/>
            <w:vAlign w:val="bottom"/>
            <w:hideMark/>
          </w:tcPr>
          <w:p w14:paraId="0AEF6A76"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r w:rsidR="00BF5C8C" w:rsidRPr="00686871" w14:paraId="19779816" w14:textId="77777777" w:rsidTr="00BF5C8C">
        <w:trPr>
          <w:trHeight w:val="144"/>
        </w:trPr>
        <w:tc>
          <w:tcPr>
            <w:tcW w:w="292" w:type="pct"/>
            <w:tcBorders>
              <w:bottom w:val="single" w:sz="4" w:space="0" w:color="auto"/>
            </w:tcBorders>
            <w:vAlign w:val="bottom"/>
          </w:tcPr>
          <w:p w14:paraId="652832EC" w14:textId="77777777" w:rsidR="00BF5C8C" w:rsidRPr="00686871" w:rsidRDefault="00BF5C8C">
            <w:pPr>
              <w:pStyle w:val="NoSpacing"/>
              <w:rPr>
                <w:sz w:val="18"/>
                <w:szCs w:val="18"/>
                <w:lang w:val="es-US" w:eastAsia="es-MX"/>
              </w:rPr>
            </w:pPr>
            <w:r w:rsidRPr="00686871">
              <w:rPr>
                <w:sz w:val="18"/>
                <w:szCs w:val="18"/>
                <w:lang w:val="es-US" w:eastAsia="es-MX"/>
              </w:rPr>
              <w:t>32</w:t>
            </w:r>
          </w:p>
        </w:tc>
        <w:tc>
          <w:tcPr>
            <w:tcW w:w="1767" w:type="pct"/>
            <w:tcBorders>
              <w:bottom w:val="single" w:sz="4" w:space="0" w:color="auto"/>
            </w:tcBorders>
            <w:shd w:val="clear" w:color="auto" w:fill="auto"/>
            <w:noWrap/>
            <w:vAlign w:val="bottom"/>
            <w:hideMark/>
          </w:tcPr>
          <w:p w14:paraId="52367DAC" w14:textId="77777777" w:rsidR="00BF5C8C" w:rsidRPr="00686871" w:rsidRDefault="00BF5C8C">
            <w:pPr>
              <w:pStyle w:val="NoSpacing"/>
              <w:rPr>
                <w:sz w:val="18"/>
                <w:szCs w:val="18"/>
                <w:lang w:val="es-US" w:eastAsia="es-MX"/>
              </w:rPr>
            </w:pPr>
            <w:r w:rsidRPr="00686871">
              <w:rPr>
                <w:sz w:val="18"/>
                <w:szCs w:val="18"/>
                <w:lang w:val="es-US" w:eastAsia="es-MX"/>
              </w:rPr>
              <w:t>UKESM1-0-LL</w:t>
            </w:r>
          </w:p>
        </w:tc>
        <w:tc>
          <w:tcPr>
            <w:tcW w:w="1030" w:type="pct"/>
            <w:tcBorders>
              <w:bottom w:val="single" w:sz="4" w:space="0" w:color="auto"/>
            </w:tcBorders>
            <w:shd w:val="clear" w:color="auto" w:fill="auto"/>
            <w:noWrap/>
            <w:vAlign w:val="bottom"/>
            <w:hideMark/>
          </w:tcPr>
          <w:p w14:paraId="0F800595" w14:textId="77777777" w:rsidR="00BF5C8C" w:rsidRPr="00686871" w:rsidRDefault="00BF5C8C">
            <w:pPr>
              <w:pStyle w:val="NoSpacing"/>
              <w:jc w:val="center"/>
              <w:rPr>
                <w:sz w:val="18"/>
                <w:szCs w:val="18"/>
                <w:lang w:val="es-US" w:eastAsia="es-MX"/>
              </w:rPr>
            </w:pPr>
            <w:r w:rsidRPr="005148A8">
              <w:rPr>
                <w:sz w:val="18"/>
                <w:szCs w:val="18"/>
                <w:lang w:val="es-US" w:eastAsia="es-MX"/>
              </w:rPr>
              <w:t>x</w:t>
            </w:r>
          </w:p>
        </w:tc>
        <w:tc>
          <w:tcPr>
            <w:tcW w:w="1030" w:type="pct"/>
            <w:tcBorders>
              <w:bottom w:val="single" w:sz="4" w:space="0" w:color="auto"/>
            </w:tcBorders>
            <w:shd w:val="clear" w:color="auto" w:fill="auto"/>
            <w:noWrap/>
            <w:vAlign w:val="bottom"/>
            <w:hideMark/>
          </w:tcPr>
          <w:p w14:paraId="3D62CD4A" w14:textId="77777777" w:rsidR="00BF5C8C" w:rsidRPr="00686871" w:rsidRDefault="00BF5C8C">
            <w:pPr>
              <w:pStyle w:val="NoSpacing"/>
              <w:jc w:val="center"/>
              <w:rPr>
                <w:sz w:val="18"/>
                <w:szCs w:val="18"/>
                <w:lang w:val="es-US" w:eastAsia="es-MX"/>
              </w:rPr>
            </w:pPr>
            <w:r w:rsidRPr="00D05DB6">
              <w:rPr>
                <w:sz w:val="18"/>
                <w:szCs w:val="18"/>
                <w:lang w:val="es-US" w:eastAsia="es-MX"/>
              </w:rPr>
              <w:t>x</w:t>
            </w:r>
          </w:p>
        </w:tc>
        <w:tc>
          <w:tcPr>
            <w:tcW w:w="881" w:type="pct"/>
            <w:tcBorders>
              <w:bottom w:val="single" w:sz="4" w:space="0" w:color="auto"/>
            </w:tcBorders>
            <w:shd w:val="clear" w:color="auto" w:fill="auto"/>
            <w:noWrap/>
            <w:vAlign w:val="bottom"/>
            <w:hideMark/>
          </w:tcPr>
          <w:p w14:paraId="126A7783" w14:textId="77777777" w:rsidR="00BF5C8C" w:rsidRPr="00686871" w:rsidRDefault="00BF5C8C">
            <w:pPr>
              <w:pStyle w:val="NoSpacing"/>
              <w:jc w:val="center"/>
              <w:rPr>
                <w:sz w:val="18"/>
                <w:szCs w:val="18"/>
                <w:lang w:val="es-US" w:eastAsia="es-MX"/>
              </w:rPr>
            </w:pPr>
            <w:r w:rsidRPr="00187704">
              <w:rPr>
                <w:sz w:val="18"/>
                <w:szCs w:val="18"/>
                <w:lang w:val="es-US" w:eastAsia="es-MX"/>
              </w:rPr>
              <w:t>x</w:t>
            </w:r>
          </w:p>
        </w:tc>
      </w:tr>
    </w:tbl>
    <w:p w14:paraId="5CDEB832" w14:textId="4F848950" w:rsidR="00BF5C8C" w:rsidRDefault="00BF5C8C" w:rsidP="00E80E4F">
      <w:proofErr w:type="spellStart"/>
      <w:proofErr w:type="gramStart"/>
      <w:r w:rsidRPr="007947DD">
        <w:rPr>
          <w:vertAlign w:val="superscript"/>
        </w:rPr>
        <w:t>a,b</w:t>
      </w:r>
      <w:proofErr w:type="spellEnd"/>
      <w:proofErr w:type="gramEnd"/>
      <w:r>
        <w:t xml:space="preserve"> </w:t>
      </w:r>
      <w:proofErr w:type="gramStart"/>
      <w:r>
        <w:t>represent</w:t>
      </w:r>
      <w:proofErr w:type="gramEnd"/>
      <w:r>
        <w:t xml:space="preserve"> different grid resolutions</w:t>
      </w:r>
      <w:r w:rsidRPr="00EA2673">
        <w:br w:type="page"/>
      </w:r>
    </w:p>
    <w:p w14:paraId="03F0FD3B" w14:textId="33CFD7D0" w:rsidR="00E80E4F" w:rsidRPr="00EA2673" w:rsidRDefault="00E80E4F" w:rsidP="00E80E4F">
      <w:r w:rsidRPr="00EA2673">
        <w:rPr>
          <w:noProof/>
        </w:rPr>
        <w:lastRenderedPageBreak/>
        <w:drawing>
          <wp:inline distT="0" distB="0" distL="0" distR="0" wp14:anchorId="386E8128" wp14:editId="186FCB7A">
            <wp:extent cx="4555957" cy="3416968"/>
            <wp:effectExtent l="0" t="0" r="3810" b="0"/>
            <wp:docPr id="1661561799" name="Imagen 1" descr="A group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61799" name="Imagen 1" descr="A group of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0919" cy="3428189"/>
                    </a:xfrm>
                    <a:prstGeom prst="rect">
                      <a:avLst/>
                    </a:prstGeom>
                  </pic:spPr>
                </pic:pic>
              </a:graphicData>
            </a:graphic>
          </wp:inline>
        </w:drawing>
      </w:r>
    </w:p>
    <w:p w14:paraId="20AF6FCB" w14:textId="5531A336" w:rsidR="00162DAB" w:rsidRPr="00EA2673" w:rsidRDefault="00E80E4F" w:rsidP="00E80E4F">
      <w:r w:rsidRPr="00EA2673">
        <w:rPr>
          <w:b/>
          <w:bCs/>
          <w:u w:val="single"/>
        </w:rPr>
        <w:t>Fig</w:t>
      </w:r>
      <w:r>
        <w:rPr>
          <w:b/>
          <w:bCs/>
          <w:u w:val="single"/>
        </w:rPr>
        <w:t>ure</w:t>
      </w:r>
      <w:r w:rsidRPr="00EA2673">
        <w:rPr>
          <w:b/>
          <w:bCs/>
          <w:u w:val="single"/>
        </w:rPr>
        <w:t xml:space="preserve"> S</w:t>
      </w:r>
      <w:r>
        <w:rPr>
          <w:b/>
          <w:bCs/>
          <w:u w:val="single"/>
        </w:rPr>
        <w:t>1</w:t>
      </w:r>
      <w:r w:rsidRPr="00EA2673">
        <w:t xml:space="preserve">. Same as Figure 3, but with </w:t>
      </w:r>
      <w:r>
        <w:t>a 3 day lag period</w:t>
      </w:r>
      <w:r w:rsidRPr="00EA2673">
        <w:t xml:space="preserve"> and </w:t>
      </w:r>
      <w:r>
        <w:t>1 lag knot</w:t>
      </w:r>
      <w:r w:rsidRPr="00EA2673">
        <w:t xml:space="preserve">. </w:t>
      </w:r>
      <w:r w:rsidR="00901616">
        <w:t xml:space="preserve">Re-run for the most-populated </w:t>
      </w:r>
      <w:r w:rsidR="00B14DAD">
        <w:t>2,161</w:t>
      </w:r>
      <w:r w:rsidR="00901616">
        <w:t xml:space="preserve"> counties (those with &gt;10,000 annual average enrollees</w:t>
      </w:r>
      <w:r w:rsidR="00E73CC2">
        <w:t>, 420 in total</w:t>
      </w:r>
      <w:r w:rsidR="00901616">
        <w:t>).</w:t>
      </w:r>
    </w:p>
    <w:p w14:paraId="1EA3C310" w14:textId="77777777" w:rsidR="00E80E4F" w:rsidRPr="00EA2673" w:rsidRDefault="00E80E4F" w:rsidP="00E80E4F">
      <w:r w:rsidRPr="00EA2673">
        <w:rPr>
          <w:noProof/>
        </w:rPr>
        <w:drawing>
          <wp:inline distT="0" distB="0" distL="0" distR="0" wp14:anchorId="5F6E55E8" wp14:editId="13DDD46D">
            <wp:extent cx="4235116" cy="3176337"/>
            <wp:effectExtent l="0" t="0" r="0" b="0"/>
            <wp:docPr id="842176627" name="Imagen 1" descr="A group of graphs showing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76627" name="Imagen 1" descr="A group of graphs showing different colo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9462" cy="3202097"/>
                    </a:xfrm>
                    <a:prstGeom prst="rect">
                      <a:avLst/>
                    </a:prstGeom>
                  </pic:spPr>
                </pic:pic>
              </a:graphicData>
            </a:graphic>
          </wp:inline>
        </w:drawing>
      </w:r>
    </w:p>
    <w:p w14:paraId="421E9C4A" w14:textId="1E95F8DB" w:rsidR="00B565B0" w:rsidRDefault="00E80E4F" w:rsidP="00E80E4F">
      <w:r w:rsidRPr="00EA2673">
        <w:rPr>
          <w:b/>
          <w:bCs/>
          <w:u w:val="single"/>
        </w:rPr>
        <w:t>Fig S</w:t>
      </w:r>
      <w:r>
        <w:rPr>
          <w:b/>
          <w:bCs/>
          <w:u w:val="single"/>
        </w:rPr>
        <w:t>2</w:t>
      </w:r>
      <w:r w:rsidRPr="00EA2673">
        <w:t xml:space="preserve">. Same as Figure 3, but with </w:t>
      </w:r>
      <w:r>
        <w:t>a 10 day lag period</w:t>
      </w:r>
      <w:r w:rsidRPr="00EA2673">
        <w:t xml:space="preserve"> and </w:t>
      </w:r>
      <w:r>
        <w:t>4 lag knots</w:t>
      </w:r>
      <w:r w:rsidRPr="00EA2673">
        <w:t xml:space="preserve">. </w:t>
      </w:r>
      <w:r w:rsidR="00901616">
        <w:t>Re-run for the most-populated counties (those with &gt;10,000 annual average enrollees</w:t>
      </w:r>
      <w:r w:rsidR="00E73CC2">
        <w:t>, 420 in total</w:t>
      </w:r>
      <w:r w:rsidR="00901616">
        <w:t>).</w:t>
      </w:r>
    </w:p>
    <w:p w14:paraId="5DBE6030" w14:textId="77777777" w:rsidR="00E33508" w:rsidRPr="00C1665D" w:rsidRDefault="00E33508" w:rsidP="00E33508">
      <w:pPr>
        <w:rPr>
          <w:sz w:val="18"/>
          <w:szCs w:val="18"/>
        </w:rPr>
      </w:pPr>
      <w:r>
        <w:rPr>
          <w:noProof/>
          <w:sz w:val="18"/>
          <w:szCs w:val="18"/>
        </w:rPr>
        <w:lastRenderedPageBreak/>
        <w:drawing>
          <wp:inline distT="0" distB="0" distL="0" distR="0" wp14:anchorId="33F5E1F9" wp14:editId="7AEAD90E">
            <wp:extent cx="5943600" cy="2503170"/>
            <wp:effectExtent l="0" t="0" r="0" b="0"/>
            <wp:docPr id="922904930" name="Picture 1" descr="A graph of the different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04930" name="Picture 1" descr="A graph of the different stat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03170"/>
                    </a:xfrm>
                    <a:prstGeom prst="rect">
                      <a:avLst/>
                    </a:prstGeom>
                  </pic:spPr>
                </pic:pic>
              </a:graphicData>
            </a:graphic>
          </wp:inline>
        </w:drawing>
      </w:r>
    </w:p>
    <w:p w14:paraId="6B7CF5FD" w14:textId="69C6D852" w:rsidR="00E33508" w:rsidRPr="00826BD4" w:rsidRDefault="00E33508" w:rsidP="00E33508">
      <w:pPr>
        <w:rPr>
          <w:sz w:val="18"/>
          <w:szCs w:val="18"/>
        </w:rPr>
      </w:pPr>
      <w:r w:rsidRPr="00EA2673">
        <w:rPr>
          <w:b/>
          <w:bCs/>
          <w:u w:val="single"/>
        </w:rPr>
        <w:t>Fig S</w:t>
      </w:r>
      <w:r>
        <w:rPr>
          <w:b/>
          <w:bCs/>
          <w:u w:val="single"/>
        </w:rPr>
        <w:t>3</w:t>
      </w:r>
      <w:r w:rsidRPr="004C5B58">
        <w:rPr>
          <w:b/>
          <w:bCs/>
          <w:sz w:val="18"/>
          <w:szCs w:val="18"/>
          <w:u w:val="single"/>
        </w:rPr>
        <w:t>.</w:t>
      </w:r>
      <w:r w:rsidRPr="004C5B58">
        <w:rPr>
          <w:b/>
          <w:bCs/>
          <w:sz w:val="18"/>
          <w:szCs w:val="18"/>
        </w:rPr>
        <w:t xml:space="preserve"> </w:t>
      </w:r>
      <w:r w:rsidRPr="004C5B58">
        <w:rPr>
          <w:sz w:val="18"/>
          <w:szCs w:val="18"/>
        </w:rPr>
        <w:t xml:space="preserve">Percent change in </w:t>
      </w:r>
      <w:r>
        <w:rPr>
          <w:sz w:val="18"/>
          <w:szCs w:val="18"/>
        </w:rPr>
        <w:t>monthly</w:t>
      </w:r>
      <w:r w:rsidRPr="004C5B58">
        <w:rPr>
          <w:sz w:val="18"/>
          <w:szCs w:val="18"/>
        </w:rPr>
        <w:t xml:space="preserve"> all-cause </w:t>
      </w:r>
      <w:r>
        <w:rPr>
          <w:sz w:val="18"/>
          <w:szCs w:val="18"/>
        </w:rPr>
        <w:t>Emergency Department (</w:t>
      </w:r>
      <w:r w:rsidRPr="004C5B58">
        <w:rPr>
          <w:sz w:val="18"/>
          <w:szCs w:val="18"/>
        </w:rPr>
        <w:t>ED</w:t>
      </w:r>
      <w:r>
        <w:rPr>
          <w:sz w:val="18"/>
          <w:szCs w:val="18"/>
        </w:rPr>
        <w:t>)</w:t>
      </w:r>
      <w:r w:rsidRPr="004C5B58">
        <w:rPr>
          <w:sz w:val="18"/>
          <w:szCs w:val="18"/>
        </w:rPr>
        <w:t xml:space="preserve"> visit</w:t>
      </w:r>
      <w:r>
        <w:rPr>
          <w:sz w:val="18"/>
          <w:szCs w:val="18"/>
        </w:rPr>
        <w:t xml:space="preserve"> counts </w:t>
      </w:r>
      <w:r w:rsidRPr="004C5B58">
        <w:rPr>
          <w:sz w:val="18"/>
          <w:szCs w:val="18"/>
        </w:rPr>
        <w:t xml:space="preserve">under </w:t>
      </w:r>
      <w:r>
        <w:rPr>
          <w:sz w:val="18"/>
          <w:szCs w:val="18"/>
        </w:rPr>
        <w:t>projected midcentury temperatures of the high emission scenario (SSP5-8.5)</w:t>
      </w:r>
      <w:r w:rsidRPr="004C5B58">
        <w:rPr>
          <w:sz w:val="18"/>
          <w:szCs w:val="18"/>
        </w:rPr>
        <w:t xml:space="preserve">. </w:t>
      </w:r>
    </w:p>
    <w:p w14:paraId="2162936C" w14:textId="77777777" w:rsidR="00E33508" w:rsidRPr="00E80E4F" w:rsidRDefault="00E33508" w:rsidP="00E80E4F"/>
    <w:sectPr w:rsidR="00E33508" w:rsidRPr="00E80E4F" w:rsidSect="00F85A4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51F4A" w14:textId="77777777" w:rsidR="00E17347" w:rsidRDefault="00E17347" w:rsidP="001C2718">
      <w:pPr>
        <w:spacing w:after="0"/>
      </w:pPr>
      <w:r>
        <w:separator/>
      </w:r>
    </w:p>
  </w:endnote>
  <w:endnote w:type="continuationSeparator" w:id="0">
    <w:p w14:paraId="7AFBF7F4" w14:textId="77777777" w:rsidR="00E17347" w:rsidRDefault="00E17347" w:rsidP="001C2718">
      <w:pPr>
        <w:spacing w:after="0"/>
      </w:pPr>
      <w:r>
        <w:continuationSeparator/>
      </w:r>
    </w:p>
  </w:endnote>
  <w:endnote w:type="continuationNotice" w:id="1">
    <w:p w14:paraId="35F50CAF" w14:textId="77777777" w:rsidR="00E17347" w:rsidRDefault="00E173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A40D4" w14:textId="77777777" w:rsidR="00E17347" w:rsidRDefault="00E17347" w:rsidP="001C2718">
      <w:pPr>
        <w:spacing w:after="0"/>
      </w:pPr>
      <w:r>
        <w:separator/>
      </w:r>
    </w:p>
  </w:footnote>
  <w:footnote w:type="continuationSeparator" w:id="0">
    <w:p w14:paraId="0E1477E7" w14:textId="77777777" w:rsidR="00E17347" w:rsidRDefault="00E17347" w:rsidP="001C2718">
      <w:pPr>
        <w:spacing w:after="0"/>
      </w:pPr>
      <w:r>
        <w:continuationSeparator/>
      </w:r>
    </w:p>
  </w:footnote>
  <w:footnote w:type="continuationNotice" w:id="1">
    <w:p w14:paraId="77A8A90C" w14:textId="77777777" w:rsidR="00E17347" w:rsidRDefault="00E1734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D7501"/>
    <w:multiLevelType w:val="hybridMultilevel"/>
    <w:tmpl w:val="9146C78C"/>
    <w:lvl w:ilvl="0" w:tplc="FAB8E848">
      <w:start w:val="14"/>
      <w:numFmt w:val="bullet"/>
      <w:lvlText w:val=""/>
      <w:lvlJc w:val="left"/>
      <w:pPr>
        <w:ind w:left="360" w:hanging="360"/>
      </w:pPr>
      <w:rPr>
        <w:rFonts w:ascii="Symbol" w:eastAsiaTheme="minorHAnsi" w:hAnsi="Symbol" w:cs="Calibri"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CE7CEF"/>
    <w:multiLevelType w:val="hybridMultilevel"/>
    <w:tmpl w:val="B538D5DA"/>
    <w:lvl w:ilvl="0" w:tplc="E3168318">
      <w:start w:val="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36EEE"/>
    <w:multiLevelType w:val="multilevel"/>
    <w:tmpl w:val="6F32382C"/>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68F2B2E"/>
    <w:multiLevelType w:val="hybridMultilevel"/>
    <w:tmpl w:val="7202177E"/>
    <w:lvl w:ilvl="0" w:tplc="2CE6D590">
      <w:start w:val="1"/>
      <w:numFmt w:val="bullet"/>
      <w:lvlText w:val=""/>
      <w:lvlJc w:val="left"/>
      <w:pPr>
        <w:ind w:left="720" w:hanging="360"/>
      </w:pPr>
      <w:rPr>
        <w:rFonts w:ascii="Symbol" w:eastAsiaTheme="minorHAnsi" w:hAnsi="Symbol"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7657A"/>
    <w:multiLevelType w:val="hybridMultilevel"/>
    <w:tmpl w:val="41A02672"/>
    <w:lvl w:ilvl="0" w:tplc="ACAA8CD4">
      <w:start w:val="2"/>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692230"/>
    <w:multiLevelType w:val="multilevel"/>
    <w:tmpl w:val="4CB8899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E466684"/>
    <w:multiLevelType w:val="multilevel"/>
    <w:tmpl w:val="BC9AF4E6"/>
    <w:lvl w:ilvl="0">
      <w:start w:val="1"/>
      <w:numFmt w:val="bullet"/>
      <w:lvlText w:val="o"/>
      <w:lvlJc w:val="left"/>
      <w:pPr>
        <w:tabs>
          <w:tab w:val="num" w:pos="360"/>
        </w:tabs>
        <w:ind w:left="360" w:firstLine="0"/>
      </w:pPr>
      <w:rPr>
        <w:rFonts w:ascii="Courier New" w:hAnsi="Courier New" w:hint="default"/>
      </w:rPr>
    </w:lvl>
    <w:lvl w:ilvl="1">
      <w:start w:val="1"/>
      <w:numFmt w:val="bullet"/>
      <w:lvlText w:val="o"/>
      <w:lvlJc w:val="left"/>
      <w:pPr>
        <w:ind w:left="360" w:hanging="360"/>
      </w:pPr>
      <w:rPr>
        <w:rFonts w:ascii="Courier New" w:hAnsi="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56F24AE"/>
    <w:multiLevelType w:val="multilevel"/>
    <w:tmpl w:val="42DEA452"/>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7341182"/>
    <w:multiLevelType w:val="hybridMultilevel"/>
    <w:tmpl w:val="D80CFD76"/>
    <w:lvl w:ilvl="0" w:tplc="1A0A41E2">
      <w:start w:val="1"/>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F79CA"/>
    <w:multiLevelType w:val="hybridMultilevel"/>
    <w:tmpl w:val="0980EB7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72748"/>
    <w:multiLevelType w:val="hybridMultilevel"/>
    <w:tmpl w:val="1AC2EDC6"/>
    <w:lvl w:ilvl="0" w:tplc="CAD4DCA4">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AF4A4E"/>
    <w:multiLevelType w:val="hybridMultilevel"/>
    <w:tmpl w:val="383A7536"/>
    <w:lvl w:ilvl="0" w:tplc="F4003262">
      <w:start w:val="3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AD0767"/>
    <w:multiLevelType w:val="multilevel"/>
    <w:tmpl w:val="5BF8B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9B6C89"/>
    <w:multiLevelType w:val="multilevel"/>
    <w:tmpl w:val="6F32382C"/>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BE55FF4"/>
    <w:multiLevelType w:val="multilevel"/>
    <w:tmpl w:val="9CF03F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53EC5940"/>
    <w:multiLevelType w:val="hybridMultilevel"/>
    <w:tmpl w:val="DEC612A0"/>
    <w:lvl w:ilvl="0" w:tplc="55285E4C">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E6204E"/>
    <w:multiLevelType w:val="hybridMultilevel"/>
    <w:tmpl w:val="45506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65228E"/>
    <w:multiLevelType w:val="multilevel"/>
    <w:tmpl w:val="C02610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3EC2ECF"/>
    <w:multiLevelType w:val="multilevel"/>
    <w:tmpl w:val="6F32382C"/>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6464C94"/>
    <w:multiLevelType w:val="multilevel"/>
    <w:tmpl w:val="6F32382C"/>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7F31F1C"/>
    <w:multiLevelType w:val="hybridMultilevel"/>
    <w:tmpl w:val="52C0110C"/>
    <w:lvl w:ilvl="0" w:tplc="749602D8">
      <w:start w:val="1"/>
      <w:numFmt w:val="bullet"/>
      <w:lvlText w:val=""/>
      <w:lvlJc w:val="left"/>
      <w:pPr>
        <w:ind w:left="720" w:hanging="360"/>
      </w:pPr>
      <w:rPr>
        <w:rFonts w:ascii="Symbol" w:hAnsi="Symbol" w:hint="default"/>
      </w:rPr>
    </w:lvl>
    <w:lvl w:ilvl="1" w:tplc="8F123D08">
      <w:start w:val="1"/>
      <w:numFmt w:val="bullet"/>
      <w:lvlText w:val="o"/>
      <w:lvlJc w:val="left"/>
      <w:pPr>
        <w:ind w:left="1440" w:hanging="360"/>
      </w:pPr>
      <w:rPr>
        <w:rFonts w:ascii="Courier New" w:hAnsi="Courier New" w:hint="default"/>
      </w:rPr>
    </w:lvl>
    <w:lvl w:ilvl="2" w:tplc="F0569834">
      <w:start w:val="1"/>
      <w:numFmt w:val="bullet"/>
      <w:lvlText w:val=""/>
      <w:lvlJc w:val="left"/>
      <w:pPr>
        <w:ind w:left="2160" w:hanging="360"/>
      </w:pPr>
      <w:rPr>
        <w:rFonts w:ascii="Wingdings" w:hAnsi="Wingdings" w:hint="default"/>
      </w:rPr>
    </w:lvl>
    <w:lvl w:ilvl="3" w:tplc="A608F74E">
      <w:start w:val="1"/>
      <w:numFmt w:val="bullet"/>
      <w:lvlText w:val=""/>
      <w:lvlJc w:val="left"/>
      <w:pPr>
        <w:ind w:left="2880" w:hanging="360"/>
      </w:pPr>
      <w:rPr>
        <w:rFonts w:ascii="Symbol" w:hAnsi="Symbol" w:hint="default"/>
      </w:rPr>
    </w:lvl>
    <w:lvl w:ilvl="4" w:tplc="10A87014">
      <w:start w:val="1"/>
      <w:numFmt w:val="bullet"/>
      <w:lvlText w:val="o"/>
      <w:lvlJc w:val="left"/>
      <w:pPr>
        <w:ind w:left="3600" w:hanging="360"/>
      </w:pPr>
      <w:rPr>
        <w:rFonts w:ascii="Courier New" w:hAnsi="Courier New" w:hint="default"/>
      </w:rPr>
    </w:lvl>
    <w:lvl w:ilvl="5" w:tplc="1CD2E40C">
      <w:start w:val="1"/>
      <w:numFmt w:val="bullet"/>
      <w:lvlText w:val=""/>
      <w:lvlJc w:val="left"/>
      <w:pPr>
        <w:ind w:left="4320" w:hanging="360"/>
      </w:pPr>
      <w:rPr>
        <w:rFonts w:ascii="Wingdings" w:hAnsi="Wingdings" w:hint="default"/>
      </w:rPr>
    </w:lvl>
    <w:lvl w:ilvl="6" w:tplc="2F22778A">
      <w:start w:val="1"/>
      <w:numFmt w:val="bullet"/>
      <w:lvlText w:val=""/>
      <w:lvlJc w:val="left"/>
      <w:pPr>
        <w:ind w:left="5040" w:hanging="360"/>
      </w:pPr>
      <w:rPr>
        <w:rFonts w:ascii="Symbol" w:hAnsi="Symbol" w:hint="default"/>
      </w:rPr>
    </w:lvl>
    <w:lvl w:ilvl="7" w:tplc="547C8AB0">
      <w:start w:val="1"/>
      <w:numFmt w:val="bullet"/>
      <w:lvlText w:val="o"/>
      <w:lvlJc w:val="left"/>
      <w:pPr>
        <w:ind w:left="5760" w:hanging="360"/>
      </w:pPr>
      <w:rPr>
        <w:rFonts w:ascii="Courier New" w:hAnsi="Courier New" w:hint="default"/>
      </w:rPr>
    </w:lvl>
    <w:lvl w:ilvl="8" w:tplc="190AD3F8">
      <w:start w:val="1"/>
      <w:numFmt w:val="bullet"/>
      <w:lvlText w:val=""/>
      <w:lvlJc w:val="left"/>
      <w:pPr>
        <w:ind w:left="6480" w:hanging="360"/>
      </w:pPr>
      <w:rPr>
        <w:rFonts w:ascii="Wingdings" w:hAnsi="Wingdings" w:hint="default"/>
      </w:rPr>
    </w:lvl>
  </w:abstractNum>
  <w:abstractNum w:abstractNumId="21" w15:restartNumberingAfterBreak="0">
    <w:nsid w:val="6F112837"/>
    <w:multiLevelType w:val="hybridMultilevel"/>
    <w:tmpl w:val="26E43D4C"/>
    <w:lvl w:ilvl="0" w:tplc="9DD8F9F0">
      <w:numFmt w:val="bullet"/>
      <w:lvlText w:val=""/>
      <w:lvlJc w:val="left"/>
      <w:pPr>
        <w:ind w:left="720" w:hanging="360"/>
      </w:pPr>
      <w:rPr>
        <w:rFonts w:ascii="Symbol" w:eastAsiaTheme="minorHAnsi" w:hAnsi="Symbol"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18287A"/>
    <w:multiLevelType w:val="hybridMultilevel"/>
    <w:tmpl w:val="D21E3F12"/>
    <w:lvl w:ilvl="0" w:tplc="73700CF0">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312FE1"/>
    <w:multiLevelType w:val="hybridMultilevel"/>
    <w:tmpl w:val="20CA40F2"/>
    <w:lvl w:ilvl="0" w:tplc="CC44F20A">
      <w:start w:val="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9431B"/>
    <w:multiLevelType w:val="hybridMultilevel"/>
    <w:tmpl w:val="BFA6F862"/>
    <w:lvl w:ilvl="0" w:tplc="614C057C">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540C7D"/>
    <w:multiLevelType w:val="hybridMultilevel"/>
    <w:tmpl w:val="AB183ED0"/>
    <w:lvl w:ilvl="0" w:tplc="FCDC28CE">
      <w:start w:val="1"/>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C04E26"/>
    <w:multiLevelType w:val="hybridMultilevel"/>
    <w:tmpl w:val="38B63038"/>
    <w:lvl w:ilvl="0" w:tplc="9942F838">
      <w:start w:val="14"/>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9974C1"/>
    <w:multiLevelType w:val="multilevel"/>
    <w:tmpl w:val="9E6E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4524499">
    <w:abstractNumId w:val="20"/>
  </w:num>
  <w:num w:numId="2" w16cid:durableId="1434547583">
    <w:abstractNumId w:val="17"/>
  </w:num>
  <w:num w:numId="3" w16cid:durableId="2116246562">
    <w:abstractNumId w:val="14"/>
  </w:num>
  <w:num w:numId="4" w16cid:durableId="1839231956">
    <w:abstractNumId w:val="4"/>
  </w:num>
  <w:num w:numId="5" w16cid:durableId="970358616">
    <w:abstractNumId w:val="22"/>
  </w:num>
  <w:num w:numId="6" w16cid:durableId="1754160558">
    <w:abstractNumId w:val="18"/>
  </w:num>
  <w:num w:numId="7" w16cid:durableId="513228527">
    <w:abstractNumId w:val="2"/>
  </w:num>
  <w:num w:numId="8" w16cid:durableId="829105195">
    <w:abstractNumId w:val="13"/>
  </w:num>
  <w:num w:numId="9" w16cid:durableId="1692805908">
    <w:abstractNumId w:val="19"/>
  </w:num>
  <w:num w:numId="10" w16cid:durableId="369036184">
    <w:abstractNumId w:val="6"/>
  </w:num>
  <w:num w:numId="11" w16cid:durableId="205144552">
    <w:abstractNumId w:val="7"/>
  </w:num>
  <w:num w:numId="12" w16cid:durableId="1656453695">
    <w:abstractNumId w:val="5"/>
  </w:num>
  <w:num w:numId="13" w16cid:durableId="1344285419">
    <w:abstractNumId w:val="9"/>
  </w:num>
  <w:num w:numId="14" w16cid:durableId="690184806">
    <w:abstractNumId w:val="12"/>
  </w:num>
  <w:num w:numId="15" w16cid:durableId="1032002728">
    <w:abstractNumId w:val="27"/>
  </w:num>
  <w:num w:numId="16" w16cid:durableId="990254939">
    <w:abstractNumId w:val="24"/>
  </w:num>
  <w:num w:numId="17" w16cid:durableId="1091314718">
    <w:abstractNumId w:val="26"/>
  </w:num>
  <w:num w:numId="18" w16cid:durableId="1469127240">
    <w:abstractNumId w:val="0"/>
  </w:num>
  <w:num w:numId="19" w16cid:durableId="1765565023">
    <w:abstractNumId w:val="16"/>
  </w:num>
  <w:num w:numId="20" w16cid:durableId="2009289477">
    <w:abstractNumId w:val="15"/>
  </w:num>
  <w:num w:numId="21" w16cid:durableId="945114048">
    <w:abstractNumId w:val="21"/>
  </w:num>
  <w:num w:numId="22" w16cid:durableId="1552960166">
    <w:abstractNumId w:val="11"/>
  </w:num>
  <w:num w:numId="23" w16cid:durableId="1245532188">
    <w:abstractNumId w:val="25"/>
  </w:num>
  <w:num w:numId="24" w16cid:durableId="2093701189">
    <w:abstractNumId w:val="8"/>
  </w:num>
  <w:num w:numId="25" w16cid:durableId="139273670">
    <w:abstractNumId w:val="10"/>
  </w:num>
  <w:num w:numId="26" w16cid:durableId="1485010160">
    <w:abstractNumId w:val="23"/>
  </w:num>
  <w:num w:numId="27" w16cid:durableId="1082608053">
    <w:abstractNumId w:val="1"/>
  </w:num>
  <w:num w:numId="28" w16cid:durableId="171576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4"/>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3739A9"/>
    <w:rsid w:val="00000B1B"/>
    <w:rsid w:val="000015B0"/>
    <w:rsid w:val="00001FF4"/>
    <w:rsid w:val="000024A3"/>
    <w:rsid w:val="00002B03"/>
    <w:rsid w:val="00002C11"/>
    <w:rsid w:val="000035EA"/>
    <w:rsid w:val="00003B2B"/>
    <w:rsid w:val="000047EC"/>
    <w:rsid w:val="00004DCE"/>
    <w:rsid w:val="0000510B"/>
    <w:rsid w:val="000054D2"/>
    <w:rsid w:val="00005928"/>
    <w:rsid w:val="000063C4"/>
    <w:rsid w:val="00006710"/>
    <w:rsid w:val="00006848"/>
    <w:rsid w:val="0000696D"/>
    <w:rsid w:val="00006CAE"/>
    <w:rsid w:val="00006D12"/>
    <w:rsid w:val="000105CA"/>
    <w:rsid w:val="00010D75"/>
    <w:rsid w:val="00011175"/>
    <w:rsid w:val="00011235"/>
    <w:rsid w:val="00011498"/>
    <w:rsid w:val="00012117"/>
    <w:rsid w:val="000131F8"/>
    <w:rsid w:val="00013A3A"/>
    <w:rsid w:val="00013BF6"/>
    <w:rsid w:val="00014AB6"/>
    <w:rsid w:val="00014E91"/>
    <w:rsid w:val="0001564A"/>
    <w:rsid w:val="000165D4"/>
    <w:rsid w:val="000171AC"/>
    <w:rsid w:val="0001733A"/>
    <w:rsid w:val="00020711"/>
    <w:rsid w:val="00020A19"/>
    <w:rsid w:val="00020C9C"/>
    <w:rsid w:val="000210CD"/>
    <w:rsid w:val="0002140E"/>
    <w:rsid w:val="000221BD"/>
    <w:rsid w:val="00023312"/>
    <w:rsid w:val="0002369B"/>
    <w:rsid w:val="000236CF"/>
    <w:rsid w:val="000244EC"/>
    <w:rsid w:val="00025417"/>
    <w:rsid w:val="0002548F"/>
    <w:rsid w:val="00025C5C"/>
    <w:rsid w:val="00027A1F"/>
    <w:rsid w:val="00027FBF"/>
    <w:rsid w:val="00030A64"/>
    <w:rsid w:val="00031CE7"/>
    <w:rsid w:val="00032821"/>
    <w:rsid w:val="00032CFE"/>
    <w:rsid w:val="000334F8"/>
    <w:rsid w:val="000339B8"/>
    <w:rsid w:val="00034E1F"/>
    <w:rsid w:val="000356ED"/>
    <w:rsid w:val="00037086"/>
    <w:rsid w:val="000379C3"/>
    <w:rsid w:val="000403A2"/>
    <w:rsid w:val="00041381"/>
    <w:rsid w:val="0004184E"/>
    <w:rsid w:val="00042DD4"/>
    <w:rsid w:val="00043D1B"/>
    <w:rsid w:val="00044AB4"/>
    <w:rsid w:val="00044F67"/>
    <w:rsid w:val="000454B9"/>
    <w:rsid w:val="000457E0"/>
    <w:rsid w:val="00046A90"/>
    <w:rsid w:val="00047A57"/>
    <w:rsid w:val="00047DB0"/>
    <w:rsid w:val="00050413"/>
    <w:rsid w:val="00050674"/>
    <w:rsid w:val="000509C7"/>
    <w:rsid w:val="00051151"/>
    <w:rsid w:val="0005130C"/>
    <w:rsid w:val="00051417"/>
    <w:rsid w:val="00051C39"/>
    <w:rsid w:val="00051E47"/>
    <w:rsid w:val="0005237E"/>
    <w:rsid w:val="00054014"/>
    <w:rsid w:val="00054281"/>
    <w:rsid w:val="00055D89"/>
    <w:rsid w:val="00056E4A"/>
    <w:rsid w:val="000570F5"/>
    <w:rsid w:val="000575DE"/>
    <w:rsid w:val="00057A06"/>
    <w:rsid w:val="00057BF8"/>
    <w:rsid w:val="00057CDA"/>
    <w:rsid w:val="00057E46"/>
    <w:rsid w:val="00061215"/>
    <w:rsid w:val="00061B89"/>
    <w:rsid w:val="00061E50"/>
    <w:rsid w:val="00062470"/>
    <w:rsid w:val="00062494"/>
    <w:rsid w:val="00063350"/>
    <w:rsid w:val="0006344D"/>
    <w:rsid w:val="00063B87"/>
    <w:rsid w:val="00063B9E"/>
    <w:rsid w:val="00063D43"/>
    <w:rsid w:val="00063E69"/>
    <w:rsid w:val="00064078"/>
    <w:rsid w:val="000641C7"/>
    <w:rsid w:val="00064458"/>
    <w:rsid w:val="000644E2"/>
    <w:rsid w:val="0006524A"/>
    <w:rsid w:val="0006529D"/>
    <w:rsid w:val="00065AEF"/>
    <w:rsid w:val="00065D80"/>
    <w:rsid w:val="00065DE4"/>
    <w:rsid w:val="000662AB"/>
    <w:rsid w:val="0006696F"/>
    <w:rsid w:val="00066A45"/>
    <w:rsid w:val="00067899"/>
    <w:rsid w:val="00067A64"/>
    <w:rsid w:val="00067D1F"/>
    <w:rsid w:val="00070942"/>
    <w:rsid w:val="00070B69"/>
    <w:rsid w:val="00071E92"/>
    <w:rsid w:val="00073A72"/>
    <w:rsid w:val="00074E35"/>
    <w:rsid w:val="00074E4B"/>
    <w:rsid w:val="000762EE"/>
    <w:rsid w:val="00076764"/>
    <w:rsid w:val="0007718A"/>
    <w:rsid w:val="00077A16"/>
    <w:rsid w:val="000807CC"/>
    <w:rsid w:val="00080B79"/>
    <w:rsid w:val="00080F4D"/>
    <w:rsid w:val="00081284"/>
    <w:rsid w:val="00081793"/>
    <w:rsid w:val="0008187B"/>
    <w:rsid w:val="00081C2D"/>
    <w:rsid w:val="00082089"/>
    <w:rsid w:val="00082258"/>
    <w:rsid w:val="000824D3"/>
    <w:rsid w:val="00082695"/>
    <w:rsid w:val="000828D5"/>
    <w:rsid w:val="00082C63"/>
    <w:rsid w:val="0008325A"/>
    <w:rsid w:val="00083556"/>
    <w:rsid w:val="00083FE9"/>
    <w:rsid w:val="000847F9"/>
    <w:rsid w:val="00084FEC"/>
    <w:rsid w:val="00085626"/>
    <w:rsid w:val="0008585D"/>
    <w:rsid w:val="00086513"/>
    <w:rsid w:val="00086DDF"/>
    <w:rsid w:val="00087B5A"/>
    <w:rsid w:val="000900B2"/>
    <w:rsid w:val="00090D55"/>
    <w:rsid w:val="00090E99"/>
    <w:rsid w:val="0009106D"/>
    <w:rsid w:val="000911DD"/>
    <w:rsid w:val="0009133A"/>
    <w:rsid w:val="0009138D"/>
    <w:rsid w:val="000925F9"/>
    <w:rsid w:val="00092DC8"/>
    <w:rsid w:val="00093224"/>
    <w:rsid w:val="00093E30"/>
    <w:rsid w:val="000943F0"/>
    <w:rsid w:val="0009548E"/>
    <w:rsid w:val="00095A26"/>
    <w:rsid w:val="00095C79"/>
    <w:rsid w:val="0009763C"/>
    <w:rsid w:val="000978C4"/>
    <w:rsid w:val="00097BD0"/>
    <w:rsid w:val="00097E94"/>
    <w:rsid w:val="000A032C"/>
    <w:rsid w:val="000A154B"/>
    <w:rsid w:val="000A15D5"/>
    <w:rsid w:val="000A1E55"/>
    <w:rsid w:val="000A2288"/>
    <w:rsid w:val="000A2AE2"/>
    <w:rsid w:val="000A2B23"/>
    <w:rsid w:val="000A305E"/>
    <w:rsid w:val="000A34B2"/>
    <w:rsid w:val="000A4035"/>
    <w:rsid w:val="000A404A"/>
    <w:rsid w:val="000A4B99"/>
    <w:rsid w:val="000A542D"/>
    <w:rsid w:val="000A5790"/>
    <w:rsid w:val="000A5A38"/>
    <w:rsid w:val="000A5BEE"/>
    <w:rsid w:val="000A5D6B"/>
    <w:rsid w:val="000A63C2"/>
    <w:rsid w:val="000A69F5"/>
    <w:rsid w:val="000A6B5C"/>
    <w:rsid w:val="000A748C"/>
    <w:rsid w:val="000A7706"/>
    <w:rsid w:val="000A7A10"/>
    <w:rsid w:val="000A7BF8"/>
    <w:rsid w:val="000A7E1B"/>
    <w:rsid w:val="000B1680"/>
    <w:rsid w:val="000B1EC8"/>
    <w:rsid w:val="000B2122"/>
    <w:rsid w:val="000B21D0"/>
    <w:rsid w:val="000B2DAB"/>
    <w:rsid w:val="000B33AA"/>
    <w:rsid w:val="000B34E5"/>
    <w:rsid w:val="000B3CFC"/>
    <w:rsid w:val="000B425B"/>
    <w:rsid w:val="000B4F37"/>
    <w:rsid w:val="000B5230"/>
    <w:rsid w:val="000B547D"/>
    <w:rsid w:val="000B592B"/>
    <w:rsid w:val="000B59BD"/>
    <w:rsid w:val="000B5C93"/>
    <w:rsid w:val="000B6581"/>
    <w:rsid w:val="000B66CC"/>
    <w:rsid w:val="000B72A8"/>
    <w:rsid w:val="000B76FC"/>
    <w:rsid w:val="000B79B7"/>
    <w:rsid w:val="000B7DE0"/>
    <w:rsid w:val="000C0354"/>
    <w:rsid w:val="000C0794"/>
    <w:rsid w:val="000C0A3D"/>
    <w:rsid w:val="000C155D"/>
    <w:rsid w:val="000C20ED"/>
    <w:rsid w:val="000C2DDE"/>
    <w:rsid w:val="000C3053"/>
    <w:rsid w:val="000C3C32"/>
    <w:rsid w:val="000C3C91"/>
    <w:rsid w:val="000C3F8A"/>
    <w:rsid w:val="000C47F8"/>
    <w:rsid w:val="000C611B"/>
    <w:rsid w:val="000C670B"/>
    <w:rsid w:val="000C6F56"/>
    <w:rsid w:val="000C7854"/>
    <w:rsid w:val="000D0194"/>
    <w:rsid w:val="000D0A09"/>
    <w:rsid w:val="000D24D4"/>
    <w:rsid w:val="000D3065"/>
    <w:rsid w:val="000D3156"/>
    <w:rsid w:val="000D5A90"/>
    <w:rsid w:val="000D5F8C"/>
    <w:rsid w:val="000D69EF"/>
    <w:rsid w:val="000D79C5"/>
    <w:rsid w:val="000D7DA6"/>
    <w:rsid w:val="000E0795"/>
    <w:rsid w:val="000E0C05"/>
    <w:rsid w:val="000E1465"/>
    <w:rsid w:val="000E2666"/>
    <w:rsid w:val="000E2C84"/>
    <w:rsid w:val="000E3E1C"/>
    <w:rsid w:val="000E41F8"/>
    <w:rsid w:val="000E449B"/>
    <w:rsid w:val="000E5154"/>
    <w:rsid w:val="000E5A01"/>
    <w:rsid w:val="000E5C65"/>
    <w:rsid w:val="000E5DDE"/>
    <w:rsid w:val="000E6346"/>
    <w:rsid w:val="000E66A7"/>
    <w:rsid w:val="000E700F"/>
    <w:rsid w:val="000F01D2"/>
    <w:rsid w:val="000F0A7A"/>
    <w:rsid w:val="000F0D31"/>
    <w:rsid w:val="000F1194"/>
    <w:rsid w:val="000F1E2E"/>
    <w:rsid w:val="000F2327"/>
    <w:rsid w:val="000F2792"/>
    <w:rsid w:val="000F2A36"/>
    <w:rsid w:val="000F2C75"/>
    <w:rsid w:val="000F2CB3"/>
    <w:rsid w:val="000F378E"/>
    <w:rsid w:val="000F4133"/>
    <w:rsid w:val="000F43AD"/>
    <w:rsid w:val="000F4408"/>
    <w:rsid w:val="000F486B"/>
    <w:rsid w:val="000F48A2"/>
    <w:rsid w:val="000F4B25"/>
    <w:rsid w:val="000F513B"/>
    <w:rsid w:val="000F5738"/>
    <w:rsid w:val="000F5B76"/>
    <w:rsid w:val="000F6816"/>
    <w:rsid w:val="000F6EA7"/>
    <w:rsid w:val="000F7E12"/>
    <w:rsid w:val="00100D50"/>
    <w:rsid w:val="001015EF"/>
    <w:rsid w:val="001017FD"/>
    <w:rsid w:val="00102530"/>
    <w:rsid w:val="0010531A"/>
    <w:rsid w:val="001058E3"/>
    <w:rsid w:val="00106504"/>
    <w:rsid w:val="001069DE"/>
    <w:rsid w:val="0010716D"/>
    <w:rsid w:val="00107CD2"/>
    <w:rsid w:val="00110819"/>
    <w:rsid w:val="00111367"/>
    <w:rsid w:val="00111A82"/>
    <w:rsid w:val="0011242C"/>
    <w:rsid w:val="0011415C"/>
    <w:rsid w:val="00114666"/>
    <w:rsid w:val="00114CB5"/>
    <w:rsid w:val="00114E55"/>
    <w:rsid w:val="001152FC"/>
    <w:rsid w:val="00115FC1"/>
    <w:rsid w:val="00116FFE"/>
    <w:rsid w:val="0011737D"/>
    <w:rsid w:val="00117756"/>
    <w:rsid w:val="001179B8"/>
    <w:rsid w:val="00117EB5"/>
    <w:rsid w:val="001200D0"/>
    <w:rsid w:val="001211A0"/>
    <w:rsid w:val="0012213C"/>
    <w:rsid w:val="0012279A"/>
    <w:rsid w:val="0012288B"/>
    <w:rsid w:val="001238BB"/>
    <w:rsid w:val="001239D2"/>
    <w:rsid w:val="00123E36"/>
    <w:rsid w:val="001241F2"/>
    <w:rsid w:val="001244DB"/>
    <w:rsid w:val="00124DBD"/>
    <w:rsid w:val="00124FD6"/>
    <w:rsid w:val="001253A6"/>
    <w:rsid w:val="001257BC"/>
    <w:rsid w:val="00125AC3"/>
    <w:rsid w:val="00126C40"/>
    <w:rsid w:val="00126E0A"/>
    <w:rsid w:val="0013134C"/>
    <w:rsid w:val="001320BC"/>
    <w:rsid w:val="0013223B"/>
    <w:rsid w:val="0013248D"/>
    <w:rsid w:val="00132A19"/>
    <w:rsid w:val="00133DEE"/>
    <w:rsid w:val="00133E59"/>
    <w:rsid w:val="00134851"/>
    <w:rsid w:val="0013539F"/>
    <w:rsid w:val="00136248"/>
    <w:rsid w:val="00136301"/>
    <w:rsid w:val="00136FCC"/>
    <w:rsid w:val="00137B5B"/>
    <w:rsid w:val="001402ED"/>
    <w:rsid w:val="00140B71"/>
    <w:rsid w:val="0014158E"/>
    <w:rsid w:val="00141609"/>
    <w:rsid w:val="00141E53"/>
    <w:rsid w:val="0014254B"/>
    <w:rsid w:val="001441DE"/>
    <w:rsid w:val="001444B2"/>
    <w:rsid w:val="00144A22"/>
    <w:rsid w:val="00144C1D"/>
    <w:rsid w:val="001454F7"/>
    <w:rsid w:val="001455BF"/>
    <w:rsid w:val="001457BB"/>
    <w:rsid w:val="00145A98"/>
    <w:rsid w:val="00146B32"/>
    <w:rsid w:val="00146CCE"/>
    <w:rsid w:val="00147BC8"/>
    <w:rsid w:val="00147BE4"/>
    <w:rsid w:val="001511E6"/>
    <w:rsid w:val="001517F2"/>
    <w:rsid w:val="00151B92"/>
    <w:rsid w:val="00152563"/>
    <w:rsid w:val="001528FC"/>
    <w:rsid w:val="00152A27"/>
    <w:rsid w:val="00152ABE"/>
    <w:rsid w:val="00153256"/>
    <w:rsid w:val="001532A8"/>
    <w:rsid w:val="0015462E"/>
    <w:rsid w:val="00154984"/>
    <w:rsid w:val="00154B1E"/>
    <w:rsid w:val="001550F3"/>
    <w:rsid w:val="001556AF"/>
    <w:rsid w:val="00156A5F"/>
    <w:rsid w:val="001578DE"/>
    <w:rsid w:val="00160A47"/>
    <w:rsid w:val="00160A60"/>
    <w:rsid w:val="0016160F"/>
    <w:rsid w:val="00161804"/>
    <w:rsid w:val="00161EE8"/>
    <w:rsid w:val="00161EEA"/>
    <w:rsid w:val="0016227C"/>
    <w:rsid w:val="00162DAB"/>
    <w:rsid w:val="001633EE"/>
    <w:rsid w:val="001637D6"/>
    <w:rsid w:val="00163930"/>
    <w:rsid w:val="00163FF5"/>
    <w:rsid w:val="0016436E"/>
    <w:rsid w:val="00165FE8"/>
    <w:rsid w:val="0016634A"/>
    <w:rsid w:val="00167358"/>
    <w:rsid w:val="0017007F"/>
    <w:rsid w:val="00170132"/>
    <w:rsid w:val="001702C2"/>
    <w:rsid w:val="001706B4"/>
    <w:rsid w:val="001706DB"/>
    <w:rsid w:val="001712DF"/>
    <w:rsid w:val="00171C7F"/>
    <w:rsid w:val="001723BE"/>
    <w:rsid w:val="0017264D"/>
    <w:rsid w:val="001729B7"/>
    <w:rsid w:val="00172BD9"/>
    <w:rsid w:val="00172FAE"/>
    <w:rsid w:val="0017348B"/>
    <w:rsid w:val="0017490F"/>
    <w:rsid w:val="00175216"/>
    <w:rsid w:val="0017544C"/>
    <w:rsid w:val="00175524"/>
    <w:rsid w:val="001760D2"/>
    <w:rsid w:val="00176353"/>
    <w:rsid w:val="0017640C"/>
    <w:rsid w:val="001766EA"/>
    <w:rsid w:val="001779A0"/>
    <w:rsid w:val="00177F89"/>
    <w:rsid w:val="00180003"/>
    <w:rsid w:val="001809F0"/>
    <w:rsid w:val="00181D76"/>
    <w:rsid w:val="001828C6"/>
    <w:rsid w:val="00182A54"/>
    <w:rsid w:val="0018314A"/>
    <w:rsid w:val="00183508"/>
    <w:rsid w:val="001838B1"/>
    <w:rsid w:val="001838FD"/>
    <w:rsid w:val="00183B50"/>
    <w:rsid w:val="00183C48"/>
    <w:rsid w:val="00183CF2"/>
    <w:rsid w:val="001847D3"/>
    <w:rsid w:val="00184BC0"/>
    <w:rsid w:val="00184F9E"/>
    <w:rsid w:val="00185167"/>
    <w:rsid w:val="001851D4"/>
    <w:rsid w:val="00185428"/>
    <w:rsid w:val="001872AA"/>
    <w:rsid w:val="0019031F"/>
    <w:rsid w:val="00190B28"/>
    <w:rsid w:val="00190DC2"/>
    <w:rsid w:val="00192385"/>
    <w:rsid w:val="00192956"/>
    <w:rsid w:val="001929C4"/>
    <w:rsid w:val="00192ADD"/>
    <w:rsid w:val="00192F45"/>
    <w:rsid w:val="001939DE"/>
    <w:rsid w:val="001942F0"/>
    <w:rsid w:val="0019443F"/>
    <w:rsid w:val="00194E44"/>
    <w:rsid w:val="0019578E"/>
    <w:rsid w:val="001961B4"/>
    <w:rsid w:val="001A01E4"/>
    <w:rsid w:val="001A034A"/>
    <w:rsid w:val="001A0522"/>
    <w:rsid w:val="001A078B"/>
    <w:rsid w:val="001A082C"/>
    <w:rsid w:val="001A093F"/>
    <w:rsid w:val="001A098D"/>
    <w:rsid w:val="001A2C3A"/>
    <w:rsid w:val="001A3027"/>
    <w:rsid w:val="001A45FA"/>
    <w:rsid w:val="001A4AD7"/>
    <w:rsid w:val="001A4FBB"/>
    <w:rsid w:val="001A59B8"/>
    <w:rsid w:val="001A6FCB"/>
    <w:rsid w:val="001A7AC1"/>
    <w:rsid w:val="001B083D"/>
    <w:rsid w:val="001B19B5"/>
    <w:rsid w:val="001B1D32"/>
    <w:rsid w:val="001B1F6A"/>
    <w:rsid w:val="001B221D"/>
    <w:rsid w:val="001B2A82"/>
    <w:rsid w:val="001B2E9C"/>
    <w:rsid w:val="001B49E3"/>
    <w:rsid w:val="001B5A95"/>
    <w:rsid w:val="001B5AB9"/>
    <w:rsid w:val="001B5B13"/>
    <w:rsid w:val="001B5CC2"/>
    <w:rsid w:val="001B6BB1"/>
    <w:rsid w:val="001B6C9D"/>
    <w:rsid w:val="001B6E8C"/>
    <w:rsid w:val="001B75B6"/>
    <w:rsid w:val="001C0A31"/>
    <w:rsid w:val="001C14F8"/>
    <w:rsid w:val="001C1CC0"/>
    <w:rsid w:val="001C1D17"/>
    <w:rsid w:val="001C1E6F"/>
    <w:rsid w:val="001C216E"/>
    <w:rsid w:val="001C24F1"/>
    <w:rsid w:val="001C2718"/>
    <w:rsid w:val="001C57FE"/>
    <w:rsid w:val="001C589D"/>
    <w:rsid w:val="001C5969"/>
    <w:rsid w:val="001C5E3C"/>
    <w:rsid w:val="001C61F4"/>
    <w:rsid w:val="001C6EF8"/>
    <w:rsid w:val="001C7E66"/>
    <w:rsid w:val="001D0138"/>
    <w:rsid w:val="001D1236"/>
    <w:rsid w:val="001D1885"/>
    <w:rsid w:val="001D1D72"/>
    <w:rsid w:val="001D2BF6"/>
    <w:rsid w:val="001D4926"/>
    <w:rsid w:val="001D4D86"/>
    <w:rsid w:val="001D51AB"/>
    <w:rsid w:val="001D5B3C"/>
    <w:rsid w:val="001D5D0D"/>
    <w:rsid w:val="001D6BFC"/>
    <w:rsid w:val="001D73E2"/>
    <w:rsid w:val="001E06DF"/>
    <w:rsid w:val="001E0FFA"/>
    <w:rsid w:val="001E1610"/>
    <w:rsid w:val="001E17A5"/>
    <w:rsid w:val="001E1A52"/>
    <w:rsid w:val="001E2162"/>
    <w:rsid w:val="001E3200"/>
    <w:rsid w:val="001E37E1"/>
    <w:rsid w:val="001E3E1C"/>
    <w:rsid w:val="001E41AB"/>
    <w:rsid w:val="001E42ED"/>
    <w:rsid w:val="001E4E6C"/>
    <w:rsid w:val="001E4FFF"/>
    <w:rsid w:val="001E5B0A"/>
    <w:rsid w:val="001E5E9F"/>
    <w:rsid w:val="001E64F3"/>
    <w:rsid w:val="001E6BFD"/>
    <w:rsid w:val="001E7452"/>
    <w:rsid w:val="001E7A91"/>
    <w:rsid w:val="001E7ABE"/>
    <w:rsid w:val="001F18D1"/>
    <w:rsid w:val="001F23DD"/>
    <w:rsid w:val="001F2862"/>
    <w:rsid w:val="001F2D63"/>
    <w:rsid w:val="001F2F41"/>
    <w:rsid w:val="001F3A91"/>
    <w:rsid w:val="001F3CA2"/>
    <w:rsid w:val="001F463F"/>
    <w:rsid w:val="001F49FE"/>
    <w:rsid w:val="001F595E"/>
    <w:rsid w:val="001F5CCF"/>
    <w:rsid w:val="001F7F3A"/>
    <w:rsid w:val="0020039E"/>
    <w:rsid w:val="00200B5D"/>
    <w:rsid w:val="00200BFF"/>
    <w:rsid w:val="002015A1"/>
    <w:rsid w:val="00201895"/>
    <w:rsid w:val="002019F5"/>
    <w:rsid w:val="00201A06"/>
    <w:rsid w:val="00201DE2"/>
    <w:rsid w:val="0020299F"/>
    <w:rsid w:val="002031F3"/>
    <w:rsid w:val="00203BA8"/>
    <w:rsid w:val="00203C9A"/>
    <w:rsid w:val="00203F50"/>
    <w:rsid w:val="00204B1B"/>
    <w:rsid w:val="00205C4C"/>
    <w:rsid w:val="00205ED8"/>
    <w:rsid w:val="00206EB0"/>
    <w:rsid w:val="0021011E"/>
    <w:rsid w:val="0021059C"/>
    <w:rsid w:val="00210E75"/>
    <w:rsid w:val="00210EDD"/>
    <w:rsid w:val="00211489"/>
    <w:rsid w:val="00211600"/>
    <w:rsid w:val="00212432"/>
    <w:rsid w:val="00212BB3"/>
    <w:rsid w:val="00213514"/>
    <w:rsid w:val="00213784"/>
    <w:rsid w:val="00214C54"/>
    <w:rsid w:val="0021535B"/>
    <w:rsid w:val="00215A65"/>
    <w:rsid w:val="00216222"/>
    <w:rsid w:val="00216604"/>
    <w:rsid w:val="00216EEF"/>
    <w:rsid w:val="002209F5"/>
    <w:rsid w:val="00220A89"/>
    <w:rsid w:val="00220BA8"/>
    <w:rsid w:val="0022179A"/>
    <w:rsid w:val="00221FEF"/>
    <w:rsid w:val="00222305"/>
    <w:rsid w:val="002225B1"/>
    <w:rsid w:val="00222996"/>
    <w:rsid w:val="00222F80"/>
    <w:rsid w:val="00223198"/>
    <w:rsid w:val="00223297"/>
    <w:rsid w:val="00223B05"/>
    <w:rsid w:val="00227972"/>
    <w:rsid w:val="00230383"/>
    <w:rsid w:val="00231584"/>
    <w:rsid w:val="00231830"/>
    <w:rsid w:val="00231DAD"/>
    <w:rsid w:val="00231E35"/>
    <w:rsid w:val="002320C4"/>
    <w:rsid w:val="00232208"/>
    <w:rsid w:val="0023343F"/>
    <w:rsid w:val="00234509"/>
    <w:rsid w:val="00234923"/>
    <w:rsid w:val="00234C2F"/>
    <w:rsid w:val="0023554F"/>
    <w:rsid w:val="00235797"/>
    <w:rsid w:val="00236303"/>
    <w:rsid w:val="0023700A"/>
    <w:rsid w:val="00241EF8"/>
    <w:rsid w:val="002423D6"/>
    <w:rsid w:val="00242850"/>
    <w:rsid w:val="0024292E"/>
    <w:rsid w:val="00244362"/>
    <w:rsid w:val="00244742"/>
    <w:rsid w:val="00245279"/>
    <w:rsid w:val="00247179"/>
    <w:rsid w:val="002507F5"/>
    <w:rsid w:val="002508DF"/>
    <w:rsid w:val="00251109"/>
    <w:rsid w:val="00251BA9"/>
    <w:rsid w:val="0025250B"/>
    <w:rsid w:val="00252EC2"/>
    <w:rsid w:val="0025303F"/>
    <w:rsid w:val="0025394D"/>
    <w:rsid w:val="00253A0E"/>
    <w:rsid w:val="00254C7B"/>
    <w:rsid w:val="00255FF8"/>
    <w:rsid w:val="002576B6"/>
    <w:rsid w:val="0026023D"/>
    <w:rsid w:val="00260955"/>
    <w:rsid w:val="00261D9B"/>
    <w:rsid w:val="0026231E"/>
    <w:rsid w:val="0026294F"/>
    <w:rsid w:val="00262BC2"/>
    <w:rsid w:val="00263FF9"/>
    <w:rsid w:val="00265645"/>
    <w:rsid w:val="00265731"/>
    <w:rsid w:val="00265DAF"/>
    <w:rsid w:val="00266C30"/>
    <w:rsid w:val="00266E5A"/>
    <w:rsid w:val="00267790"/>
    <w:rsid w:val="00270114"/>
    <w:rsid w:val="0027020D"/>
    <w:rsid w:val="00270837"/>
    <w:rsid w:val="002709E6"/>
    <w:rsid w:val="00270E22"/>
    <w:rsid w:val="00271672"/>
    <w:rsid w:val="00271CA4"/>
    <w:rsid w:val="00271EEF"/>
    <w:rsid w:val="00272353"/>
    <w:rsid w:val="002729EB"/>
    <w:rsid w:val="00272BA3"/>
    <w:rsid w:val="00272D5A"/>
    <w:rsid w:val="00273280"/>
    <w:rsid w:val="0027355A"/>
    <w:rsid w:val="002747DC"/>
    <w:rsid w:val="00274BE2"/>
    <w:rsid w:val="00274F70"/>
    <w:rsid w:val="002757BA"/>
    <w:rsid w:val="00275C52"/>
    <w:rsid w:val="002768AB"/>
    <w:rsid w:val="00276A83"/>
    <w:rsid w:val="00277991"/>
    <w:rsid w:val="00277CFA"/>
    <w:rsid w:val="00277DC2"/>
    <w:rsid w:val="00280153"/>
    <w:rsid w:val="00280746"/>
    <w:rsid w:val="00281003"/>
    <w:rsid w:val="00281E66"/>
    <w:rsid w:val="002823B1"/>
    <w:rsid w:val="00282482"/>
    <w:rsid w:val="00282971"/>
    <w:rsid w:val="00283E28"/>
    <w:rsid w:val="002841AF"/>
    <w:rsid w:val="00286604"/>
    <w:rsid w:val="00286695"/>
    <w:rsid w:val="00287846"/>
    <w:rsid w:val="00287901"/>
    <w:rsid w:val="00291429"/>
    <w:rsid w:val="00291B19"/>
    <w:rsid w:val="00291B99"/>
    <w:rsid w:val="002927D9"/>
    <w:rsid w:val="00292BB0"/>
    <w:rsid w:val="00292D5E"/>
    <w:rsid w:val="0029342D"/>
    <w:rsid w:val="002935DA"/>
    <w:rsid w:val="00293953"/>
    <w:rsid w:val="0029395B"/>
    <w:rsid w:val="00294AC9"/>
    <w:rsid w:val="00294B24"/>
    <w:rsid w:val="00294C67"/>
    <w:rsid w:val="00294CF5"/>
    <w:rsid w:val="00294E6F"/>
    <w:rsid w:val="0029600C"/>
    <w:rsid w:val="0029649C"/>
    <w:rsid w:val="0029739A"/>
    <w:rsid w:val="002973DD"/>
    <w:rsid w:val="0029789D"/>
    <w:rsid w:val="002A17CF"/>
    <w:rsid w:val="002A1C51"/>
    <w:rsid w:val="002A2215"/>
    <w:rsid w:val="002A2333"/>
    <w:rsid w:val="002A2C32"/>
    <w:rsid w:val="002A3B56"/>
    <w:rsid w:val="002A3F94"/>
    <w:rsid w:val="002A4DCA"/>
    <w:rsid w:val="002A547B"/>
    <w:rsid w:val="002A570A"/>
    <w:rsid w:val="002A65F0"/>
    <w:rsid w:val="002A77D9"/>
    <w:rsid w:val="002A7A3A"/>
    <w:rsid w:val="002B14CE"/>
    <w:rsid w:val="002B14D0"/>
    <w:rsid w:val="002B2295"/>
    <w:rsid w:val="002B290F"/>
    <w:rsid w:val="002B3AD2"/>
    <w:rsid w:val="002B42EA"/>
    <w:rsid w:val="002B4D19"/>
    <w:rsid w:val="002B5404"/>
    <w:rsid w:val="002B5C98"/>
    <w:rsid w:val="002B62FE"/>
    <w:rsid w:val="002B702B"/>
    <w:rsid w:val="002B726C"/>
    <w:rsid w:val="002C05CB"/>
    <w:rsid w:val="002C199D"/>
    <w:rsid w:val="002C2174"/>
    <w:rsid w:val="002C491D"/>
    <w:rsid w:val="002C49A2"/>
    <w:rsid w:val="002C5384"/>
    <w:rsid w:val="002C5539"/>
    <w:rsid w:val="002C5C26"/>
    <w:rsid w:val="002C6C01"/>
    <w:rsid w:val="002C7041"/>
    <w:rsid w:val="002C7A81"/>
    <w:rsid w:val="002C7D1D"/>
    <w:rsid w:val="002C7DC8"/>
    <w:rsid w:val="002D0C0C"/>
    <w:rsid w:val="002D0EAA"/>
    <w:rsid w:val="002D153F"/>
    <w:rsid w:val="002D1AA8"/>
    <w:rsid w:val="002D2182"/>
    <w:rsid w:val="002D34CE"/>
    <w:rsid w:val="002D394C"/>
    <w:rsid w:val="002D65C2"/>
    <w:rsid w:val="002D662B"/>
    <w:rsid w:val="002D6BD5"/>
    <w:rsid w:val="002D6C73"/>
    <w:rsid w:val="002D76EE"/>
    <w:rsid w:val="002D78AF"/>
    <w:rsid w:val="002D7A15"/>
    <w:rsid w:val="002D7D65"/>
    <w:rsid w:val="002E0190"/>
    <w:rsid w:val="002E1A11"/>
    <w:rsid w:val="002E1CF0"/>
    <w:rsid w:val="002E2C86"/>
    <w:rsid w:val="002E32CD"/>
    <w:rsid w:val="002E36B4"/>
    <w:rsid w:val="002E4785"/>
    <w:rsid w:val="002E52A8"/>
    <w:rsid w:val="002E54DE"/>
    <w:rsid w:val="002E5AB6"/>
    <w:rsid w:val="002E5F14"/>
    <w:rsid w:val="002E7525"/>
    <w:rsid w:val="002F0533"/>
    <w:rsid w:val="002F08CE"/>
    <w:rsid w:val="002F0BAC"/>
    <w:rsid w:val="002F1509"/>
    <w:rsid w:val="002F159E"/>
    <w:rsid w:val="002F16F5"/>
    <w:rsid w:val="002F175A"/>
    <w:rsid w:val="002F1825"/>
    <w:rsid w:val="002F183A"/>
    <w:rsid w:val="002F260A"/>
    <w:rsid w:val="002F3144"/>
    <w:rsid w:val="002F376A"/>
    <w:rsid w:val="002F3881"/>
    <w:rsid w:val="002F44BB"/>
    <w:rsid w:val="002F476E"/>
    <w:rsid w:val="002F5A31"/>
    <w:rsid w:val="002F6818"/>
    <w:rsid w:val="002F7286"/>
    <w:rsid w:val="00301E1C"/>
    <w:rsid w:val="00301E49"/>
    <w:rsid w:val="003022B1"/>
    <w:rsid w:val="00303243"/>
    <w:rsid w:val="003033E9"/>
    <w:rsid w:val="0030349B"/>
    <w:rsid w:val="00303689"/>
    <w:rsid w:val="00303E47"/>
    <w:rsid w:val="003043C9"/>
    <w:rsid w:val="00304C9C"/>
    <w:rsid w:val="00304D8E"/>
    <w:rsid w:val="00305B65"/>
    <w:rsid w:val="00305C07"/>
    <w:rsid w:val="00307840"/>
    <w:rsid w:val="00307994"/>
    <w:rsid w:val="00307A33"/>
    <w:rsid w:val="00307B14"/>
    <w:rsid w:val="0030D945"/>
    <w:rsid w:val="003101B9"/>
    <w:rsid w:val="003101F5"/>
    <w:rsid w:val="0031022D"/>
    <w:rsid w:val="003124F1"/>
    <w:rsid w:val="00312BBC"/>
    <w:rsid w:val="00314021"/>
    <w:rsid w:val="00314638"/>
    <w:rsid w:val="00316AA2"/>
    <w:rsid w:val="00317659"/>
    <w:rsid w:val="00320A99"/>
    <w:rsid w:val="00320B6B"/>
    <w:rsid w:val="0032198E"/>
    <w:rsid w:val="0032219C"/>
    <w:rsid w:val="00322600"/>
    <w:rsid w:val="00322F21"/>
    <w:rsid w:val="0032392C"/>
    <w:rsid w:val="00323AC4"/>
    <w:rsid w:val="00324AA8"/>
    <w:rsid w:val="00325186"/>
    <w:rsid w:val="00326376"/>
    <w:rsid w:val="003278F6"/>
    <w:rsid w:val="00330B17"/>
    <w:rsid w:val="0033192F"/>
    <w:rsid w:val="00331A5F"/>
    <w:rsid w:val="003323D5"/>
    <w:rsid w:val="00332AFE"/>
    <w:rsid w:val="00332E69"/>
    <w:rsid w:val="00333373"/>
    <w:rsid w:val="00333438"/>
    <w:rsid w:val="00333B85"/>
    <w:rsid w:val="00333E85"/>
    <w:rsid w:val="003357BF"/>
    <w:rsid w:val="00335A14"/>
    <w:rsid w:val="00336338"/>
    <w:rsid w:val="00336899"/>
    <w:rsid w:val="00336964"/>
    <w:rsid w:val="003370EE"/>
    <w:rsid w:val="0033731B"/>
    <w:rsid w:val="00337906"/>
    <w:rsid w:val="00340618"/>
    <w:rsid w:val="003416E0"/>
    <w:rsid w:val="00342BEA"/>
    <w:rsid w:val="00342FFB"/>
    <w:rsid w:val="00343088"/>
    <w:rsid w:val="00343510"/>
    <w:rsid w:val="00343536"/>
    <w:rsid w:val="0034439C"/>
    <w:rsid w:val="00346ECE"/>
    <w:rsid w:val="003503C0"/>
    <w:rsid w:val="00351635"/>
    <w:rsid w:val="0035249B"/>
    <w:rsid w:val="00352668"/>
    <w:rsid w:val="0035283D"/>
    <w:rsid w:val="00352E84"/>
    <w:rsid w:val="00353425"/>
    <w:rsid w:val="00355846"/>
    <w:rsid w:val="00355AC6"/>
    <w:rsid w:val="00355E68"/>
    <w:rsid w:val="003562B8"/>
    <w:rsid w:val="00356554"/>
    <w:rsid w:val="00357791"/>
    <w:rsid w:val="00357A2D"/>
    <w:rsid w:val="0036061D"/>
    <w:rsid w:val="003606C9"/>
    <w:rsid w:val="003609DC"/>
    <w:rsid w:val="00361C3C"/>
    <w:rsid w:val="003628D7"/>
    <w:rsid w:val="00362B3F"/>
    <w:rsid w:val="00362C59"/>
    <w:rsid w:val="00363C59"/>
    <w:rsid w:val="00363EF3"/>
    <w:rsid w:val="00364559"/>
    <w:rsid w:val="003656C5"/>
    <w:rsid w:val="00366245"/>
    <w:rsid w:val="00367B0E"/>
    <w:rsid w:val="00367B64"/>
    <w:rsid w:val="00370E6C"/>
    <w:rsid w:val="0037121F"/>
    <w:rsid w:val="00371962"/>
    <w:rsid w:val="00374674"/>
    <w:rsid w:val="00374D33"/>
    <w:rsid w:val="00375ACA"/>
    <w:rsid w:val="003761C3"/>
    <w:rsid w:val="00376769"/>
    <w:rsid w:val="00376D10"/>
    <w:rsid w:val="003824BF"/>
    <w:rsid w:val="00382D21"/>
    <w:rsid w:val="0038592B"/>
    <w:rsid w:val="0038598C"/>
    <w:rsid w:val="00385EC2"/>
    <w:rsid w:val="00386A10"/>
    <w:rsid w:val="00392472"/>
    <w:rsid w:val="0039257D"/>
    <w:rsid w:val="00393996"/>
    <w:rsid w:val="00393F6E"/>
    <w:rsid w:val="00395137"/>
    <w:rsid w:val="003958CB"/>
    <w:rsid w:val="00395F22"/>
    <w:rsid w:val="00396225"/>
    <w:rsid w:val="00396A48"/>
    <w:rsid w:val="00397C7E"/>
    <w:rsid w:val="003A0DE1"/>
    <w:rsid w:val="003A1B30"/>
    <w:rsid w:val="003A1C49"/>
    <w:rsid w:val="003A20AB"/>
    <w:rsid w:val="003A2344"/>
    <w:rsid w:val="003A34F7"/>
    <w:rsid w:val="003A3731"/>
    <w:rsid w:val="003A3AE4"/>
    <w:rsid w:val="003A3F2D"/>
    <w:rsid w:val="003A4127"/>
    <w:rsid w:val="003A49D9"/>
    <w:rsid w:val="003A4DAE"/>
    <w:rsid w:val="003A50A7"/>
    <w:rsid w:val="003A51D5"/>
    <w:rsid w:val="003A542D"/>
    <w:rsid w:val="003A65D7"/>
    <w:rsid w:val="003A6852"/>
    <w:rsid w:val="003A6DB0"/>
    <w:rsid w:val="003A72F2"/>
    <w:rsid w:val="003A7525"/>
    <w:rsid w:val="003A7751"/>
    <w:rsid w:val="003A7A03"/>
    <w:rsid w:val="003B0133"/>
    <w:rsid w:val="003B039A"/>
    <w:rsid w:val="003B0E5A"/>
    <w:rsid w:val="003B1417"/>
    <w:rsid w:val="003B1896"/>
    <w:rsid w:val="003B1C1A"/>
    <w:rsid w:val="003B1EE0"/>
    <w:rsid w:val="003B210F"/>
    <w:rsid w:val="003B354C"/>
    <w:rsid w:val="003B3DE6"/>
    <w:rsid w:val="003B58A6"/>
    <w:rsid w:val="003B5ADB"/>
    <w:rsid w:val="003B6671"/>
    <w:rsid w:val="003B6C2D"/>
    <w:rsid w:val="003C112C"/>
    <w:rsid w:val="003C1E77"/>
    <w:rsid w:val="003C1EEB"/>
    <w:rsid w:val="003C25FA"/>
    <w:rsid w:val="003C33BC"/>
    <w:rsid w:val="003C3531"/>
    <w:rsid w:val="003C5404"/>
    <w:rsid w:val="003C59A2"/>
    <w:rsid w:val="003C5F96"/>
    <w:rsid w:val="003C6B50"/>
    <w:rsid w:val="003C6CCC"/>
    <w:rsid w:val="003C707C"/>
    <w:rsid w:val="003C7282"/>
    <w:rsid w:val="003C75AC"/>
    <w:rsid w:val="003D0C90"/>
    <w:rsid w:val="003D13E6"/>
    <w:rsid w:val="003D13F0"/>
    <w:rsid w:val="003D1880"/>
    <w:rsid w:val="003D18CE"/>
    <w:rsid w:val="003D1CAF"/>
    <w:rsid w:val="003D28B4"/>
    <w:rsid w:val="003D2A81"/>
    <w:rsid w:val="003D3065"/>
    <w:rsid w:val="003D355A"/>
    <w:rsid w:val="003D3935"/>
    <w:rsid w:val="003D3AAB"/>
    <w:rsid w:val="003D3E94"/>
    <w:rsid w:val="003D602E"/>
    <w:rsid w:val="003D6A53"/>
    <w:rsid w:val="003D7331"/>
    <w:rsid w:val="003D7D11"/>
    <w:rsid w:val="003E00E9"/>
    <w:rsid w:val="003E13BE"/>
    <w:rsid w:val="003E19DC"/>
    <w:rsid w:val="003E23FA"/>
    <w:rsid w:val="003E2567"/>
    <w:rsid w:val="003E2D17"/>
    <w:rsid w:val="003E33B5"/>
    <w:rsid w:val="003E3C52"/>
    <w:rsid w:val="003E4101"/>
    <w:rsid w:val="003E4CBA"/>
    <w:rsid w:val="003E54D3"/>
    <w:rsid w:val="003E5C17"/>
    <w:rsid w:val="003E6CFB"/>
    <w:rsid w:val="003E6E8B"/>
    <w:rsid w:val="003E6F76"/>
    <w:rsid w:val="003E71C0"/>
    <w:rsid w:val="003ECF56"/>
    <w:rsid w:val="003F003A"/>
    <w:rsid w:val="003F006E"/>
    <w:rsid w:val="003F04C9"/>
    <w:rsid w:val="003F0906"/>
    <w:rsid w:val="003F1908"/>
    <w:rsid w:val="003F1F88"/>
    <w:rsid w:val="003F2420"/>
    <w:rsid w:val="003F2683"/>
    <w:rsid w:val="003F2756"/>
    <w:rsid w:val="003F2BD2"/>
    <w:rsid w:val="003F3A9B"/>
    <w:rsid w:val="003F42F2"/>
    <w:rsid w:val="003F4453"/>
    <w:rsid w:val="003F4B2F"/>
    <w:rsid w:val="003F4ED3"/>
    <w:rsid w:val="003F65CF"/>
    <w:rsid w:val="003F7803"/>
    <w:rsid w:val="003F78C3"/>
    <w:rsid w:val="004020E1"/>
    <w:rsid w:val="00402CA4"/>
    <w:rsid w:val="00402CC4"/>
    <w:rsid w:val="004031E6"/>
    <w:rsid w:val="004036C2"/>
    <w:rsid w:val="0040391B"/>
    <w:rsid w:val="00403D47"/>
    <w:rsid w:val="004040B0"/>
    <w:rsid w:val="00404C8B"/>
    <w:rsid w:val="00404FB7"/>
    <w:rsid w:val="00405BA7"/>
    <w:rsid w:val="00405BD8"/>
    <w:rsid w:val="00410441"/>
    <w:rsid w:val="004106C2"/>
    <w:rsid w:val="00410850"/>
    <w:rsid w:val="0041089D"/>
    <w:rsid w:val="00410AAE"/>
    <w:rsid w:val="00410E6F"/>
    <w:rsid w:val="004111A7"/>
    <w:rsid w:val="00412AB9"/>
    <w:rsid w:val="00412C74"/>
    <w:rsid w:val="00413007"/>
    <w:rsid w:val="0041329D"/>
    <w:rsid w:val="00413730"/>
    <w:rsid w:val="00413D6E"/>
    <w:rsid w:val="00414AE4"/>
    <w:rsid w:val="00414BC4"/>
    <w:rsid w:val="00414BCA"/>
    <w:rsid w:val="00415199"/>
    <w:rsid w:val="004158AD"/>
    <w:rsid w:val="004158D8"/>
    <w:rsid w:val="00415BE4"/>
    <w:rsid w:val="0041688C"/>
    <w:rsid w:val="004168E5"/>
    <w:rsid w:val="00416DAB"/>
    <w:rsid w:val="0041797F"/>
    <w:rsid w:val="00417EAB"/>
    <w:rsid w:val="00417FC8"/>
    <w:rsid w:val="00420017"/>
    <w:rsid w:val="0042080D"/>
    <w:rsid w:val="00420931"/>
    <w:rsid w:val="00420CE9"/>
    <w:rsid w:val="004239BD"/>
    <w:rsid w:val="00423A15"/>
    <w:rsid w:val="00423D8E"/>
    <w:rsid w:val="00423F68"/>
    <w:rsid w:val="00424C6A"/>
    <w:rsid w:val="00425015"/>
    <w:rsid w:val="00425BD2"/>
    <w:rsid w:val="00425CBE"/>
    <w:rsid w:val="00425E35"/>
    <w:rsid w:val="00426D7B"/>
    <w:rsid w:val="004307E9"/>
    <w:rsid w:val="00430886"/>
    <w:rsid w:val="00431998"/>
    <w:rsid w:val="00431A21"/>
    <w:rsid w:val="00432A55"/>
    <w:rsid w:val="00432E9B"/>
    <w:rsid w:val="004334B7"/>
    <w:rsid w:val="00433697"/>
    <w:rsid w:val="00433971"/>
    <w:rsid w:val="00433F1F"/>
    <w:rsid w:val="004347ED"/>
    <w:rsid w:val="00435F97"/>
    <w:rsid w:val="004363B7"/>
    <w:rsid w:val="00436CE8"/>
    <w:rsid w:val="00437663"/>
    <w:rsid w:val="0044068E"/>
    <w:rsid w:val="0044136F"/>
    <w:rsid w:val="0044182E"/>
    <w:rsid w:val="00441AB8"/>
    <w:rsid w:val="00442260"/>
    <w:rsid w:val="00442E04"/>
    <w:rsid w:val="00444A2A"/>
    <w:rsid w:val="004451CA"/>
    <w:rsid w:val="004455AA"/>
    <w:rsid w:val="00445A8D"/>
    <w:rsid w:val="004463E9"/>
    <w:rsid w:val="00446415"/>
    <w:rsid w:val="004467DC"/>
    <w:rsid w:val="0044718D"/>
    <w:rsid w:val="0044720D"/>
    <w:rsid w:val="00447420"/>
    <w:rsid w:val="00447EC7"/>
    <w:rsid w:val="00450084"/>
    <w:rsid w:val="00450D20"/>
    <w:rsid w:val="0045107B"/>
    <w:rsid w:val="0045119B"/>
    <w:rsid w:val="00451596"/>
    <w:rsid w:val="00451CC0"/>
    <w:rsid w:val="00451EBF"/>
    <w:rsid w:val="00452653"/>
    <w:rsid w:val="0045289B"/>
    <w:rsid w:val="00452CBA"/>
    <w:rsid w:val="00453BDD"/>
    <w:rsid w:val="004543ED"/>
    <w:rsid w:val="004545F9"/>
    <w:rsid w:val="00454D27"/>
    <w:rsid w:val="004556B4"/>
    <w:rsid w:val="0045674B"/>
    <w:rsid w:val="00456BC8"/>
    <w:rsid w:val="00456E16"/>
    <w:rsid w:val="004572DA"/>
    <w:rsid w:val="004573BC"/>
    <w:rsid w:val="0045760B"/>
    <w:rsid w:val="00460152"/>
    <w:rsid w:val="004604DF"/>
    <w:rsid w:val="00460BA3"/>
    <w:rsid w:val="0046192E"/>
    <w:rsid w:val="004646B7"/>
    <w:rsid w:val="00464855"/>
    <w:rsid w:val="004648A2"/>
    <w:rsid w:val="00464D27"/>
    <w:rsid w:val="00464E72"/>
    <w:rsid w:val="00465FCC"/>
    <w:rsid w:val="00466241"/>
    <w:rsid w:val="00466530"/>
    <w:rsid w:val="00467040"/>
    <w:rsid w:val="00467270"/>
    <w:rsid w:val="00467839"/>
    <w:rsid w:val="004704F6"/>
    <w:rsid w:val="004705AB"/>
    <w:rsid w:val="004710E8"/>
    <w:rsid w:val="0047144F"/>
    <w:rsid w:val="004718CB"/>
    <w:rsid w:val="00471B0E"/>
    <w:rsid w:val="00471C1F"/>
    <w:rsid w:val="0047213B"/>
    <w:rsid w:val="004722AE"/>
    <w:rsid w:val="0047275C"/>
    <w:rsid w:val="00474678"/>
    <w:rsid w:val="004748BE"/>
    <w:rsid w:val="00474B1F"/>
    <w:rsid w:val="004756EA"/>
    <w:rsid w:val="00476400"/>
    <w:rsid w:val="00476E91"/>
    <w:rsid w:val="0047721D"/>
    <w:rsid w:val="00477A65"/>
    <w:rsid w:val="004805D3"/>
    <w:rsid w:val="004811A0"/>
    <w:rsid w:val="004835FE"/>
    <w:rsid w:val="00483977"/>
    <w:rsid w:val="00483D50"/>
    <w:rsid w:val="00483EE1"/>
    <w:rsid w:val="004858C0"/>
    <w:rsid w:val="00485A5E"/>
    <w:rsid w:val="00485BA1"/>
    <w:rsid w:val="00485EB9"/>
    <w:rsid w:val="00486635"/>
    <w:rsid w:val="004871B2"/>
    <w:rsid w:val="00490429"/>
    <w:rsid w:val="00490CCA"/>
    <w:rsid w:val="00490F4B"/>
    <w:rsid w:val="00491644"/>
    <w:rsid w:val="00491A4F"/>
    <w:rsid w:val="004925A7"/>
    <w:rsid w:val="00492A24"/>
    <w:rsid w:val="00492AA6"/>
    <w:rsid w:val="00492C89"/>
    <w:rsid w:val="00493460"/>
    <w:rsid w:val="0049421B"/>
    <w:rsid w:val="0049437D"/>
    <w:rsid w:val="0049621C"/>
    <w:rsid w:val="004967DF"/>
    <w:rsid w:val="00496B6C"/>
    <w:rsid w:val="00497B7C"/>
    <w:rsid w:val="004A0895"/>
    <w:rsid w:val="004A095E"/>
    <w:rsid w:val="004A0BE6"/>
    <w:rsid w:val="004A102B"/>
    <w:rsid w:val="004A1996"/>
    <w:rsid w:val="004A1C3C"/>
    <w:rsid w:val="004A1EA9"/>
    <w:rsid w:val="004A2273"/>
    <w:rsid w:val="004A2BE2"/>
    <w:rsid w:val="004A2EC2"/>
    <w:rsid w:val="004A390D"/>
    <w:rsid w:val="004A3B21"/>
    <w:rsid w:val="004A3C51"/>
    <w:rsid w:val="004A3E65"/>
    <w:rsid w:val="004A4542"/>
    <w:rsid w:val="004A5446"/>
    <w:rsid w:val="004A6001"/>
    <w:rsid w:val="004A697B"/>
    <w:rsid w:val="004A78D2"/>
    <w:rsid w:val="004B0A41"/>
    <w:rsid w:val="004B0C46"/>
    <w:rsid w:val="004B117C"/>
    <w:rsid w:val="004B166A"/>
    <w:rsid w:val="004B2B9E"/>
    <w:rsid w:val="004B5881"/>
    <w:rsid w:val="004B6912"/>
    <w:rsid w:val="004B6D91"/>
    <w:rsid w:val="004B7967"/>
    <w:rsid w:val="004B79B3"/>
    <w:rsid w:val="004B7A34"/>
    <w:rsid w:val="004B7F29"/>
    <w:rsid w:val="004C0397"/>
    <w:rsid w:val="004C0DEC"/>
    <w:rsid w:val="004C115E"/>
    <w:rsid w:val="004C3909"/>
    <w:rsid w:val="004C494D"/>
    <w:rsid w:val="004C4D0E"/>
    <w:rsid w:val="004C5717"/>
    <w:rsid w:val="004C5A9C"/>
    <w:rsid w:val="004C5B58"/>
    <w:rsid w:val="004C6C61"/>
    <w:rsid w:val="004C767F"/>
    <w:rsid w:val="004C7E2B"/>
    <w:rsid w:val="004D007B"/>
    <w:rsid w:val="004D019C"/>
    <w:rsid w:val="004D06ED"/>
    <w:rsid w:val="004D141E"/>
    <w:rsid w:val="004D1995"/>
    <w:rsid w:val="004D1A80"/>
    <w:rsid w:val="004D23E8"/>
    <w:rsid w:val="004D3876"/>
    <w:rsid w:val="004D391F"/>
    <w:rsid w:val="004D56C9"/>
    <w:rsid w:val="004D6126"/>
    <w:rsid w:val="004D61EA"/>
    <w:rsid w:val="004D6C52"/>
    <w:rsid w:val="004D7503"/>
    <w:rsid w:val="004D7757"/>
    <w:rsid w:val="004E0B89"/>
    <w:rsid w:val="004E0DD8"/>
    <w:rsid w:val="004E1009"/>
    <w:rsid w:val="004E10F3"/>
    <w:rsid w:val="004E11F4"/>
    <w:rsid w:val="004E1480"/>
    <w:rsid w:val="004E1493"/>
    <w:rsid w:val="004E1C4A"/>
    <w:rsid w:val="004E1CBF"/>
    <w:rsid w:val="004E30D3"/>
    <w:rsid w:val="004E390D"/>
    <w:rsid w:val="004E39E2"/>
    <w:rsid w:val="004E3B8A"/>
    <w:rsid w:val="004E412E"/>
    <w:rsid w:val="004E452B"/>
    <w:rsid w:val="004E45C9"/>
    <w:rsid w:val="004E4629"/>
    <w:rsid w:val="004E5746"/>
    <w:rsid w:val="004E58B7"/>
    <w:rsid w:val="004E5B02"/>
    <w:rsid w:val="004E6F8A"/>
    <w:rsid w:val="004E727C"/>
    <w:rsid w:val="004F04DC"/>
    <w:rsid w:val="004F1050"/>
    <w:rsid w:val="004F2852"/>
    <w:rsid w:val="004F29E1"/>
    <w:rsid w:val="004F36AB"/>
    <w:rsid w:val="004F3FCF"/>
    <w:rsid w:val="004F4076"/>
    <w:rsid w:val="004F40C1"/>
    <w:rsid w:val="004F4B04"/>
    <w:rsid w:val="004F5033"/>
    <w:rsid w:val="004F56C9"/>
    <w:rsid w:val="004F5E9B"/>
    <w:rsid w:val="004F7055"/>
    <w:rsid w:val="004F7274"/>
    <w:rsid w:val="004F761F"/>
    <w:rsid w:val="0050014D"/>
    <w:rsid w:val="005002D7"/>
    <w:rsid w:val="0050039F"/>
    <w:rsid w:val="00500997"/>
    <w:rsid w:val="0050163B"/>
    <w:rsid w:val="00501BCA"/>
    <w:rsid w:val="0050347D"/>
    <w:rsid w:val="00503A58"/>
    <w:rsid w:val="00503DF6"/>
    <w:rsid w:val="0050475C"/>
    <w:rsid w:val="0050478D"/>
    <w:rsid w:val="00505517"/>
    <w:rsid w:val="00505BB7"/>
    <w:rsid w:val="00506B0D"/>
    <w:rsid w:val="0050743D"/>
    <w:rsid w:val="00507623"/>
    <w:rsid w:val="00510C4A"/>
    <w:rsid w:val="00510FD8"/>
    <w:rsid w:val="005115FC"/>
    <w:rsid w:val="0051165D"/>
    <w:rsid w:val="00512998"/>
    <w:rsid w:val="00512AA4"/>
    <w:rsid w:val="00512CA5"/>
    <w:rsid w:val="00513A94"/>
    <w:rsid w:val="00513B9F"/>
    <w:rsid w:val="005143D0"/>
    <w:rsid w:val="00514473"/>
    <w:rsid w:val="00514D89"/>
    <w:rsid w:val="00516372"/>
    <w:rsid w:val="00516449"/>
    <w:rsid w:val="00516C95"/>
    <w:rsid w:val="005172E6"/>
    <w:rsid w:val="00517728"/>
    <w:rsid w:val="0052009B"/>
    <w:rsid w:val="00520E9C"/>
    <w:rsid w:val="00521182"/>
    <w:rsid w:val="005221E2"/>
    <w:rsid w:val="005223B2"/>
    <w:rsid w:val="005227B6"/>
    <w:rsid w:val="00523432"/>
    <w:rsid w:val="0052382F"/>
    <w:rsid w:val="005238A6"/>
    <w:rsid w:val="00524005"/>
    <w:rsid w:val="005247EA"/>
    <w:rsid w:val="005257C7"/>
    <w:rsid w:val="00525972"/>
    <w:rsid w:val="00526163"/>
    <w:rsid w:val="00527F9A"/>
    <w:rsid w:val="00530DA2"/>
    <w:rsid w:val="00530F79"/>
    <w:rsid w:val="005313F1"/>
    <w:rsid w:val="00531B69"/>
    <w:rsid w:val="00531C74"/>
    <w:rsid w:val="005322E8"/>
    <w:rsid w:val="005329A8"/>
    <w:rsid w:val="00533EA5"/>
    <w:rsid w:val="00534073"/>
    <w:rsid w:val="005344D2"/>
    <w:rsid w:val="00534F60"/>
    <w:rsid w:val="0053599B"/>
    <w:rsid w:val="00535C89"/>
    <w:rsid w:val="005371D8"/>
    <w:rsid w:val="005372A7"/>
    <w:rsid w:val="00537828"/>
    <w:rsid w:val="00537CFC"/>
    <w:rsid w:val="00540E0B"/>
    <w:rsid w:val="00541423"/>
    <w:rsid w:val="00541698"/>
    <w:rsid w:val="00541CFE"/>
    <w:rsid w:val="00541D28"/>
    <w:rsid w:val="005423B4"/>
    <w:rsid w:val="005428C2"/>
    <w:rsid w:val="00542CC4"/>
    <w:rsid w:val="00542CF0"/>
    <w:rsid w:val="0054508D"/>
    <w:rsid w:val="00545ADF"/>
    <w:rsid w:val="00546890"/>
    <w:rsid w:val="00547122"/>
    <w:rsid w:val="0054768C"/>
    <w:rsid w:val="00547B2C"/>
    <w:rsid w:val="00547B8A"/>
    <w:rsid w:val="005500F8"/>
    <w:rsid w:val="005502E2"/>
    <w:rsid w:val="005505BF"/>
    <w:rsid w:val="00550A3F"/>
    <w:rsid w:val="00550CEF"/>
    <w:rsid w:val="005514CD"/>
    <w:rsid w:val="0055171A"/>
    <w:rsid w:val="005538B7"/>
    <w:rsid w:val="00553E64"/>
    <w:rsid w:val="0055451F"/>
    <w:rsid w:val="00554995"/>
    <w:rsid w:val="005566C0"/>
    <w:rsid w:val="00556E3C"/>
    <w:rsid w:val="00556F0A"/>
    <w:rsid w:val="00557469"/>
    <w:rsid w:val="0055797D"/>
    <w:rsid w:val="00557AA7"/>
    <w:rsid w:val="0056023F"/>
    <w:rsid w:val="00560345"/>
    <w:rsid w:val="005625A7"/>
    <w:rsid w:val="005644C3"/>
    <w:rsid w:val="005650F8"/>
    <w:rsid w:val="00565124"/>
    <w:rsid w:val="0056548B"/>
    <w:rsid w:val="00565DB0"/>
    <w:rsid w:val="00566018"/>
    <w:rsid w:val="005661A4"/>
    <w:rsid w:val="005663DA"/>
    <w:rsid w:val="00566AA6"/>
    <w:rsid w:val="005679B0"/>
    <w:rsid w:val="00570A06"/>
    <w:rsid w:val="0057135D"/>
    <w:rsid w:val="00572637"/>
    <w:rsid w:val="005730D9"/>
    <w:rsid w:val="005758AD"/>
    <w:rsid w:val="0057665E"/>
    <w:rsid w:val="00577105"/>
    <w:rsid w:val="00581B84"/>
    <w:rsid w:val="00582DB3"/>
    <w:rsid w:val="00582E33"/>
    <w:rsid w:val="00583B65"/>
    <w:rsid w:val="00585E17"/>
    <w:rsid w:val="005862E2"/>
    <w:rsid w:val="005869C2"/>
    <w:rsid w:val="00586A8C"/>
    <w:rsid w:val="005871A3"/>
    <w:rsid w:val="00587474"/>
    <w:rsid w:val="0058757C"/>
    <w:rsid w:val="00587620"/>
    <w:rsid w:val="00587E43"/>
    <w:rsid w:val="00591B4B"/>
    <w:rsid w:val="005927BD"/>
    <w:rsid w:val="00592B70"/>
    <w:rsid w:val="005931C0"/>
    <w:rsid w:val="00593E90"/>
    <w:rsid w:val="00594245"/>
    <w:rsid w:val="0059490A"/>
    <w:rsid w:val="00594986"/>
    <w:rsid w:val="00594B0D"/>
    <w:rsid w:val="005956F4"/>
    <w:rsid w:val="00595D71"/>
    <w:rsid w:val="00595F6B"/>
    <w:rsid w:val="005975B6"/>
    <w:rsid w:val="00597769"/>
    <w:rsid w:val="00597DCA"/>
    <w:rsid w:val="005A0765"/>
    <w:rsid w:val="005A1C95"/>
    <w:rsid w:val="005A28A6"/>
    <w:rsid w:val="005A45B0"/>
    <w:rsid w:val="005A4B04"/>
    <w:rsid w:val="005A60F6"/>
    <w:rsid w:val="005A6B9C"/>
    <w:rsid w:val="005A7F05"/>
    <w:rsid w:val="005B0852"/>
    <w:rsid w:val="005B09B8"/>
    <w:rsid w:val="005B0CB3"/>
    <w:rsid w:val="005B0E0C"/>
    <w:rsid w:val="005B0EDC"/>
    <w:rsid w:val="005B1398"/>
    <w:rsid w:val="005B172E"/>
    <w:rsid w:val="005B1DBA"/>
    <w:rsid w:val="005B21BA"/>
    <w:rsid w:val="005B2510"/>
    <w:rsid w:val="005B2B18"/>
    <w:rsid w:val="005B3F70"/>
    <w:rsid w:val="005B408C"/>
    <w:rsid w:val="005B41E7"/>
    <w:rsid w:val="005B481D"/>
    <w:rsid w:val="005B4FCE"/>
    <w:rsid w:val="005B64B5"/>
    <w:rsid w:val="005B72E3"/>
    <w:rsid w:val="005B7368"/>
    <w:rsid w:val="005B751C"/>
    <w:rsid w:val="005B7A57"/>
    <w:rsid w:val="005B7B89"/>
    <w:rsid w:val="005C01BF"/>
    <w:rsid w:val="005C0B26"/>
    <w:rsid w:val="005C116D"/>
    <w:rsid w:val="005C1202"/>
    <w:rsid w:val="005C4801"/>
    <w:rsid w:val="005C576C"/>
    <w:rsid w:val="005C67B7"/>
    <w:rsid w:val="005C6FCD"/>
    <w:rsid w:val="005C70E7"/>
    <w:rsid w:val="005C7DCB"/>
    <w:rsid w:val="005D0903"/>
    <w:rsid w:val="005D0AA6"/>
    <w:rsid w:val="005D13CE"/>
    <w:rsid w:val="005D1C7F"/>
    <w:rsid w:val="005D1CE3"/>
    <w:rsid w:val="005D1F88"/>
    <w:rsid w:val="005D228E"/>
    <w:rsid w:val="005D2901"/>
    <w:rsid w:val="005D3062"/>
    <w:rsid w:val="005D30A8"/>
    <w:rsid w:val="005D3D0B"/>
    <w:rsid w:val="005D472F"/>
    <w:rsid w:val="005D49CE"/>
    <w:rsid w:val="005D4AC8"/>
    <w:rsid w:val="005D5167"/>
    <w:rsid w:val="005D56D8"/>
    <w:rsid w:val="005D6407"/>
    <w:rsid w:val="005D6673"/>
    <w:rsid w:val="005D6A03"/>
    <w:rsid w:val="005D717D"/>
    <w:rsid w:val="005D7691"/>
    <w:rsid w:val="005D7A3E"/>
    <w:rsid w:val="005E0023"/>
    <w:rsid w:val="005E01AB"/>
    <w:rsid w:val="005E0A52"/>
    <w:rsid w:val="005E1262"/>
    <w:rsid w:val="005E1C3B"/>
    <w:rsid w:val="005E250A"/>
    <w:rsid w:val="005E349C"/>
    <w:rsid w:val="005E3F6D"/>
    <w:rsid w:val="005E3FE1"/>
    <w:rsid w:val="005E40F5"/>
    <w:rsid w:val="005E445F"/>
    <w:rsid w:val="005E47D7"/>
    <w:rsid w:val="005E49F2"/>
    <w:rsid w:val="005E5025"/>
    <w:rsid w:val="005E5114"/>
    <w:rsid w:val="005E5230"/>
    <w:rsid w:val="005E56C9"/>
    <w:rsid w:val="005E59FD"/>
    <w:rsid w:val="005E5D2A"/>
    <w:rsid w:val="005E5E16"/>
    <w:rsid w:val="005E69E9"/>
    <w:rsid w:val="005E7DD9"/>
    <w:rsid w:val="005F0C1B"/>
    <w:rsid w:val="005F0F0B"/>
    <w:rsid w:val="005F1043"/>
    <w:rsid w:val="005F2200"/>
    <w:rsid w:val="005F23AC"/>
    <w:rsid w:val="005F2A52"/>
    <w:rsid w:val="005F2AB2"/>
    <w:rsid w:val="005F3104"/>
    <w:rsid w:val="005F369A"/>
    <w:rsid w:val="005F3899"/>
    <w:rsid w:val="005F44C9"/>
    <w:rsid w:val="005F4AC6"/>
    <w:rsid w:val="005F4D66"/>
    <w:rsid w:val="005F533F"/>
    <w:rsid w:val="005F60D1"/>
    <w:rsid w:val="005F64C7"/>
    <w:rsid w:val="005F6E2A"/>
    <w:rsid w:val="00600488"/>
    <w:rsid w:val="00601351"/>
    <w:rsid w:val="006014F5"/>
    <w:rsid w:val="006015EA"/>
    <w:rsid w:val="0060160B"/>
    <w:rsid w:val="00601860"/>
    <w:rsid w:val="00602755"/>
    <w:rsid w:val="00602B04"/>
    <w:rsid w:val="00602B3B"/>
    <w:rsid w:val="006053AD"/>
    <w:rsid w:val="00605AA4"/>
    <w:rsid w:val="00605D1C"/>
    <w:rsid w:val="00607B88"/>
    <w:rsid w:val="00607F5D"/>
    <w:rsid w:val="00607F64"/>
    <w:rsid w:val="006100B1"/>
    <w:rsid w:val="00611298"/>
    <w:rsid w:val="006116CB"/>
    <w:rsid w:val="00611E3E"/>
    <w:rsid w:val="00611E82"/>
    <w:rsid w:val="00612226"/>
    <w:rsid w:val="0061243C"/>
    <w:rsid w:val="00612809"/>
    <w:rsid w:val="00613AFE"/>
    <w:rsid w:val="006141DC"/>
    <w:rsid w:val="00614AE0"/>
    <w:rsid w:val="0061519B"/>
    <w:rsid w:val="0061584F"/>
    <w:rsid w:val="00616807"/>
    <w:rsid w:val="00616F77"/>
    <w:rsid w:val="00617FD9"/>
    <w:rsid w:val="00620947"/>
    <w:rsid w:val="0062107C"/>
    <w:rsid w:val="00622949"/>
    <w:rsid w:val="00622B0D"/>
    <w:rsid w:val="00622E49"/>
    <w:rsid w:val="00623327"/>
    <w:rsid w:val="00623B12"/>
    <w:rsid w:val="006247C7"/>
    <w:rsid w:val="006247CF"/>
    <w:rsid w:val="006254B3"/>
    <w:rsid w:val="006254FD"/>
    <w:rsid w:val="0062698F"/>
    <w:rsid w:val="00626B20"/>
    <w:rsid w:val="00627AFD"/>
    <w:rsid w:val="00630F8A"/>
    <w:rsid w:val="00631E63"/>
    <w:rsid w:val="006321E6"/>
    <w:rsid w:val="00632BA7"/>
    <w:rsid w:val="00632E2F"/>
    <w:rsid w:val="0063334D"/>
    <w:rsid w:val="00633BFF"/>
    <w:rsid w:val="00634B95"/>
    <w:rsid w:val="00635607"/>
    <w:rsid w:val="00635662"/>
    <w:rsid w:val="006373BC"/>
    <w:rsid w:val="00640C1C"/>
    <w:rsid w:val="006416C4"/>
    <w:rsid w:val="00642E5D"/>
    <w:rsid w:val="006431C6"/>
    <w:rsid w:val="00643FC3"/>
    <w:rsid w:val="006454F5"/>
    <w:rsid w:val="00645982"/>
    <w:rsid w:val="00645AF5"/>
    <w:rsid w:val="00645EBB"/>
    <w:rsid w:val="0064683B"/>
    <w:rsid w:val="00646A11"/>
    <w:rsid w:val="00650106"/>
    <w:rsid w:val="00650163"/>
    <w:rsid w:val="006504D6"/>
    <w:rsid w:val="00651763"/>
    <w:rsid w:val="0065183A"/>
    <w:rsid w:val="00652200"/>
    <w:rsid w:val="00652724"/>
    <w:rsid w:val="006528DC"/>
    <w:rsid w:val="00652C3E"/>
    <w:rsid w:val="00653567"/>
    <w:rsid w:val="006537EA"/>
    <w:rsid w:val="00653907"/>
    <w:rsid w:val="00654BC6"/>
    <w:rsid w:val="00654C68"/>
    <w:rsid w:val="00655544"/>
    <w:rsid w:val="006568BB"/>
    <w:rsid w:val="00657557"/>
    <w:rsid w:val="00657DE8"/>
    <w:rsid w:val="00657F68"/>
    <w:rsid w:val="006618C4"/>
    <w:rsid w:val="00662B7C"/>
    <w:rsid w:val="00663596"/>
    <w:rsid w:val="00663DCF"/>
    <w:rsid w:val="00665003"/>
    <w:rsid w:val="0066529A"/>
    <w:rsid w:val="00666399"/>
    <w:rsid w:val="006664E7"/>
    <w:rsid w:val="00667615"/>
    <w:rsid w:val="006679E4"/>
    <w:rsid w:val="006703B1"/>
    <w:rsid w:val="006719F7"/>
    <w:rsid w:val="00671AF7"/>
    <w:rsid w:val="00671BA9"/>
    <w:rsid w:val="0067239A"/>
    <w:rsid w:val="006729E2"/>
    <w:rsid w:val="00673162"/>
    <w:rsid w:val="00673234"/>
    <w:rsid w:val="006735B7"/>
    <w:rsid w:val="0067402F"/>
    <w:rsid w:val="00674579"/>
    <w:rsid w:val="006745AF"/>
    <w:rsid w:val="00674C05"/>
    <w:rsid w:val="006759F6"/>
    <w:rsid w:val="00675ADD"/>
    <w:rsid w:val="00675D8A"/>
    <w:rsid w:val="006760C8"/>
    <w:rsid w:val="006760E7"/>
    <w:rsid w:val="0067685E"/>
    <w:rsid w:val="0067775A"/>
    <w:rsid w:val="00677BFF"/>
    <w:rsid w:val="00677DEF"/>
    <w:rsid w:val="00680FDA"/>
    <w:rsid w:val="006811AD"/>
    <w:rsid w:val="00681476"/>
    <w:rsid w:val="006816D6"/>
    <w:rsid w:val="00681B5F"/>
    <w:rsid w:val="00681E43"/>
    <w:rsid w:val="00682BC4"/>
    <w:rsid w:val="00682BF2"/>
    <w:rsid w:val="00682F8B"/>
    <w:rsid w:val="006832ED"/>
    <w:rsid w:val="00684256"/>
    <w:rsid w:val="00684513"/>
    <w:rsid w:val="006845E1"/>
    <w:rsid w:val="00684838"/>
    <w:rsid w:val="00685A95"/>
    <w:rsid w:val="00685AB7"/>
    <w:rsid w:val="00685C6D"/>
    <w:rsid w:val="0068654F"/>
    <w:rsid w:val="00686871"/>
    <w:rsid w:val="0068692E"/>
    <w:rsid w:val="00686B3A"/>
    <w:rsid w:val="006879FC"/>
    <w:rsid w:val="0069081F"/>
    <w:rsid w:val="00690B3E"/>
    <w:rsid w:val="00690C89"/>
    <w:rsid w:val="00692845"/>
    <w:rsid w:val="006928B7"/>
    <w:rsid w:val="006929AA"/>
    <w:rsid w:val="00692C13"/>
    <w:rsid w:val="00692C64"/>
    <w:rsid w:val="0069473F"/>
    <w:rsid w:val="00695978"/>
    <w:rsid w:val="0069684C"/>
    <w:rsid w:val="00696CF3"/>
    <w:rsid w:val="00696EC9"/>
    <w:rsid w:val="00697324"/>
    <w:rsid w:val="00697632"/>
    <w:rsid w:val="0069779F"/>
    <w:rsid w:val="006977FE"/>
    <w:rsid w:val="00697DBD"/>
    <w:rsid w:val="006A0582"/>
    <w:rsid w:val="006A05B6"/>
    <w:rsid w:val="006A0745"/>
    <w:rsid w:val="006A200E"/>
    <w:rsid w:val="006A2F93"/>
    <w:rsid w:val="006A3845"/>
    <w:rsid w:val="006A421C"/>
    <w:rsid w:val="006A46E7"/>
    <w:rsid w:val="006A46FF"/>
    <w:rsid w:val="006A4BDD"/>
    <w:rsid w:val="006A4DD0"/>
    <w:rsid w:val="006A4E95"/>
    <w:rsid w:val="006A56DA"/>
    <w:rsid w:val="006A58A2"/>
    <w:rsid w:val="006A5D8E"/>
    <w:rsid w:val="006A6406"/>
    <w:rsid w:val="006A6B9B"/>
    <w:rsid w:val="006A6DF3"/>
    <w:rsid w:val="006A7405"/>
    <w:rsid w:val="006A7AA5"/>
    <w:rsid w:val="006A7E6A"/>
    <w:rsid w:val="006B0428"/>
    <w:rsid w:val="006B0832"/>
    <w:rsid w:val="006B10DB"/>
    <w:rsid w:val="006B184A"/>
    <w:rsid w:val="006B35F9"/>
    <w:rsid w:val="006B3875"/>
    <w:rsid w:val="006B3F4B"/>
    <w:rsid w:val="006B4400"/>
    <w:rsid w:val="006B5FB3"/>
    <w:rsid w:val="006B627F"/>
    <w:rsid w:val="006B7771"/>
    <w:rsid w:val="006C056B"/>
    <w:rsid w:val="006C06D9"/>
    <w:rsid w:val="006C0F34"/>
    <w:rsid w:val="006C136B"/>
    <w:rsid w:val="006C13A9"/>
    <w:rsid w:val="006C19F1"/>
    <w:rsid w:val="006C23DA"/>
    <w:rsid w:val="006C2B76"/>
    <w:rsid w:val="006C31EA"/>
    <w:rsid w:val="006C33B8"/>
    <w:rsid w:val="006C436D"/>
    <w:rsid w:val="006C4783"/>
    <w:rsid w:val="006C4914"/>
    <w:rsid w:val="006C49FB"/>
    <w:rsid w:val="006C4A9E"/>
    <w:rsid w:val="006C5045"/>
    <w:rsid w:val="006C59F8"/>
    <w:rsid w:val="006C6297"/>
    <w:rsid w:val="006C6400"/>
    <w:rsid w:val="006C7005"/>
    <w:rsid w:val="006C7D54"/>
    <w:rsid w:val="006C7EB5"/>
    <w:rsid w:val="006D0EFB"/>
    <w:rsid w:val="006D12D0"/>
    <w:rsid w:val="006D1DD1"/>
    <w:rsid w:val="006D2D7B"/>
    <w:rsid w:val="006D3EDC"/>
    <w:rsid w:val="006D43D6"/>
    <w:rsid w:val="006D4D3E"/>
    <w:rsid w:val="006D5037"/>
    <w:rsid w:val="006D50DB"/>
    <w:rsid w:val="006D64C6"/>
    <w:rsid w:val="006D652C"/>
    <w:rsid w:val="006D66DB"/>
    <w:rsid w:val="006D6B17"/>
    <w:rsid w:val="006D74E9"/>
    <w:rsid w:val="006D7A47"/>
    <w:rsid w:val="006D7B44"/>
    <w:rsid w:val="006D7EF9"/>
    <w:rsid w:val="006E14F0"/>
    <w:rsid w:val="006E1584"/>
    <w:rsid w:val="006E1610"/>
    <w:rsid w:val="006E1975"/>
    <w:rsid w:val="006E1C18"/>
    <w:rsid w:val="006E205C"/>
    <w:rsid w:val="006E38AB"/>
    <w:rsid w:val="006E3EF1"/>
    <w:rsid w:val="006E4240"/>
    <w:rsid w:val="006E4264"/>
    <w:rsid w:val="006E489A"/>
    <w:rsid w:val="006E5004"/>
    <w:rsid w:val="006E5C4B"/>
    <w:rsid w:val="006E606E"/>
    <w:rsid w:val="006E625D"/>
    <w:rsid w:val="006E64C2"/>
    <w:rsid w:val="006E7420"/>
    <w:rsid w:val="006F06B5"/>
    <w:rsid w:val="006F2882"/>
    <w:rsid w:val="006F2C89"/>
    <w:rsid w:val="006F307C"/>
    <w:rsid w:val="006F351D"/>
    <w:rsid w:val="006F457B"/>
    <w:rsid w:val="006F527C"/>
    <w:rsid w:val="006F6D8C"/>
    <w:rsid w:val="006F6EC5"/>
    <w:rsid w:val="006F72EC"/>
    <w:rsid w:val="0070012E"/>
    <w:rsid w:val="0070140B"/>
    <w:rsid w:val="00701844"/>
    <w:rsid w:val="00702B68"/>
    <w:rsid w:val="00702E08"/>
    <w:rsid w:val="00702E88"/>
    <w:rsid w:val="00703D15"/>
    <w:rsid w:val="007049CE"/>
    <w:rsid w:val="00705591"/>
    <w:rsid w:val="00705BA8"/>
    <w:rsid w:val="00706507"/>
    <w:rsid w:val="007065EF"/>
    <w:rsid w:val="0070663E"/>
    <w:rsid w:val="00706904"/>
    <w:rsid w:val="00706ED5"/>
    <w:rsid w:val="00707EDC"/>
    <w:rsid w:val="007106B3"/>
    <w:rsid w:val="00711A9F"/>
    <w:rsid w:val="00711B44"/>
    <w:rsid w:val="00711B55"/>
    <w:rsid w:val="00712588"/>
    <w:rsid w:val="0071289A"/>
    <w:rsid w:val="007134FF"/>
    <w:rsid w:val="00713739"/>
    <w:rsid w:val="00713A56"/>
    <w:rsid w:val="00713B92"/>
    <w:rsid w:val="00714116"/>
    <w:rsid w:val="00714B27"/>
    <w:rsid w:val="00716106"/>
    <w:rsid w:val="00716CB5"/>
    <w:rsid w:val="00717C67"/>
    <w:rsid w:val="00717F72"/>
    <w:rsid w:val="0071FA37"/>
    <w:rsid w:val="0072047C"/>
    <w:rsid w:val="00720C39"/>
    <w:rsid w:val="0072108A"/>
    <w:rsid w:val="00721971"/>
    <w:rsid w:val="0072277E"/>
    <w:rsid w:val="0072360E"/>
    <w:rsid w:val="00724617"/>
    <w:rsid w:val="00724B69"/>
    <w:rsid w:val="00724C05"/>
    <w:rsid w:val="00724CFF"/>
    <w:rsid w:val="00724FCE"/>
    <w:rsid w:val="0072542F"/>
    <w:rsid w:val="00725979"/>
    <w:rsid w:val="007264D5"/>
    <w:rsid w:val="00727408"/>
    <w:rsid w:val="007304D4"/>
    <w:rsid w:val="00731941"/>
    <w:rsid w:val="0073196A"/>
    <w:rsid w:val="00733112"/>
    <w:rsid w:val="00733ABE"/>
    <w:rsid w:val="00734150"/>
    <w:rsid w:val="00735AE8"/>
    <w:rsid w:val="007362D8"/>
    <w:rsid w:val="007366D5"/>
    <w:rsid w:val="00736D05"/>
    <w:rsid w:val="00736ECC"/>
    <w:rsid w:val="00736FA8"/>
    <w:rsid w:val="00736FC7"/>
    <w:rsid w:val="007374E5"/>
    <w:rsid w:val="00740026"/>
    <w:rsid w:val="00740118"/>
    <w:rsid w:val="00740665"/>
    <w:rsid w:val="00740F04"/>
    <w:rsid w:val="00741537"/>
    <w:rsid w:val="007415EB"/>
    <w:rsid w:val="00741798"/>
    <w:rsid w:val="00742417"/>
    <w:rsid w:val="00742D4F"/>
    <w:rsid w:val="00742F9F"/>
    <w:rsid w:val="007432C8"/>
    <w:rsid w:val="007436F4"/>
    <w:rsid w:val="00743AE5"/>
    <w:rsid w:val="0074431B"/>
    <w:rsid w:val="007444DE"/>
    <w:rsid w:val="00744584"/>
    <w:rsid w:val="00745E65"/>
    <w:rsid w:val="0074646E"/>
    <w:rsid w:val="007467A2"/>
    <w:rsid w:val="00746943"/>
    <w:rsid w:val="007469F4"/>
    <w:rsid w:val="0075048D"/>
    <w:rsid w:val="007509B2"/>
    <w:rsid w:val="00750AA0"/>
    <w:rsid w:val="00750AAD"/>
    <w:rsid w:val="00750F28"/>
    <w:rsid w:val="007511DA"/>
    <w:rsid w:val="00751702"/>
    <w:rsid w:val="00751EAC"/>
    <w:rsid w:val="00751F17"/>
    <w:rsid w:val="00751F3F"/>
    <w:rsid w:val="0075259E"/>
    <w:rsid w:val="00752A93"/>
    <w:rsid w:val="00753C97"/>
    <w:rsid w:val="00754075"/>
    <w:rsid w:val="0075423D"/>
    <w:rsid w:val="007548FB"/>
    <w:rsid w:val="00754952"/>
    <w:rsid w:val="007554CC"/>
    <w:rsid w:val="007556A7"/>
    <w:rsid w:val="00755DEF"/>
    <w:rsid w:val="00757F32"/>
    <w:rsid w:val="007601D5"/>
    <w:rsid w:val="007606FF"/>
    <w:rsid w:val="007608E6"/>
    <w:rsid w:val="007609EE"/>
    <w:rsid w:val="00761057"/>
    <w:rsid w:val="0076124D"/>
    <w:rsid w:val="0076137B"/>
    <w:rsid w:val="00762A31"/>
    <w:rsid w:val="007647EB"/>
    <w:rsid w:val="007649E7"/>
    <w:rsid w:val="0076544A"/>
    <w:rsid w:val="00765551"/>
    <w:rsid w:val="00765D30"/>
    <w:rsid w:val="00765E69"/>
    <w:rsid w:val="007665C4"/>
    <w:rsid w:val="00766A20"/>
    <w:rsid w:val="00766DB3"/>
    <w:rsid w:val="0077024C"/>
    <w:rsid w:val="00770968"/>
    <w:rsid w:val="00770BFC"/>
    <w:rsid w:val="007710D4"/>
    <w:rsid w:val="0077209E"/>
    <w:rsid w:val="0077327A"/>
    <w:rsid w:val="00774380"/>
    <w:rsid w:val="0077445E"/>
    <w:rsid w:val="00774BEE"/>
    <w:rsid w:val="00774C3B"/>
    <w:rsid w:val="00774E79"/>
    <w:rsid w:val="0077507C"/>
    <w:rsid w:val="0077641D"/>
    <w:rsid w:val="0077660E"/>
    <w:rsid w:val="00776D7E"/>
    <w:rsid w:val="007775F8"/>
    <w:rsid w:val="0077787E"/>
    <w:rsid w:val="00777D46"/>
    <w:rsid w:val="00780601"/>
    <w:rsid w:val="00780890"/>
    <w:rsid w:val="0078193B"/>
    <w:rsid w:val="00781C74"/>
    <w:rsid w:val="0078273A"/>
    <w:rsid w:val="007830D6"/>
    <w:rsid w:val="00783B1F"/>
    <w:rsid w:val="0078447F"/>
    <w:rsid w:val="0078458E"/>
    <w:rsid w:val="007846DC"/>
    <w:rsid w:val="00784ACD"/>
    <w:rsid w:val="00784F81"/>
    <w:rsid w:val="00786BED"/>
    <w:rsid w:val="007876E9"/>
    <w:rsid w:val="00790314"/>
    <w:rsid w:val="007904D6"/>
    <w:rsid w:val="00791D20"/>
    <w:rsid w:val="007920F1"/>
    <w:rsid w:val="00792554"/>
    <w:rsid w:val="007926EA"/>
    <w:rsid w:val="007927B4"/>
    <w:rsid w:val="00792B5F"/>
    <w:rsid w:val="00792DA9"/>
    <w:rsid w:val="00793836"/>
    <w:rsid w:val="007938B1"/>
    <w:rsid w:val="00793B3D"/>
    <w:rsid w:val="00793FE7"/>
    <w:rsid w:val="007945A4"/>
    <w:rsid w:val="0079467F"/>
    <w:rsid w:val="007947DD"/>
    <w:rsid w:val="00794B3F"/>
    <w:rsid w:val="00794D81"/>
    <w:rsid w:val="00795238"/>
    <w:rsid w:val="007954A4"/>
    <w:rsid w:val="007957AF"/>
    <w:rsid w:val="0079594A"/>
    <w:rsid w:val="00795EC3"/>
    <w:rsid w:val="007968C6"/>
    <w:rsid w:val="00796D23"/>
    <w:rsid w:val="007979C8"/>
    <w:rsid w:val="00797AAE"/>
    <w:rsid w:val="007A09A3"/>
    <w:rsid w:val="007A0EFA"/>
    <w:rsid w:val="007A1378"/>
    <w:rsid w:val="007A192A"/>
    <w:rsid w:val="007A2830"/>
    <w:rsid w:val="007A30F8"/>
    <w:rsid w:val="007A326A"/>
    <w:rsid w:val="007A35B6"/>
    <w:rsid w:val="007A3D37"/>
    <w:rsid w:val="007A3F4C"/>
    <w:rsid w:val="007A45AA"/>
    <w:rsid w:val="007A46FC"/>
    <w:rsid w:val="007A4CA6"/>
    <w:rsid w:val="007A5B5D"/>
    <w:rsid w:val="007A6028"/>
    <w:rsid w:val="007A63B8"/>
    <w:rsid w:val="007A6C19"/>
    <w:rsid w:val="007A7294"/>
    <w:rsid w:val="007A75FD"/>
    <w:rsid w:val="007A7E3C"/>
    <w:rsid w:val="007B045D"/>
    <w:rsid w:val="007B09F5"/>
    <w:rsid w:val="007B1204"/>
    <w:rsid w:val="007B148E"/>
    <w:rsid w:val="007B1D4C"/>
    <w:rsid w:val="007B235E"/>
    <w:rsid w:val="007B2C52"/>
    <w:rsid w:val="007B364F"/>
    <w:rsid w:val="007B3821"/>
    <w:rsid w:val="007B42B0"/>
    <w:rsid w:val="007B42B6"/>
    <w:rsid w:val="007B4B99"/>
    <w:rsid w:val="007B65E6"/>
    <w:rsid w:val="007B6917"/>
    <w:rsid w:val="007B6C99"/>
    <w:rsid w:val="007B6ED3"/>
    <w:rsid w:val="007B72BB"/>
    <w:rsid w:val="007C1085"/>
    <w:rsid w:val="007C1C03"/>
    <w:rsid w:val="007C2590"/>
    <w:rsid w:val="007C259E"/>
    <w:rsid w:val="007C3853"/>
    <w:rsid w:val="007C42FD"/>
    <w:rsid w:val="007C480C"/>
    <w:rsid w:val="007C48B2"/>
    <w:rsid w:val="007C5E55"/>
    <w:rsid w:val="007C5F51"/>
    <w:rsid w:val="007C6218"/>
    <w:rsid w:val="007C6CF9"/>
    <w:rsid w:val="007C6E49"/>
    <w:rsid w:val="007C75B0"/>
    <w:rsid w:val="007D10F7"/>
    <w:rsid w:val="007D1632"/>
    <w:rsid w:val="007D22D5"/>
    <w:rsid w:val="007D46E5"/>
    <w:rsid w:val="007D6647"/>
    <w:rsid w:val="007D7AC2"/>
    <w:rsid w:val="007D7CCF"/>
    <w:rsid w:val="007D7DDF"/>
    <w:rsid w:val="007E0349"/>
    <w:rsid w:val="007E041E"/>
    <w:rsid w:val="007E041F"/>
    <w:rsid w:val="007E09D2"/>
    <w:rsid w:val="007E0E78"/>
    <w:rsid w:val="007E1112"/>
    <w:rsid w:val="007E12B6"/>
    <w:rsid w:val="007E183B"/>
    <w:rsid w:val="007E218D"/>
    <w:rsid w:val="007E22B8"/>
    <w:rsid w:val="007E2825"/>
    <w:rsid w:val="007E296A"/>
    <w:rsid w:val="007E2D56"/>
    <w:rsid w:val="007E2FFD"/>
    <w:rsid w:val="007E4351"/>
    <w:rsid w:val="007E5B06"/>
    <w:rsid w:val="007E5F87"/>
    <w:rsid w:val="007E604D"/>
    <w:rsid w:val="007E6B34"/>
    <w:rsid w:val="007E72D4"/>
    <w:rsid w:val="007E7962"/>
    <w:rsid w:val="007F0DCF"/>
    <w:rsid w:val="007F0E57"/>
    <w:rsid w:val="007F10C8"/>
    <w:rsid w:val="007F55F0"/>
    <w:rsid w:val="007F6285"/>
    <w:rsid w:val="007F6C45"/>
    <w:rsid w:val="007F7326"/>
    <w:rsid w:val="007F7BBD"/>
    <w:rsid w:val="008006CB"/>
    <w:rsid w:val="00800C82"/>
    <w:rsid w:val="008010E3"/>
    <w:rsid w:val="00802108"/>
    <w:rsid w:val="00802362"/>
    <w:rsid w:val="008030C6"/>
    <w:rsid w:val="00803DC9"/>
    <w:rsid w:val="00804222"/>
    <w:rsid w:val="00804709"/>
    <w:rsid w:val="008048C1"/>
    <w:rsid w:val="00804F2F"/>
    <w:rsid w:val="00805B4E"/>
    <w:rsid w:val="00805DAB"/>
    <w:rsid w:val="008062D3"/>
    <w:rsid w:val="00806394"/>
    <w:rsid w:val="00806611"/>
    <w:rsid w:val="00806705"/>
    <w:rsid w:val="00806BDA"/>
    <w:rsid w:val="0081016F"/>
    <w:rsid w:val="008102F9"/>
    <w:rsid w:val="0081151C"/>
    <w:rsid w:val="00811A77"/>
    <w:rsid w:val="00811AFF"/>
    <w:rsid w:val="00811EE3"/>
    <w:rsid w:val="008127B8"/>
    <w:rsid w:val="00812B49"/>
    <w:rsid w:val="008144B7"/>
    <w:rsid w:val="008144FB"/>
    <w:rsid w:val="00814687"/>
    <w:rsid w:val="00814A43"/>
    <w:rsid w:val="00815086"/>
    <w:rsid w:val="008169FE"/>
    <w:rsid w:val="00816B7B"/>
    <w:rsid w:val="00816D61"/>
    <w:rsid w:val="00817185"/>
    <w:rsid w:val="00817854"/>
    <w:rsid w:val="00817E46"/>
    <w:rsid w:val="00817EB3"/>
    <w:rsid w:val="008212B7"/>
    <w:rsid w:val="0082217B"/>
    <w:rsid w:val="008228C7"/>
    <w:rsid w:val="00822CAF"/>
    <w:rsid w:val="00823508"/>
    <w:rsid w:val="008243B5"/>
    <w:rsid w:val="00824521"/>
    <w:rsid w:val="008255BA"/>
    <w:rsid w:val="00826258"/>
    <w:rsid w:val="00826A06"/>
    <w:rsid w:val="00826BD4"/>
    <w:rsid w:val="00826E73"/>
    <w:rsid w:val="00826EFE"/>
    <w:rsid w:val="0082794E"/>
    <w:rsid w:val="00827F44"/>
    <w:rsid w:val="0083048F"/>
    <w:rsid w:val="00831167"/>
    <w:rsid w:val="008311B5"/>
    <w:rsid w:val="008319B6"/>
    <w:rsid w:val="00831ADE"/>
    <w:rsid w:val="00831CDF"/>
    <w:rsid w:val="00832EA8"/>
    <w:rsid w:val="00834168"/>
    <w:rsid w:val="008342CF"/>
    <w:rsid w:val="0083453F"/>
    <w:rsid w:val="00834D98"/>
    <w:rsid w:val="00835425"/>
    <w:rsid w:val="00835D98"/>
    <w:rsid w:val="00836988"/>
    <w:rsid w:val="00837952"/>
    <w:rsid w:val="00840623"/>
    <w:rsid w:val="00841561"/>
    <w:rsid w:val="0084167C"/>
    <w:rsid w:val="008434CD"/>
    <w:rsid w:val="008439F7"/>
    <w:rsid w:val="00845301"/>
    <w:rsid w:val="00845E62"/>
    <w:rsid w:val="008471B5"/>
    <w:rsid w:val="0084787A"/>
    <w:rsid w:val="008505DC"/>
    <w:rsid w:val="0085063A"/>
    <w:rsid w:val="00850689"/>
    <w:rsid w:val="00850CA0"/>
    <w:rsid w:val="008519B4"/>
    <w:rsid w:val="00851EC2"/>
    <w:rsid w:val="00853673"/>
    <w:rsid w:val="00853A87"/>
    <w:rsid w:val="0085447C"/>
    <w:rsid w:val="00855DEA"/>
    <w:rsid w:val="00856B17"/>
    <w:rsid w:val="00856F24"/>
    <w:rsid w:val="008572B7"/>
    <w:rsid w:val="00857FFE"/>
    <w:rsid w:val="00860BEA"/>
    <w:rsid w:val="00861035"/>
    <w:rsid w:val="008616CE"/>
    <w:rsid w:val="00861AF4"/>
    <w:rsid w:val="0086215E"/>
    <w:rsid w:val="0086219A"/>
    <w:rsid w:val="00862311"/>
    <w:rsid w:val="00862C1B"/>
    <w:rsid w:val="00862CF5"/>
    <w:rsid w:val="00863249"/>
    <w:rsid w:val="00863788"/>
    <w:rsid w:val="00864165"/>
    <w:rsid w:val="008642DB"/>
    <w:rsid w:val="00865940"/>
    <w:rsid w:val="00865EE7"/>
    <w:rsid w:val="008660B2"/>
    <w:rsid w:val="00866EBA"/>
    <w:rsid w:val="0086784E"/>
    <w:rsid w:val="008705FA"/>
    <w:rsid w:val="0087092B"/>
    <w:rsid w:val="00870B90"/>
    <w:rsid w:val="00870D8F"/>
    <w:rsid w:val="00870E08"/>
    <w:rsid w:val="008713C8"/>
    <w:rsid w:val="0087219D"/>
    <w:rsid w:val="008733F8"/>
    <w:rsid w:val="008753D8"/>
    <w:rsid w:val="00875B60"/>
    <w:rsid w:val="00875F5C"/>
    <w:rsid w:val="00876473"/>
    <w:rsid w:val="00876C1F"/>
    <w:rsid w:val="008771C3"/>
    <w:rsid w:val="008777F2"/>
    <w:rsid w:val="008779CA"/>
    <w:rsid w:val="00877D0B"/>
    <w:rsid w:val="008801F7"/>
    <w:rsid w:val="00880295"/>
    <w:rsid w:val="008802A7"/>
    <w:rsid w:val="00881BE8"/>
    <w:rsid w:val="00882020"/>
    <w:rsid w:val="008827C4"/>
    <w:rsid w:val="008828F1"/>
    <w:rsid w:val="00882E06"/>
    <w:rsid w:val="00883756"/>
    <w:rsid w:val="00883F52"/>
    <w:rsid w:val="008843F5"/>
    <w:rsid w:val="00884575"/>
    <w:rsid w:val="00885AB8"/>
    <w:rsid w:val="00885F9E"/>
    <w:rsid w:val="00886006"/>
    <w:rsid w:val="00886BEA"/>
    <w:rsid w:val="00886C9F"/>
    <w:rsid w:val="00887F2A"/>
    <w:rsid w:val="00890505"/>
    <w:rsid w:val="00890D19"/>
    <w:rsid w:val="0089112B"/>
    <w:rsid w:val="00891DCC"/>
    <w:rsid w:val="00892463"/>
    <w:rsid w:val="00893025"/>
    <w:rsid w:val="00893133"/>
    <w:rsid w:val="008931F4"/>
    <w:rsid w:val="00893B41"/>
    <w:rsid w:val="00893DC6"/>
    <w:rsid w:val="008942A1"/>
    <w:rsid w:val="00894D7A"/>
    <w:rsid w:val="008951CD"/>
    <w:rsid w:val="00895885"/>
    <w:rsid w:val="00895965"/>
    <w:rsid w:val="00895FCE"/>
    <w:rsid w:val="00896486"/>
    <w:rsid w:val="00897C63"/>
    <w:rsid w:val="00897F8B"/>
    <w:rsid w:val="008A02CF"/>
    <w:rsid w:val="008A0A34"/>
    <w:rsid w:val="008A0CB1"/>
    <w:rsid w:val="008A1208"/>
    <w:rsid w:val="008A1A61"/>
    <w:rsid w:val="008A1CD2"/>
    <w:rsid w:val="008A3850"/>
    <w:rsid w:val="008A4BD5"/>
    <w:rsid w:val="008A4C7D"/>
    <w:rsid w:val="008A4E60"/>
    <w:rsid w:val="008A4FBA"/>
    <w:rsid w:val="008A501A"/>
    <w:rsid w:val="008A507D"/>
    <w:rsid w:val="008A67DF"/>
    <w:rsid w:val="008A6E21"/>
    <w:rsid w:val="008A6EE8"/>
    <w:rsid w:val="008A784B"/>
    <w:rsid w:val="008A7CA9"/>
    <w:rsid w:val="008B0475"/>
    <w:rsid w:val="008B0658"/>
    <w:rsid w:val="008B095E"/>
    <w:rsid w:val="008B0977"/>
    <w:rsid w:val="008B0DF0"/>
    <w:rsid w:val="008B100D"/>
    <w:rsid w:val="008B2A0D"/>
    <w:rsid w:val="008B2A58"/>
    <w:rsid w:val="008B30FC"/>
    <w:rsid w:val="008B3838"/>
    <w:rsid w:val="008B3EB3"/>
    <w:rsid w:val="008B4181"/>
    <w:rsid w:val="008B61AF"/>
    <w:rsid w:val="008B667A"/>
    <w:rsid w:val="008B66E7"/>
    <w:rsid w:val="008B6963"/>
    <w:rsid w:val="008B6A4C"/>
    <w:rsid w:val="008C05AF"/>
    <w:rsid w:val="008C18E2"/>
    <w:rsid w:val="008C1ABA"/>
    <w:rsid w:val="008C1E83"/>
    <w:rsid w:val="008C2246"/>
    <w:rsid w:val="008C2347"/>
    <w:rsid w:val="008C2409"/>
    <w:rsid w:val="008C2B45"/>
    <w:rsid w:val="008C2E50"/>
    <w:rsid w:val="008C3394"/>
    <w:rsid w:val="008C379D"/>
    <w:rsid w:val="008C39E5"/>
    <w:rsid w:val="008C44E8"/>
    <w:rsid w:val="008C462E"/>
    <w:rsid w:val="008C5054"/>
    <w:rsid w:val="008C5392"/>
    <w:rsid w:val="008C5799"/>
    <w:rsid w:val="008C5979"/>
    <w:rsid w:val="008C5C00"/>
    <w:rsid w:val="008C5FA3"/>
    <w:rsid w:val="008C6262"/>
    <w:rsid w:val="008C6A95"/>
    <w:rsid w:val="008C7F5D"/>
    <w:rsid w:val="008D1CF7"/>
    <w:rsid w:val="008D2D54"/>
    <w:rsid w:val="008D3EDA"/>
    <w:rsid w:val="008D40A9"/>
    <w:rsid w:val="008D4635"/>
    <w:rsid w:val="008D4BB0"/>
    <w:rsid w:val="008D4C76"/>
    <w:rsid w:val="008D500D"/>
    <w:rsid w:val="008D5345"/>
    <w:rsid w:val="008D57BC"/>
    <w:rsid w:val="008D5BAB"/>
    <w:rsid w:val="008D75C3"/>
    <w:rsid w:val="008D76D0"/>
    <w:rsid w:val="008D7C58"/>
    <w:rsid w:val="008E0418"/>
    <w:rsid w:val="008E065E"/>
    <w:rsid w:val="008E0E31"/>
    <w:rsid w:val="008E157D"/>
    <w:rsid w:val="008E17FC"/>
    <w:rsid w:val="008E20DB"/>
    <w:rsid w:val="008E3989"/>
    <w:rsid w:val="008E49C8"/>
    <w:rsid w:val="008E6E9C"/>
    <w:rsid w:val="008E717F"/>
    <w:rsid w:val="008E7296"/>
    <w:rsid w:val="008F057F"/>
    <w:rsid w:val="008F0C9A"/>
    <w:rsid w:val="008F1925"/>
    <w:rsid w:val="008F1F13"/>
    <w:rsid w:val="008F2226"/>
    <w:rsid w:val="008F2BC7"/>
    <w:rsid w:val="008F4AE5"/>
    <w:rsid w:val="008F551F"/>
    <w:rsid w:val="008F6106"/>
    <w:rsid w:val="008F725A"/>
    <w:rsid w:val="008F761C"/>
    <w:rsid w:val="009007BF"/>
    <w:rsid w:val="00900DEF"/>
    <w:rsid w:val="00901616"/>
    <w:rsid w:val="009018AC"/>
    <w:rsid w:val="00901948"/>
    <w:rsid w:val="00902583"/>
    <w:rsid w:val="009026A5"/>
    <w:rsid w:val="009037E0"/>
    <w:rsid w:val="00903821"/>
    <w:rsid w:val="00905A8D"/>
    <w:rsid w:val="00905D78"/>
    <w:rsid w:val="009063CA"/>
    <w:rsid w:val="0090651F"/>
    <w:rsid w:val="009075BB"/>
    <w:rsid w:val="00907793"/>
    <w:rsid w:val="0090782B"/>
    <w:rsid w:val="009079A6"/>
    <w:rsid w:val="00907A53"/>
    <w:rsid w:val="00907AC3"/>
    <w:rsid w:val="009100AC"/>
    <w:rsid w:val="009104E2"/>
    <w:rsid w:val="0091060B"/>
    <w:rsid w:val="00910A5F"/>
    <w:rsid w:val="00910D1E"/>
    <w:rsid w:val="00912112"/>
    <w:rsid w:val="009129E8"/>
    <w:rsid w:val="00914CD2"/>
    <w:rsid w:val="0091756E"/>
    <w:rsid w:val="00917763"/>
    <w:rsid w:val="00920064"/>
    <w:rsid w:val="009200F6"/>
    <w:rsid w:val="009212DE"/>
    <w:rsid w:val="0092396C"/>
    <w:rsid w:val="00923A6D"/>
    <w:rsid w:val="009245CA"/>
    <w:rsid w:val="00924DED"/>
    <w:rsid w:val="00925A0C"/>
    <w:rsid w:val="00925D28"/>
    <w:rsid w:val="009260D7"/>
    <w:rsid w:val="00926CB1"/>
    <w:rsid w:val="00927520"/>
    <w:rsid w:val="00927F48"/>
    <w:rsid w:val="00930ACD"/>
    <w:rsid w:val="00931625"/>
    <w:rsid w:val="00931ECF"/>
    <w:rsid w:val="0093223F"/>
    <w:rsid w:val="00932309"/>
    <w:rsid w:val="00932A77"/>
    <w:rsid w:val="00932AF9"/>
    <w:rsid w:val="00932E11"/>
    <w:rsid w:val="00932F6A"/>
    <w:rsid w:val="009330BB"/>
    <w:rsid w:val="009335C4"/>
    <w:rsid w:val="00933645"/>
    <w:rsid w:val="00933FFF"/>
    <w:rsid w:val="0093405D"/>
    <w:rsid w:val="00934108"/>
    <w:rsid w:val="00934869"/>
    <w:rsid w:val="00935059"/>
    <w:rsid w:val="00936825"/>
    <w:rsid w:val="009368A6"/>
    <w:rsid w:val="009379C1"/>
    <w:rsid w:val="00940EC6"/>
    <w:rsid w:val="00941630"/>
    <w:rsid w:val="0094275E"/>
    <w:rsid w:val="00942B89"/>
    <w:rsid w:val="00942C6A"/>
    <w:rsid w:val="00943BDE"/>
    <w:rsid w:val="00944F5A"/>
    <w:rsid w:val="00945278"/>
    <w:rsid w:val="00945405"/>
    <w:rsid w:val="009459D2"/>
    <w:rsid w:val="00946D50"/>
    <w:rsid w:val="00947A34"/>
    <w:rsid w:val="009501A2"/>
    <w:rsid w:val="00952F8D"/>
    <w:rsid w:val="00953F8F"/>
    <w:rsid w:val="00954496"/>
    <w:rsid w:val="00954AAE"/>
    <w:rsid w:val="0095505B"/>
    <w:rsid w:val="009555CA"/>
    <w:rsid w:val="0095652D"/>
    <w:rsid w:val="00956792"/>
    <w:rsid w:val="00957BFE"/>
    <w:rsid w:val="00957D50"/>
    <w:rsid w:val="00957D89"/>
    <w:rsid w:val="0096036B"/>
    <w:rsid w:val="00960519"/>
    <w:rsid w:val="00960B65"/>
    <w:rsid w:val="00961369"/>
    <w:rsid w:val="0096179C"/>
    <w:rsid w:val="00961D83"/>
    <w:rsid w:val="00961E39"/>
    <w:rsid w:val="00962CF7"/>
    <w:rsid w:val="0096314B"/>
    <w:rsid w:val="009633F5"/>
    <w:rsid w:val="009638A0"/>
    <w:rsid w:val="00963F48"/>
    <w:rsid w:val="0096417F"/>
    <w:rsid w:val="009652BF"/>
    <w:rsid w:val="009655C2"/>
    <w:rsid w:val="0096734F"/>
    <w:rsid w:val="00970211"/>
    <w:rsid w:val="009702DA"/>
    <w:rsid w:val="00971594"/>
    <w:rsid w:val="009717F9"/>
    <w:rsid w:val="00971EF4"/>
    <w:rsid w:val="00972609"/>
    <w:rsid w:val="00972AA3"/>
    <w:rsid w:val="009730F0"/>
    <w:rsid w:val="0097382C"/>
    <w:rsid w:val="009738C0"/>
    <w:rsid w:val="00973983"/>
    <w:rsid w:val="00973A17"/>
    <w:rsid w:val="00973CAA"/>
    <w:rsid w:val="0097469C"/>
    <w:rsid w:val="009748BB"/>
    <w:rsid w:val="00974AE6"/>
    <w:rsid w:val="00976146"/>
    <w:rsid w:val="00976CFD"/>
    <w:rsid w:val="0097790F"/>
    <w:rsid w:val="00981627"/>
    <w:rsid w:val="009827F2"/>
    <w:rsid w:val="00982E94"/>
    <w:rsid w:val="00983457"/>
    <w:rsid w:val="009835CA"/>
    <w:rsid w:val="00983D71"/>
    <w:rsid w:val="00983DF5"/>
    <w:rsid w:val="00983EFF"/>
    <w:rsid w:val="009841D9"/>
    <w:rsid w:val="009842E2"/>
    <w:rsid w:val="00984BAE"/>
    <w:rsid w:val="00984C97"/>
    <w:rsid w:val="0098546B"/>
    <w:rsid w:val="00985583"/>
    <w:rsid w:val="009873B5"/>
    <w:rsid w:val="0099015B"/>
    <w:rsid w:val="00990516"/>
    <w:rsid w:val="0099173E"/>
    <w:rsid w:val="0099195F"/>
    <w:rsid w:val="009920BE"/>
    <w:rsid w:val="00992351"/>
    <w:rsid w:val="009935F3"/>
    <w:rsid w:val="00993BA4"/>
    <w:rsid w:val="00993EDF"/>
    <w:rsid w:val="00994AC8"/>
    <w:rsid w:val="00995E83"/>
    <w:rsid w:val="00996530"/>
    <w:rsid w:val="00996737"/>
    <w:rsid w:val="00996815"/>
    <w:rsid w:val="00996BFE"/>
    <w:rsid w:val="00997060"/>
    <w:rsid w:val="00997F26"/>
    <w:rsid w:val="009A04FC"/>
    <w:rsid w:val="009A0D56"/>
    <w:rsid w:val="009A1446"/>
    <w:rsid w:val="009A17CF"/>
    <w:rsid w:val="009A1806"/>
    <w:rsid w:val="009A393B"/>
    <w:rsid w:val="009A3C54"/>
    <w:rsid w:val="009A41AC"/>
    <w:rsid w:val="009A460E"/>
    <w:rsid w:val="009A4B41"/>
    <w:rsid w:val="009A5345"/>
    <w:rsid w:val="009A57AC"/>
    <w:rsid w:val="009A634D"/>
    <w:rsid w:val="009A68F7"/>
    <w:rsid w:val="009A7E41"/>
    <w:rsid w:val="009B070F"/>
    <w:rsid w:val="009B23EA"/>
    <w:rsid w:val="009B241E"/>
    <w:rsid w:val="009B277E"/>
    <w:rsid w:val="009B363C"/>
    <w:rsid w:val="009B3662"/>
    <w:rsid w:val="009B39D8"/>
    <w:rsid w:val="009B39FE"/>
    <w:rsid w:val="009B4052"/>
    <w:rsid w:val="009B40C5"/>
    <w:rsid w:val="009B5ED3"/>
    <w:rsid w:val="009B645F"/>
    <w:rsid w:val="009B67F3"/>
    <w:rsid w:val="009B68B6"/>
    <w:rsid w:val="009B71EE"/>
    <w:rsid w:val="009B7318"/>
    <w:rsid w:val="009B7525"/>
    <w:rsid w:val="009C02FB"/>
    <w:rsid w:val="009C06D1"/>
    <w:rsid w:val="009C1A92"/>
    <w:rsid w:val="009C215B"/>
    <w:rsid w:val="009C2C8C"/>
    <w:rsid w:val="009C2E7D"/>
    <w:rsid w:val="009C4C15"/>
    <w:rsid w:val="009C4DB2"/>
    <w:rsid w:val="009C5BFB"/>
    <w:rsid w:val="009C620E"/>
    <w:rsid w:val="009C6410"/>
    <w:rsid w:val="009C65A1"/>
    <w:rsid w:val="009C68BD"/>
    <w:rsid w:val="009C76CA"/>
    <w:rsid w:val="009C775F"/>
    <w:rsid w:val="009C7969"/>
    <w:rsid w:val="009D1281"/>
    <w:rsid w:val="009D1BE3"/>
    <w:rsid w:val="009D2046"/>
    <w:rsid w:val="009D22D2"/>
    <w:rsid w:val="009D234D"/>
    <w:rsid w:val="009D3385"/>
    <w:rsid w:val="009D39D8"/>
    <w:rsid w:val="009D4C82"/>
    <w:rsid w:val="009D5DA0"/>
    <w:rsid w:val="009D6255"/>
    <w:rsid w:val="009D6429"/>
    <w:rsid w:val="009D6B08"/>
    <w:rsid w:val="009D75F8"/>
    <w:rsid w:val="009D7DDA"/>
    <w:rsid w:val="009E03F9"/>
    <w:rsid w:val="009E05EA"/>
    <w:rsid w:val="009E1CD3"/>
    <w:rsid w:val="009E1E40"/>
    <w:rsid w:val="009E2793"/>
    <w:rsid w:val="009E27C0"/>
    <w:rsid w:val="009E283D"/>
    <w:rsid w:val="009E2E1A"/>
    <w:rsid w:val="009E4029"/>
    <w:rsid w:val="009E4156"/>
    <w:rsid w:val="009E48EB"/>
    <w:rsid w:val="009E4EEB"/>
    <w:rsid w:val="009E67B2"/>
    <w:rsid w:val="009E6EA9"/>
    <w:rsid w:val="009E701B"/>
    <w:rsid w:val="009E7781"/>
    <w:rsid w:val="009F01C6"/>
    <w:rsid w:val="009F0BC4"/>
    <w:rsid w:val="009F0D91"/>
    <w:rsid w:val="009F137A"/>
    <w:rsid w:val="009F1991"/>
    <w:rsid w:val="009F1F6B"/>
    <w:rsid w:val="009F2276"/>
    <w:rsid w:val="009F2763"/>
    <w:rsid w:val="009F3527"/>
    <w:rsid w:val="009F39CA"/>
    <w:rsid w:val="009F43BF"/>
    <w:rsid w:val="009F470D"/>
    <w:rsid w:val="009F47B1"/>
    <w:rsid w:val="009F4D6E"/>
    <w:rsid w:val="009F5FB0"/>
    <w:rsid w:val="009F62AC"/>
    <w:rsid w:val="009F7B41"/>
    <w:rsid w:val="00A018B0"/>
    <w:rsid w:val="00A03425"/>
    <w:rsid w:val="00A0364F"/>
    <w:rsid w:val="00A054AF"/>
    <w:rsid w:val="00A0585B"/>
    <w:rsid w:val="00A06577"/>
    <w:rsid w:val="00A07321"/>
    <w:rsid w:val="00A07473"/>
    <w:rsid w:val="00A10551"/>
    <w:rsid w:val="00A11038"/>
    <w:rsid w:val="00A119C1"/>
    <w:rsid w:val="00A122D2"/>
    <w:rsid w:val="00A13A1F"/>
    <w:rsid w:val="00A13EDE"/>
    <w:rsid w:val="00A13FD1"/>
    <w:rsid w:val="00A14686"/>
    <w:rsid w:val="00A14F98"/>
    <w:rsid w:val="00A152ED"/>
    <w:rsid w:val="00A161CC"/>
    <w:rsid w:val="00A1765D"/>
    <w:rsid w:val="00A17C05"/>
    <w:rsid w:val="00A20743"/>
    <w:rsid w:val="00A20C2E"/>
    <w:rsid w:val="00A219C0"/>
    <w:rsid w:val="00A21AF6"/>
    <w:rsid w:val="00A21B38"/>
    <w:rsid w:val="00A22E61"/>
    <w:rsid w:val="00A237F5"/>
    <w:rsid w:val="00A23936"/>
    <w:rsid w:val="00A244C8"/>
    <w:rsid w:val="00A25E40"/>
    <w:rsid w:val="00A2672C"/>
    <w:rsid w:val="00A26AE5"/>
    <w:rsid w:val="00A3049B"/>
    <w:rsid w:val="00A30832"/>
    <w:rsid w:val="00A30896"/>
    <w:rsid w:val="00A31535"/>
    <w:rsid w:val="00A31593"/>
    <w:rsid w:val="00A31856"/>
    <w:rsid w:val="00A3199A"/>
    <w:rsid w:val="00A319DC"/>
    <w:rsid w:val="00A31A6C"/>
    <w:rsid w:val="00A32290"/>
    <w:rsid w:val="00A32F9C"/>
    <w:rsid w:val="00A338A2"/>
    <w:rsid w:val="00A34056"/>
    <w:rsid w:val="00A349D2"/>
    <w:rsid w:val="00A353D2"/>
    <w:rsid w:val="00A3617A"/>
    <w:rsid w:val="00A364FF"/>
    <w:rsid w:val="00A36D9E"/>
    <w:rsid w:val="00A372C4"/>
    <w:rsid w:val="00A372C5"/>
    <w:rsid w:val="00A378AC"/>
    <w:rsid w:val="00A37CC3"/>
    <w:rsid w:val="00A37EEC"/>
    <w:rsid w:val="00A406F6"/>
    <w:rsid w:val="00A40EAF"/>
    <w:rsid w:val="00A41A15"/>
    <w:rsid w:val="00A41E78"/>
    <w:rsid w:val="00A4206D"/>
    <w:rsid w:val="00A441EF"/>
    <w:rsid w:val="00A44A20"/>
    <w:rsid w:val="00A44B21"/>
    <w:rsid w:val="00A44F53"/>
    <w:rsid w:val="00A44FB6"/>
    <w:rsid w:val="00A454FA"/>
    <w:rsid w:val="00A45B88"/>
    <w:rsid w:val="00A466BF"/>
    <w:rsid w:val="00A46F5A"/>
    <w:rsid w:val="00A47857"/>
    <w:rsid w:val="00A47D1B"/>
    <w:rsid w:val="00A504E9"/>
    <w:rsid w:val="00A50DFC"/>
    <w:rsid w:val="00A5169D"/>
    <w:rsid w:val="00A529E2"/>
    <w:rsid w:val="00A52C97"/>
    <w:rsid w:val="00A5423A"/>
    <w:rsid w:val="00A54883"/>
    <w:rsid w:val="00A54B4D"/>
    <w:rsid w:val="00A54C9A"/>
    <w:rsid w:val="00A55B05"/>
    <w:rsid w:val="00A55C5B"/>
    <w:rsid w:val="00A5615C"/>
    <w:rsid w:val="00A562DE"/>
    <w:rsid w:val="00A5631C"/>
    <w:rsid w:val="00A56662"/>
    <w:rsid w:val="00A57566"/>
    <w:rsid w:val="00A57BD7"/>
    <w:rsid w:val="00A57DCA"/>
    <w:rsid w:val="00A5C685"/>
    <w:rsid w:val="00A6001E"/>
    <w:rsid w:val="00A60C8E"/>
    <w:rsid w:val="00A610EF"/>
    <w:rsid w:val="00A6114E"/>
    <w:rsid w:val="00A62C70"/>
    <w:rsid w:val="00A62D7A"/>
    <w:rsid w:val="00A6389C"/>
    <w:rsid w:val="00A63E7F"/>
    <w:rsid w:val="00A66C23"/>
    <w:rsid w:val="00A67262"/>
    <w:rsid w:val="00A6753F"/>
    <w:rsid w:val="00A67941"/>
    <w:rsid w:val="00A70296"/>
    <w:rsid w:val="00A70651"/>
    <w:rsid w:val="00A71854"/>
    <w:rsid w:val="00A71F73"/>
    <w:rsid w:val="00A721A4"/>
    <w:rsid w:val="00A7233B"/>
    <w:rsid w:val="00A72E2B"/>
    <w:rsid w:val="00A72F0E"/>
    <w:rsid w:val="00A731BB"/>
    <w:rsid w:val="00A733C0"/>
    <w:rsid w:val="00A7394B"/>
    <w:rsid w:val="00A73B2D"/>
    <w:rsid w:val="00A73CB2"/>
    <w:rsid w:val="00A740A6"/>
    <w:rsid w:val="00A7417E"/>
    <w:rsid w:val="00A744C8"/>
    <w:rsid w:val="00A75335"/>
    <w:rsid w:val="00A75C69"/>
    <w:rsid w:val="00A7738C"/>
    <w:rsid w:val="00A77FA6"/>
    <w:rsid w:val="00A80060"/>
    <w:rsid w:val="00A800C9"/>
    <w:rsid w:val="00A81029"/>
    <w:rsid w:val="00A81835"/>
    <w:rsid w:val="00A81DF8"/>
    <w:rsid w:val="00A81EEE"/>
    <w:rsid w:val="00A81FC7"/>
    <w:rsid w:val="00A824EB"/>
    <w:rsid w:val="00A8269A"/>
    <w:rsid w:val="00A8284B"/>
    <w:rsid w:val="00A85A17"/>
    <w:rsid w:val="00A8627B"/>
    <w:rsid w:val="00A865FE"/>
    <w:rsid w:val="00A86E6E"/>
    <w:rsid w:val="00A8703C"/>
    <w:rsid w:val="00A87244"/>
    <w:rsid w:val="00A9034E"/>
    <w:rsid w:val="00A905A6"/>
    <w:rsid w:val="00A90A8D"/>
    <w:rsid w:val="00A90BF4"/>
    <w:rsid w:val="00A90C9F"/>
    <w:rsid w:val="00A910B5"/>
    <w:rsid w:val="00A911D5"/>
    <w:rsid w:val="00A91232"/>
    <w:rsid w:val="00A912C5"/>
    <w:rsid w:val="00A91591"/>
    <w:rsid w:val="00A924DF"/>
    <w:rsid w:val="00A925DC"/>
    <w:rsid w:val="00A92768"/>
    <w:rsid w:val="00A92CB9"/>
    <w:rsid w:val="00A93367"/>
    <w:rsid w:val="00A9406A"/>
    <w:rsid w:val="00A94FE8"/>
    <w:rsid w:val="00A95A9D"/>
    <w:rsid w:val="00A95C38"/>
    <w:rsid w:val="00A97148"/>
    <w:rsid w:val="00A97B8C"/>
    <w:rsid w:val="00A97ED6"/>
    <w:rsid w:val="00AA0C41"/>
    <w:rsid w:val="00AA0E1F"/>
    <w:rsid w:val="00AA16A2"/>
    <w:rsid w:val="00AA19CE"/>
    <w:rsid w:val="00AA20F6"/>
    <w:rsid w:val="00AA2EEB"/>
    <w:rsid w:val="00AA381F"/>
    <w:rsid w:val="00AA3ABA"/>
    <w:rsid w:val="00AA4839"/>
    <w:rsid w:val="00AA4FA1"/>
    <w:rsid w:val="00AA7223"/>
    <w:rsid w:val="00AA7353"/>
    <w:rsid w:val="00AA7672"/>
    <w:rsid w:val="00AA783A"/>
    <w:rsid w:val="00AA7A99"/>
    <w:rsid w:val="00AA7D98"/>
    <w:rsid w:val="00AB01DF"/>
    <w:rsid w:val="00AB17EE"/>
    <w:rsid w:val="00AB1B6A"/>
    <w:rsid w:val="00AB1E68"/>
    <w:rsid w:val="00AB29A4"/>
    <w:rsid w:val="00AB3A00"/>
    <w:rsid w:val="00AB4E54"/>
    <w:rsid w:val="00AB50A6"/>
    <w:rsid w:val="00AB5397"/>
    <w:rsid w:val="00AB661E"/>
    <w:rsid w:val="00AB6B88"/>
    <w:rsid w:val="00AB6D86"/>
    <w:rsid w:val="00AB7537"/>
    <w:rsid w:val="00AC0912"/>
    <w:rsid w:val="00AC22AC"/>
    <w:rsid w:val="00AC2524"/>
    <w:rsid w:val="00AC28FC"/>
    <w:rsid w:val="00AC2C75"/>
    <w:rsid w:val="00AC2E50"/>
    <w:rsid w:val="00AC3EF4"/>
    <w:rsid w:val="00AC4ADD"/>
    <w:rsid w:val="00AC559D"/>
    <w:rsid w:val="00AC55F4"/>
    <w:rsid w:val="00AC6033"/>
    <w:rsid w:val="00AC63D2"/>
    <w:rsid w:val="00AC6980"/>
    <w:rsid w:val="00AC73F8"/>
    <w:rsid w:val="00AC7BBF"/>
    <w:rsid w:val="00AC7FFC"/>
    <w:rsid w:val="00AD184B"/>
    <w:rsid w:val="00AD1AA7"/>
    <w:rsid w:val="00AD2FEC"/>
    <w:rsid w:val="00AD3290"/>
    <w:rsid w:val="00AD3306"/>
    <w:rsid w:val="00AD3A7C"/>
    <w:rsid w:val="00AD3D54"/>
    <w:rsid w:val="00AD3DA0"/>
    <w:rsid w:val="00AD40D0"/>
    <w:rsid w:val="00AD4E25"/>
    <w:rsid w:val="00AD4F08"/>
    <w:rsid w:val="00AD51D1"/>
    <w:rsid w:val="00AD557E"/>
    <w:rsid w:val="00AD5769"/>
    <w:rsid w:val="00AD592E"/>
    <w:rsid w:val="00AD5B99"/>
    <w:rsid w:val="00AD6E0D"/>
    <w:rsid w:val="00AD769A"/>
    <w:rsid w:val="00AD76B1"/>
    <w:rsid w:val="00AE0818"/>
    <w:rsid w:val="00AE13ED"/>
    <w:rsid w:val="00AE17DC"/>
    <w:rsid w:val="00AE1854"/>
    <w:rsid w:val="00AE1BA9"/>
    <w:rsid w:val="00AE25AB"/>
    <w:rsid w:val="00AE3B7C"/>
    <w:rsid w:val="00AE58C6"/>
    <w:rsid w:val="00AE6004"/>
    <w:rsid w:val="00AE731A"/>
    <w:rsid w:val="00AE7567"/>
    <w:rsid w:val="00AE7E4D"/>
    <w:rsid w:val="00AF03A8"/>
    <w:rsid w:val="00AF0A80"/>
    <w:rsid w:val="00AF0FE8"/>
    <w:rsid w:val="00AF1ACF"/>
    <w:rsid w:val="00AF1F40"/>
    <w:rsid w:val="00AF214A"/>
    <w:rsid w:val="00AF23A7"/>
    <w:rsid w:val="00AF23DD"/>
    <w:rsid w:val="00AF3720"/>
    <w:rsid w:val="00AF42F5"/>
    <w:rsid w:val="00AF561D"/>
    <w:rsid w:val="00AF679C"/>
    <w:rsid w:val="00AF72A2"/>
    <w:rsid w:val="00AF7BAB"/>
    <w:rsid w:val="00B001A5"/>
    <w:rsid w:val="00B00237"/>
    <w:rsid w:val="00B009DC"/>
    <w:rsid w:val="00B01B59"/>
    <w:rsid w:val="00B022D5"/>
    <w:rsid w:val="00B02472"/>
    <w:rsid w:val="00B02AE2"/>
    <w:rsid w:val="00B0358E"/>
    <w:rsid w:val="00B03ED4"/>
    <w:rsid w:val="00B04699"/>
    <w:rsid w:val="00B04F21"/>
    <w:rsid w:val="00B04F44"/>
    <w:rsid w:val="00B05514"/>
    <w:rsid w:val="00B0582B"/>
    <w:rsid w:val="00B0625E"/>
    <w:rsid w:val="00B067E4"/>
    <w:rsid w:val="00B06B74"/>
    <w:rsid w:val="00B0770F"/>
    <w:rsid w:val="00B07C5A"/>
    <w:rsid w:val="00B1040C"/>
    <w:rsid w:val="00B119AF"/>
    <w:rsid w:val="00B11C21"/>
    <w:rsid w:val="00B12349"/>
    <w:rsid w:val="00B124C3"/>
    <w:rsid w:val="00B124CC"/>
    <w:rsid w:val="00B129EC"/>
    <w:rsid w:val="00B12FC8"/>
    <w:rsid w:val="00B13FCC"/>
    <w:rsid w:val="00B1436B"/>
    <w:rsid w:val="00B147A9"/>
    <w:rsid w:val="00B14DAD"/>
    <w:rsid w:val="00B14FFF"/>
    <w:rsid w:val="00B155F7"/>
    <w:rsid w:val="00B15743"/>
    <w:rsid w:val="00B158BE"/>
    <w:rsid w:val="00B163EC"/>
    <w:rsid w:val="00B16A0C"/>
    <w:rsid w:val="00B17041"/>
    <w:rsid w:val="00B174CB"/>
    <w:rsid w:val="00B175A1"/>
    <w:rsid w:val="00B176C8"/>
    <w:rsid w:val="00B17F50"/>
    <w:rsid w:val="00B21C97"/>
    <w:rsid w:val="00B21E5F"/>
    <w:rsid w:val="00B2210D"/>
    <w:rsid w:val="00B22157"/>
    <w:rsid w:val="00B23A92"/>
    <w:rsid w:val="00B23BC3"/>
    <w:rsid w:val="00B24DDB"/>
    <w:rsid w:val="00B25194"/>
    <w:rsid w:val="00B256D1"/>
    <w:rsid w:val="00B312B9"/>
    <w:rsid w:val="00B312C2"/>
    <w:rsid w:val="00B3150B"/>
    <w:rsid w:val="00B31AD6"/>
    <w:rsid w:val="00B32190"/>
    <w:rsid w:val="00B327FE"/>
    <w:rsid w:val="00B328AD"/>
    <w:rsid w:val="00B32A08"/>
    <w:rsid w:val="00B337E6"/>
    <w:rsid w:val="00B33BF7"/>
    <w:rsid w:val="00B33C0B"/>
    <w:rsid w:val="00B34595"/>
    <w:rsid w:val="00B34B26"/>
    <w:rsid w:val="00B34BCB"/>
    <w:rsid w:val="00B34D33"/>
    <w:rsid w:val="00B36C06"/>
    <w:rsid w:val="00B36F6B"/>
    <w:rsid w:val="00B37075"/>
    <w:rsid w:val="00B37592"/>
    <w:rsid w:val="00B37EE4"/>
    <w:rsid w:val="00B40861"/>
    <w:rsid w:val="00B412AA"/>
    <w:rsid w:val="00B41886"/>
    <w:rsid w:val="00B42438"/>
    <w:rsid w:val="00B43031"/>
    <w:rsid w:val="00B43AA6"/>
    <w:rsid w:val="00B43DD2"/>
    <w:rsid w:val="00B43F01"/>
    <w:rsid w:val="00B446BB"/>
    <w:rsid w:val="00B47ACB"/>
    <w:rsid w:val="00B50C4C"/>
    <w:rsid w:val="00B516EB"/>
    <w:rsid w:val="00B51A64"/>
    <w:rsid w:val="00B52484"/>
    <w:rsid w:val="00B528A3"/>
    <w:rsid w:val="00B52FB5"/>
    <w:rsid w:val="00B536E0"/>
    <w:rsid w:val="00B540BE"/>
    <w:rsid w:val="00B54699"/>
    <w:rsid w:val="00B548A2"/>
    <w:rsid w:val="00B558E1"/>
    <w:rsid w:val="00B55CD3"/>
    <w:rsid w:val="00B55E2F"/>
    <w:rsid w:val="00B56119"/>
    <w:rsid w:val="00B565B0"/>
    <w:rsid w:val="00B5660B"/>
    <w:rsid w:val="00B568D3"/>
    <w:rsid w:val="00B577B6"/>
    <w:rsid w:val="00B57B41"/>
    <w:rsid w:val="00B6002E"/>
    <w:rsid w:val="00B6002F"/>
    <w:rsid w:val="00B6045F"/>
    <w:rsid w:val="00B60480"/>
    <w:rsid w:val="00B60BBA"/>
    <w:rsid w:val="00B60BEB"/>
    <w:rsid w:val="00B614C1"/>
    <w:rsid w:val="00B6183C"/>
    <w:rsid w:val="00B62493"/>
    <w:rsid w:val="00B62C52"/>
    <w:rsid w:val="00B62E1E"/>
    <w:rsid w:val="00B63E96"/>
    <w:rsid w:val="00B6444A"/>
    <w:rsid w:val="00B64E15"/>
    <w:rsid w:val="00B65CF8"/>
    <w:rsid w:val="00B65FB7"/>
    <w:rsid w:val="00B6622F"/>
    <w:rsid w:val="00B66605"/>
    <w:rsid w:val="00B668EE"/>
    <w:rsid w:val="00B66AE0"/>
    <w:rsid w:val="00B66EE8"/>
    <w:rsid w:val="00B67CA6"/>
    <w:rsid w:val="00B70468"/>
    <w:rsid w:val="00B706CA"/>
    <w:rsid w:val="00B70D29"/>
    <w:rsid w:val="00B725FF"/>
    <w:rsid w:val="00B72767"/>
    <w:rsid w:val="00B72A1C"/>
    <w:rsid w:val="00B72C5F"/>
    <w:rsid w:val="00B74749"/>
    <w:rsid w:val="00B75209"/>
    <w:rsid w:val="00B75D30"/>
    <w:rsid w:val="00B76092"/>
    <w:rsid w:val="00B767C0"/>
    <w:rsid w:val="00B768E2"/>
    <w:rsid w:val="00B76C43"/>
    <w:rsid w:val="00B76D7A"/>
    <w:rsid w:val="00B76DD4"/>
    <w:rsid w:val="00B77AB6"/>
    <w:rsid w:val="00B8001A"/>
    <w:rsid w:val="00B8063D"/>
    <w:rsid w:val="00B80A49"/>
    <w:rsid w:val="00B8210E"/>
    <w:rsid w:val="00B82256"/>
    <w:rsid w:val="00B822C8"/>
    <w:rsid w:val="00B82640"/>
    <w:rsid w:val="00B832BB"/>
    <w:rsid w:val="00B832D1"/>
    <w:rsid w:val="00B83353"/>
    <w:rsid w:val="00B834E3"/>
    <w:rsid w:val="00B837E9"/>
    <w:rsid w:val="00B83B5C"/>
    <w:rsid w:val="00B83F19"/>
    <w:rsid w:val="00B851E9"/>
    <w:rsid w:val="00B863D5"/>
    <w:rsid w:val="00B86835"/>
    <w:rsid w:val="00B87620"/>
    <w:rsid w:val="00B877EB"/>
    <w:rsid w:val="00B903DF"/>
    <w:rsid w:val="00B906C6"/>
    <w:rsid w:val="00B910A8"/>
    <w:rsid w:val="00B91855"/>
    <w:rsid w:val="00B936EE"/>
    <w:rsid w:val="00B9466E"/>
    <w:rsid w:val="00B9591E"/>
    <w:rsid w:val="00B95C2F"/>
    <w:rsid w:val="00B96253"/>
    <w:rsid w:val="00B9672B"/>
    <w:rsid w:val="00B96AEA"/>
    <w:rsid w:val="00B976D4"/>
    <w:rsid w:val="00B97707"/>
    <w:rsid w:val="00BA017E"/>
    <w:rsid w:val="00BA0A81"/>
    <w:rsid w:val="00BA1096"/>
    <w:rsid w:val="00BA11AB"/>
    <w:rsid w:val="00BA1560"/>
    <w:rsid w:val="00BA157D"/>
    <w:rsid w:val="00BA1774"/>
    <w:rsid w:val="00BA21F9"/>
    <w:rsid w:val="00BA3D37"/>
    <w:rsid w:val="00BA4587"/>
    <w:rsid w:val="00BA4CA5"/>
    <w:rsid w:val="00BA4E00"/>
    <w:rsid w:val="00BA53D0"/>
    <w:rsid w:val="00BA60B9"/>
    <w:rsid w:val="00BA60C9"/>
    <w:rsid w:val="00BA624D"/>
    <w:rsid w:val="00BA6813"/>
    <w:rsid w:val="00BA689D"/>
    <w:rsid w:val="00BA6AF6"/>
    <w:rsid w:val="00BA787F"/>
    <w:rsid w:val="00BB16DD"/>
    <w:rsid w:val="00BB174C"/>
    <w:rsid w:val="00BB1962"/>
    <w:rsid w:val="00BB2156"/>
    <w:rsid w:val="00BB22B1"/>
    <w:rsid w:val="00BB3181"/>
    <w:rsid w:val="00BB35E7"/>
    <w:rsid w:val="00BB3ABE"/>
    <w:rsid w:val="00BB3B41"/>
    <w:rsid w:val="00BB3BE2"/>
    <w:rsid w:val="00BB41AC"/>
    <w:rsid w:val="00BB5AA2"/>
    <w:rsid w:val="00BB63F6"/>
    <w:rsid w:val="00BB7CEF"/>
    <w:rsid w:val="00BB7FF7"/>
    <w:rsid w:val="00BC02BF"/>
    <w:rsid w:val="00BC0899"/>
    <w:rsid w:val="00BC08AA"/>
    <w:rsid w:val="00BC0DAA"/>
    <w:rsid w:val="00BC1008"/>
    <w:rsid w:val="00BC1557"/>
    <w:rsid w:val="00BC1A28"/>
    <w:rsid w:val="00BC204C"/>
    <w:rsid w:val="00BC241C"/>
    <w:rsid w:val="00BC298F"/>
    <w:rsid w:val="00BC35AA"/>
    <w:rsid w:val="00BC3BBA"/>
    <w:rsid w:val="00BC475D"/>
    <w:rsid w:val="00BC4DBA"/>
    <w:rsid w:val="00BC4ECD"/>
    <w:rsid w:val="00BC533C"/>
    <w:rsid w:val="00BC55A1"/>
    <w:rsid w:val="00BC5CF3"/>
    <w:rsid w:val="00BC5F61"/>
    <w:rsid w:val="00BC68F2"/>
    <w:rsid w:val="00BC76DF"/>
    <w:rsid w:val="00BC7A63"/>
    <w:rsid w:val="00BC7A65"/>
    <w:rsid w:val="00BC7BC1"/>
    <w:rsid w:val="00BC7D5E"/>
    <w:rsid w:val="00BD0DDD"/>
    <w:rsid w:val="00BD10E9"/>
    <w:rsid w:val="00BD1570"/>
    <w:rsid w:val="00BD1737"/>
    <w:rsid w:val="00BD1881"/>
    <w:rsid w:val="00BD1B60"/>
    <w:rsid w:val="00BD2210"/>
    <w:rsid w:val="00BD2526"/>
    <w:rsid w:val="00BD2745"/>
    <w:rsid w:val="00BD29BB"/>
    <w:rsid w:val="00BD5966"/>
    <w:rsid w:val="00BD7290"/>
    <w:rsid w:val="00BE1C38"/>
    <w:rsid w:val="00BE2C99"/>
    <w:rsid w:val="00BE2DC7"/>
    <w:rsid w:val="00BE3051"/>
    <w:rsid w:val="00BE3AA5"/>
    <w:rsid w:val="00BE52DE"/>
    <w:rsid w:val="00BE57F5"/>
    <w:rsid w:val="00BE5CB4"/>
    <w:rsid w:val="00BE63CC"/>
    <w:rsid w:val="00BE6B76"/>
    <w:rsid w:val="00BE6D6D"/>
    <w:rsid w:val="00BE70B3"/>
    <w:rsid w:val="00BE74BE"/>
    <w:rsid w:val="00BE7C13"/>
    <w:rsid w:val="00BF011D"/>
    <w:rsid w:val="00BF3263"/>
    <w:rsid w:val="00BF5012"/>
    <w:rsid w:val="00BF5143"/>
    <w:rsid w:val="00BF55E6"/>
    <w:rsid w:val="00BF58C0"/>
    <w:rsid w:val="00BF5C8C"/>
    <w:rsid w:val="00BF6B81"/>
    <w:rsid w:val="00BF6E25"/>
    <w:rsid w:val="00BF6E6E"/>
    <w:rsid w:val="00BF7311"/>
    <w:rsid w:val="00BF77F6"/>
    <w:rsid w:val="00BF7865"/>
    <w:rsid w:val="00BF7E12"/>
    <w:rsid w:val="00BF7FA4"/>
    <w:rsid w:val="00C00681"/>
    <w:rsid w:val="00C006FB"/>
    <w:rsid w:val="00C00798"/>
    <w:rsid w:val="00C00973"/>
    <w:rsid w:val="00C01131"/>
    <w:rsid w:val="00C01766"/>
    <w:rsid w:val="00C01ACC"/>
    <w:rsid w:val="00C01D8A"/>
    <w:rsid w:val="00C0223C"/>
    <w:rsid w:val="00C034EA"/>
    <w:rsid w:val="00C03EB7"/>
    <w:rsid w:val="00C0416E"/>
    <w:rsid w:val="00C070DC"/>
    <w:rsid w:val="00C07289"/>
    <w:rsid w:val="00C076BF"/>
    <w:rsid w:val="00C108B0"/>
    <w:rsid w:val="00C10933"/>
    <w:rsid w:val="00C11209"/>
    <w:rsid w:val="00C113FA"/>
    <w:rsid w:val="00C118C0"/>
    <w:rsid w:val="00C119A9"/>
    <w:rsid w:val="00C11E1D"/>
    <w:rsid w:val="00C11F9B"/>
    <w:rsid w:val="00C12558"/>
    <w:rsid w:val="00C127D9"/>
    <w:rsid w:val="00C13058"/>
    <w:rsid w:val="00C13CE0"/>
    <w:rsid w:val="00C13E28"/>
    <w:rsid w:val="00C14A9D"/>
    <w:rsid w:val="00C14EDE"/>
    <w:rsid w:val="00C150CF"/>
    <w:rsid w:val="00C1517D"/>
    <w:rsid w:val="00C156CA"/>
    <w:rsid w:val="00C15F20"/>
    <w:rsid w:val="00C165C1"/>
    <w:rsid w:val="00C1665D"/>
    <w:rsid w:val="00C16AF8"/>
    <w:rsid w:val="00C17526"/>
    <w:rsid w:val="00C175DA"/>
    <w:rsid w:val="00C2082D"/>
    <w:rsid w:val="00C20A2F"/>
    <w:rsid w:val="00C20B9E"/>
    <w:rsid w:val="00C20E31"/>
    <w:rsid w:val="00C20E33"/>
    <w:rsid w:val="00C2125E"/>
    <w:rsid w:val="00C21A44"/>
    <w:rsid w:val="00C21B43"/>
    <w:rsid w:val="00C21DE8"/>
    <w:rsid w:val="00C21F0E"/>
    <w:rsid w:val="00C2256A"/>
    <w:rsid w:val="00C22734"/>
    <w:rsid w:val="00C23B83"/>
    <w:rsid w:val="00C24122"/>
    <w:rsid w:val="00C25DE5"/>
    <w:rsid w:val="00C26165"/>
    <w:rsid w:val="00C269EF"/>
    <w:rsid w:val="00C276BB"/>
    <w:rsid w:val="00C30516"/>
    <w:rsid w:val="00C30E7E"/>
    <w:rsid w:val="00C31108"/>
    <w:rsid w:val="00C31C16"/>
    <w:rsid w:val="00C32288"/>
    <w:rsid w:val="00C32396"/>
    <w:rsid w:val="00C3266B"/>
    <w:rsid w:val="00C33853"/>
    <w:rsid w:val="00C34F19"/>
    <w:rsid w:val="00C352B4"/>
    <w:rsid w:val="00C35C30"/>
    <w:rsid w:val="00C35F17"/>
    <w:rsid w:val="00C370D9"/>
    <w:rsid w:val="00C37E44"/>
    <w:rsid w:val="00C37F46"/>
    <w:rsid w:val="00C4041A"/>
    <w:rsid w:val="00C40485"/>
    <w:rsid w:val="00C40579"/>
    <w:rsid w:val="00C4099C"/>
    <w:rsid w:val="00C411B4"/>
    <w:rsid w:val="00C417F2"/>
    <w:rsid w:val="00C421DC"/>
    <w:rsid w:val="00C429E7"/>
    <w:rsid w:val="00C432DC"/>
    <w:rsid w:val="00C43468"/>
    <w:rsid w:val="00C437C8"/>
    <w:rsid w:val="00C4460E"/>
    <w:rsid w:val="00C45D94"/>
    <w:rsid w:val="00C45DCC"/>
    <w:rsid w:val="00C4796E"/>
    <w:rsid w:val="00C501F8"/>
    <w:rsid w:val="00C507CC"/>
    <w:rsid w:val="00C50C7C"/>
    <w:rsid w:val="00C50DCB"/>
    <w:rsid w:val="00C52B6F"/>
    <w:rsid w:val="00C5393D"/>
    <w:rsid w:val="00C53B99"/>
    <w:rsid w:val="00C53E39"/>
    <w:rsid w:val="00C545E8"/>
    <w:rsid w:val="00C5478D"/>
    <w:rsid w:val="00C55530"/>
    <w:rsid w:val="00C55B11"/>
    <w:rsid w:val="00C56717"/>
    <w:rsid w:val="00C56D09"/>
    <w:rsid w:val="00C56EEF"/>
    <w:rsid w:val="00C604C6"/>
    <w:rsid w:val="00C6062E"/>
    <w:rsid w:val="00C60A85"/>
    <w:rsid w:val="00C61C57"/>
    <w:rsid w:val="00C62425"/>
    <w:rsid w:val="00C62AF1"/>
    <w:rsid w:val="00C62CB8"/>
    <w:rsid w:val="00C630FD"/>
    <w:rsid w:val="00C63590"/>
    <w:rsid w:val="00C639F9"/>
    <w:rsid w:val="00C646CA"/>
    <w:rsid w:val="00C64FD2"/>
    <w:rsid w:val="00C65150"/>
    <w:rsid w:val="00C65528"/>
    <w:rsid w:val="00C65B6F"/>
    <w:rsid w:val="00C665A7"/>
    <w:rsid w:val="00C66AAC"/>
    <w:rsid w:val="00C66F11"/>
    <w:rsid w:val="00C674F7"/>
    <w:rsid w:val="00C706D1"/>
    <w:rsid w:val="00C70C8A"/>
    <w:rsid w:val="00C71450"/>
    <w:rsid w:val="00C71F12"/>
    <w:rsid w:val="00C7252F"/>
    <w:rsid w:val="00C72CDC"/>
    <w:rsid w:val="00C72D9C"/>
    <w:rsid w:val="00C731A2"/>
    <w:rsid w:val="00C739BE"/>
    <w:rsid w:val="00C741F9"/>
    <w:rsid w:val="00C74447"/>
    <w:rsid w:val="00C7498A"/>
    <w:rsid w:val="00C74E75"/>
    <w:rsid w:val="00C76706"/>
    <w:rsid w:val="00C76CDB"/>
    <w:rsid w:val="00C7758D"/>
    <w:rsid w:val="00C775FB"/>
    <w:rsid w:val="00C77A24"/>
    <w:rsid w:val="00C80082"/>
    <w:rsid w:val="00C80720"/>
    <w:rsid w:val="00C817F3"/>
    <w:rsid w:val="00C81939"/>
    <w:rsid w:val="00C82769"/>
    <w:rsid w:val="00C82AF8"/>
    <w:rsid w:val="00C83A9B"/>
    <w:rsid w:val="00C83B43"/>
    <w:rsid w:val="00C841D4"/>
    <w:rsid w:val="00C84CAF"/>
    <w:rsid w:val="00C84D31"/>
    <w:rsid w:val="00C852B4"/>
    <w:rsid w:val="00C85A7D"/>
    <w:rsid w:val="00C85B3F"/>
    <w:rsid w:val="00C860A9"/>
    <w:rsid w:val="00C86D84"/>
    <w:rsid w:val="00C86DD2"/>
    <w:rsid w:val="00C87554"/>
    <w:rsid w:val="00C87C73"/>
    <w:rsid w:val="00C908A4"/>
    <w:rsid w:val="00C90C90"/>
    <w:rsid w:val="00C90FAA"/>
    <w:rsid w:val="00C91795"/>
    <w:rsid w:val="00C93193"/>
    <w:rsid w:val="00C937BD"/>
    <w:rsid w:val="00C9458E"/>
    <w:rsid w:val="00C94DD8"/>
    <w:rsid w:val="00C956A0"/>
    <w:rsid w:val="00C96386"/>
    <w:rsid w:val="00C97206"/>
    <w:rsid w:val="00C976C3"/>
    <w:rsid w:val="00CA04CF"/>
    <w:rsid w:val="00CA0936"/>
    <w:rsid w:val="00CA0D1C"/>
    <w:rsid w:val="00CA101E"/>
    <w:rsid w:val="00CA1D64"/>
    <w:rsid w:val="00CA3503"/>
    <w:rsid w:val="00CA3595"/>
    <w:rsid w:val="00CA38A8"/>
    <w:rsid w:val="00CA4395"/>
    <w:rsid w:val="00CA48C4"/>
    <w:rsid w:val="00CA4D2E"/>
    <w:rsid w:val="00CA5B9D"/>
    <w:rsid w:val="00CA5CD5"/>
    <w:rsid w:val="00CA605A"/>
    <w:rsid w:val="00CA657D"/>
    <w:rsid w:val="00CA7F67"/>
    <w:rsid w:val="00CB0261"/>
    <w:rsid w:val="00CB0F56"/>
    <w:rsid w:val="00CB1E25"/>
    <w:rsid w:val="00CB2522"/>
    <w:rsid w:val="00CB2E7A"/>
    <w:rsid w:val="00CB3864"/>
    <w:rsid w:val="00CB3B63"/>
    <w:rsid w:val="00CB4CD5"/>
    <w:rsid w:val="00CB4E74"/>
    <w:rsid w:val="00CB57BC"/>
    <w:rsid w:val="00CB6E7E"/>
    <w:rsid w:val="00CB76E3"/>
    <w:rsid w:val="00CC01FB"/>
    <w:rsid w:val="00CC1C07"/>
    <w:rsid w:val="00CC242E"/>
    <w:rsid w:val="00CC31E2"/>
    <w:rsid w:val="00CC3490"/>
    <w:rsid w:val="00CC34FA"/>
    <w:rsid w:val="00CC3710"/>
    <w:rsid w:val="00CC3E33"/>
    <w:rsid w:val="00CC3E9B"/>
    <w:rsid w:val="00CC454B"/>
    <w:rsid w:val="00CC4B20"/>
    <w:rsid w:val="00CC5C3F"/>
    <w:rsid w:val="00CC5EC2"/>
    <w:rsid w:val="00CC76C1"/>
    <w:rsid w:val="00CC78AE"/>
    <w:rsid w:val="00CC7F18"/>
    <w:rsid w:val="00CD0DC0"/>
    <w:rsid w:val="00CD1E25"/>
    <w:rsid w:val="00CD2F09"/>
    <w:rsid w:val="00CD3953"/>
    <w:rsid w:val="00CD4419"/>
    <w:rsid w:val="00CD45F8"/>
    <w:rsid w:val="00CD4AE9"/>
    <w:rsid w:val="00CD523C"/>
    <w:rsid w:val="00CD7065"/>
    <w:rsid w:val="00CD7B11"/>
    <w:rsid w:val="00CE01C2"/>
    <w:rsid w:val="00CE0F9F"/>
    <w:rsid w:val="00CE1EE5"/>
    <w:rsid w:val="00CE2178"/>
    <w:rsid w:val="00CE36E2"/>
    <w:rsid w:val="00CE3799"/>
    <w:rsid w:val="00CE41C6"/>
    <w:rsid w:val="00CE4478"/>
    <w:rsid w:val="00CE4F73"/>
    <w:rsid w:val="00CE53EA"/>
    <w:rsid w:val="00CE5F8C"/>
    <w:rsid w:val="00CE5F9C"/>
    <w:rsid w:val="00CE600A"/>
    <w:rsid w:val="00CE68D2"/>
    <w:rsid w:val="00CE6A11"/>
    <w:rsid w:val="00CE708A"/>
    <w:rsid w:val="00CF009F"/>
    <w:rsid w:val="00CF1EDF"/>
    <w:rsid w:val="00CF2282"/>
    <w:rsid w:val="00CF2F53"/>
    <w:rsid w:val="00CF3A31"/>
    <w:rsid w:val="00CF5172"/>
    <w:rsid w:val="00CF543B"/>
    <w:rsid w:val="00CF585D"/>
    <w:rsid w:val="00CF5985"/>
    <w:rsid w:val="00CF6CCC"/>
    <w:rsid w:val="00CF6D86"/>
    <w:rsid w:val="00CF7275"/>
    <w:rsid w:val="00CF7C6C"/>
    <w:rsid w:val="00CF7F38"/>
    <w:rsid w:val="00D01689"/>
    <w:rsid w:val="00D01C79"/>
    <w:rsid w:val="00D01DCA"/>
    <w:rsid w:val="00D02D68"/>
    <w:rsid w:val="00D02EAD"/>
    <w:rsid w:val="00D031C4"/>
    <w:rsid w:val="00D04383"/>
    <w:rsid w:val="00D04971"/>
    <w:rsid w:val="00D04BEA"/>
    <w:rsid w:val="00D04BF7"/>
    <w:rsid w:val="00D04D88"/>
    <w:rsid w:val="00D04E88"/>
    <w:rsid w:val="00D05360"/>
    <w:rsid w:val="00D0591B"/>
    <w:rsid w:val="00D05E12"/>
    <w:rsid w:val="00D0627B"/>
    <w:rsid w:val="00D0635F"/>
    <w:rsid w:val="00D07959"/>
    <w:rsid w:val="00D07D13"/>
    <w:rsid w:val="00D10BA7"/>
    <w:rsid w:val="00D11831"/>
    <w:rsid w:val="00D11E69"/>
    <w:rsid w:val="00D126B2"/>
    <w:rsid w:val="00D12AEA"/>
    <w:rsid w:val="00D131D1"/>
    <w:rsid w:val="00D13991"/>
    <w:rsid w:val="00D13DD1"/>
    <w:rsid w:val="00D14684"/>
    <w:rsid w:val="00D147F6"/>
    <w:rsid w:val="00D14D67"/>
    <w:rsid w:val="00D15369"/>
    <w:rsid w:val="00D157AD"/>
    <w:rsid w:val="00D16293"/>
    <w:rsid w:val="00D1645D"/>
    <w:rsid w:val="00D173D3"/>
    <w:rsid w:val="00D17562"/>
    <w:rsid w:val="00D2056D"/>
    <w:rsid w:val="00D20ED2"/>
    <w:rsid w:val="00D2245E"/>
    <w:rsid w:val="00D225BF"/>
    <w:rsid w:val="00D22FF2"/>
    <w:rsid w:val="00D23132"/>
    <w:rsid w:val="00D23A40"/>
    <w:rsid w:val="00D250E4"/>
    <w:rsid w:val="00D254DB"/>
    <w:rsid w:val="00D259DB"/>
    <w:rsid w:val="00D25BA0"/>
    <w:rsid w:val="00D2612D"/>
    <w:rsid w:val="00D2614D"/>
    <w:rsid w:val="00D272A9"/>
    <w:rsid w:val="00D272B0"/>
    <w:rsid w:val="00D27C68"/>
    <w:rsid w:val="00D3112F"/>
    <w:rsid w:val="00D31649"/>
    <w:rsid w:val="00D323A7"/>
    <w:rsid w:val="00D32CBC"/>
    <w:rsid w:val="00D3376F"/>
    <w:rsid w:val="00D348F1"/>
    <w:rsid w:val="00D34E90"/>
    <w:rsid w:val="00D35A2C"/>
    <w:rsid w:val="00D36798"/>
    <w:rsid w:val="00D36C06"/>
    <w:rsid w:val="00D3705C"/>
    <w:rsid w:val="00D37839"/>
    <w:rsid w:val="00D37EED"/>
    <w:rsid w:val="00D37FB8"/>
    <w:rsid w:val="00D41724"/>
    <w:rsid w:val="00D41C4F"/>
    <w:rsid w:val="00D41DE6"/>
    <w:rsid w:val="00D41F11"/>
    <w:rsid w:val="00D4292A"/>
    <w:rsid w:val="00D4350C"/>
    <w:rsid w:val="00D437E9"/>
    <w:rsid w:val="00D43BEC"/>
    <w:rsid w:val="00D4459A"/>
    <w:rsid w:val="00D44A0C"/>
    <w:rsid w:val="00D44A12"/>
    <w:rsid w:val="00D44AB9"/>
    <w:rsid w:val="00D44D29"/>
    <w:rsid w:val="00D44F1B"/>
    <w:rsid w:val="00D45226"/>
    <w:rsid w:val="00D45D3E"/>
    <w:rsid w:val="00D46401"/>
    <w:rsid w:val="00D46FB6"/>
    <w:rsid w:val="00D474F4"/>
    <w:rsid w:val="00D479D1"/>
    <w:rsid w:val="00D502B8"/>
    <w:rsid w:val="00D51163"/>
    <w:rsid w:val="00D51DC5"/>
    <w:rsid w:val="00D52315"/>
    <w:rsid w:val="00D526C5"/>
    <w:rsid w:val="00D533E4"/>
    <w:rsid w:val="00D53FDA"/>
    <w:rsid w:val="00D54C9D"/>
    <w:rsid w:val="00D5673E"/>
    <w:rsid w:val="00D569C4"/>
    <w:rsid w:val="00D56B36"/>
    <w:rsid w:val="00D56D5F"/>
    <w:rsid w:val="00D56DE8"/>
    <w:rsid w:val="00D6015B"/>
    <w:rsid w:val="00D61ED9"/>
    <w:rsid w:val="00D62622"/>
    <w:rsid w:val="00D6281E"/>
    <w:rsid w:val="00D62B25"/>
    <w:rsid w:val="00D63997"/>
    <w:rsid w:val="00D63D2A"/>
    <w:rsid w:val="00D63EBD"/>
    <w:rsid w:val="00D64AD6"/>
    <w:rsid w:val="00D66650"/>
    <w:rsid w:val="00D66785"/>
    <w:rsid w:val="00D669E9"/>
    <w:rsid w:val="00D7000E"/>
    <w:rsid w:val="00D70EF9"/>
    <w:rsid w:val="00D71148"/>
    <w:rsid w:val="00D71251"/>
    <w:rsid w:val="00D71447"/>
    <w:rsid w:val="00D71DA5"/>
    <w:rsid w:val="00D728AD"/>
    <w:rsid w:val="00D73BF1"/>
    <w:rsid w:val="00D73CEE"/>
    <w:rsid w:val="00D754D2"/>
    <w:rsid w:val="00D75727"/>
    <w:rsid w:val="00D75C61"/>
    <w:rsid w:val="00D76936"/>
    <w:rsid w:val="00D76B0A"/>
    <w:rsid w:val="00D76D35"/>
    <w:rsid w:val="00D76DF7"/>
    <w:rsid w:val="00D77AF5"/>
    <w:rsid w:val="00D77DE9"/>
    <w:rsid w:val="00D8062C"/>
    <w:rsid w:val="00D814F3"/>
    <w:rsid w:val="00D81B94"/>
    <w:rsid w:val="00D82362"/>
    <w:rsid w:val="00D82779"/>
    <w:rsid w:val="00D828ED"/>
    <w:rsid w:val="00D83360"/>
    <w:rsid w:val="00D834E6"/>
    <w:rsid w:val="00D846E9"/>
    <w:rsid w:val="00D85576"/>
    <w:rsid w:val="00D8568E"/>
    <w:rsid w:val="00D90110"/>
    <w:rsid w:val="00D917B2"/>
    <w:rsid w:val="00D91B71"/>
    <w:rsid w:val="00D91B97"/>
    <w:rsid w:val="00D91E50"/>
    <w:rsid w:val="00D92389"/>
    <w:rsid w:val="00D924C9"/>
    <w:rsid w:val="00D9338F"/>
    <w:rsid w:val="00D93942"/>
    <w:rsid w:val="00D93B46"/>
    <w:rsid w:val="00D943E7"/>
    <w:rsid w:val="00D946AC"/>
    <w:rsid w:val="00D94A49"/>
    <w:rsid w:val="00D94A5B"/>
    <w:rsid w:val="00D94B1F"/>
    <w:rsid w:val="00D950FD"/>
    <w:rsid w:val="00D96333"/>
    <w:rsid w:val="00D96A0F"/>
    <w:rsid w:val="00D9713B"/>
    <w:rsid w:val="00D977EE"/>
    <w:rsid w:val="00D97C7C"/>
    <w:rsid w:val="00DA0769"/>
    <w:rsid w:val="00DA076C"/>
    <w:rsid w:val="00DA12A9"/>
    <w:rsid w:val="00DA2260"/>
    <w:rsid w:val="00DA248E"/>
    <w:rsid w:val="00DA289D"/>
    <w:rsid w:val="00DA2B38"/>
    <w:rsid w:val="00DA3140"/>
    <w:rsid w:val="00DA34B3"/>
    <w:rsid w:val="00DA3618"/>
    <w:rsid w:val="00DA3840"/>
    <w:rsid w:val="00DA41B8"/>
    <w:rsid w:val="00DA5970"/>
    <w:rsid w:val="00DA7E90"/>
    <w:rsid w:val="00DB16D2"/>
    <w:rsid w:val="00DB1C15"/>
    <w:rsid w:val="00DB249E"/>
    <w:rsid w:val="00DB2BDA"/>
    <w:rsid w:val="00DB3D0F"/>
    <w:rsid w:val="00DB419D"/>
    <w:rsid w:val="00DB43EE"/>
    <w:rsid w:val="00DB48B3"/>
    <w:rsid w:val="00DB4ADD"/>
    <w:rsid w:val="00DB4E4C"/>
    <w:rsid w:val="00DB500F"/>
    <w:rsid w:val="00DB50E0"/>
    <w:rsid w:val="00DB59ED"/>
    <w:rsid w:val="00DB7BB1"/>
    <w:rsid w:val="00DC0119"/>
    <w:rsid w:val="00DC01BD"/>
    <w:rsid w:val="00DC0427"/>
    <w:rsid w:val="00DC06CF"/>
    <w:rsid w:val="00DC075D"/>
    <w:rsid w:val="00DC0A77"/>
    <w:rsid w:val="00DC1D68"/>
    <w:rsid w:val="00DC2318"/>
    <w:rsid w:val="00DC2E5B"/>
    <w:rsid w:val="00DC3329"/>
    <w:rsid w:val="00DC37E6"/>
    <w:rsid w:val="00DC3A2D"/>
    <w:rsid w:val="00DC3C59"/>
    <w:rsid w:val="00DC58A3"/>
    <w:rsid w:val="00DC6300"/>
    <w:rsid w:val="00DC6ABD"/>
    <w:rsid w:val="00DC7B65"/>
    <w:rsid w:val="00DC7C10"/>
    <w:rsid w:val="00DD07E1"/>
    <w:rsid w:val="00DD08C5"/>
    <w:rsid w:val="00DD0F58"/>
    <w:rsid w:val="00DD1456"/>
    <w:rsid w:val="00DD1B75"/>
    <w:rsid w:val="00DD23CD"/>
    <w:rsid w:val="00DD2606"/>
    <w:rsid w:val="00DD2D2F"/>
    <w:rsid w:val="00DD3707"/>
    <w:rsid w:val="00DD3841"/>
    <w:rsid w:val="00DD3C58"/>
    <w:rsid w:val="00DD4545"/>
    <w:rsid w:val="00DD4582"/>
    <w:rsid w:val="00DD4712"/>
    <w:rsid w:val="00DD4BED"/>
    <w:rsid w:val="00DD54A5"/>
    <w:rsid w:val="00DD550E"/>
    <w:rsid w:val="00DD56C4"/>
    <w:rsid w:val="00DD6783"/>
    <w:rsid w:val="00DD6F71"/>
    <w:rsid w:val="00DD761F"/>
    <w:rsid w:val="00DE08C5"/>
    <w:rsid w:val="00DE0917"/>
    <w:rsid w:val="00DE1F68"/>
    <w:rsid w:val="00DE2AC2"/>
    <w:rsid w:val="00DE2C5E"/>
    <w:rsid w:val="00DE335B"/>
    <w:rsid w:val="00DE577B"/>
    <w:rsid w:val="00DE6780"/>
    <w:rsid w:val="00DE6E69"/>
    <w:rsid w:val="00DE71E6"/>
    <w:rsid w:val="00DE755E"/>
    <w:rsid w:val="00DE7703"/>
    <w:rsid w:val="00DF01C9"/>
    <w:rsid w:val="00DF0A12"/>
    <w:rsid w:val="00DF0B90"/>
    <w:rsid w:val="00DF0E77"/>
    <w:rsid w:val="00DF1D51"/>
    <w:rsid w:val="00DF243F"/>
    <w:rsid w:val="00DF2521"/>
    <w:rsid w:val="00DF363E"/>
    <w:rsid w:val="00DF53D4"/>
    <w:rsid w:val="00DF5F87"/>
    <w:rsid w:val="00E0049E"/>
    <w:rsid w:val="00E00F15"/>
    <w:rsid w:val="00E00F55"/>
    <w:rsid w:val="00E0173E"/>
    <w:rsid w:val="00E01751"/>
    <w:rsid w:val="00E01C6C"/>
    <w:rsid w:val="00E02FF5"/>
    <w:rsid w:val="00E03E85"/>
    <w:rsid w:val="00E03F07"/>
    <w:rsid w:val="00E047CF"/>
    <w:rsid w:val="00E04DE3"/>
    <w:rsid w:val="00E04E6B"/>
    <w:rsid w:val="00E052ED"/>
    <w:rsid w:val="00E06344"/>
    <w:rsid w:val="00E067A7"/>
    <w:rsid w:val="00E06F3E"/>
    <w:rsid w:val="00E07056"/>
    <w:rsid w:val="00E07859"/>
    <w:rsid w:val="00E07A63"/>
    <w:rsid w:val="00E07D06"/>
    <w:rsid w:val="00E10253"/>
    <w:rsid w:val="00E109B1"/>
    <w:rsid w:val="00E11FC8"/>
    <w:rsid w:val="00E127A3"/>
    <w:rsid w:val="00E14027"/>
    <w:rsid w:val="00E153F9"/>
    <w:rsid w:val="00E15A43"/>
    <w:rsid w:val="00E162F3"/>
    <w:rsid w:val="00E1661F"/>
    <w:rsid w:val="00E169E5"/>
    <w:rsid w:val="00E16CAA"/>
    <w:rsid w:val="00E17347"/>
    <w:rsid w:val="00E17E6A"/>
    <w:rsid w:val="00E20949"/>
    <w:rsid w:val="00E20E0B"/>
    <w:rsid w:val="00E20FE5"/>
    <w:rsid w:val="00E22049"/>
    <w:rsid w:val="00E23BDB"/>
    <w:rsid w:val="00E24306"/>
    <w:rsid w:val="00E253EE"/>
    <w:rsid w:val="00E25A9C"/>
    <w:rsid w:val="00E25D6D"/>
    <w:rsid w:val="00E25D70"/>
    <w:rsid w:val="00E262B8"/>
    <w:rsid w:val="00E2631C"/>
    <w:rsid w:val="00E26527"/>
    <w:rsid w:val="00E27118"/>
    <w:rsid w:val="00E275D5"/>
    <w:rsid w:val="00E279B6"/>
    <w:rsid w:val="00E30FF8"/>
    <w:rsid w:val="00E313AF"/>
    <w:rsid w:val="00E31AEC"/>
    <w:rsid w:val="00E322E7"/>
    <w:rsid w:val="00E32B7E"/>
    <w:rsid w:val="00E33508"/>
    <w:rsid w:val="00E33F72"/>
    <w:rsid w:val="00E33F83"/>
    <w:rsid w:val="00E342AB"/>
    <w:rsid w:val="00E34747"/>
    <w:rsid w:val="00E348AB"/>
    <w:rsid w:val="00E34C0E"/>
    <w:rsid w:val="00E351FB"/>
    <w:rsid w:val="00E35329"/>
    <w:rsid w:val="00E35338"/>
    <w:rsid w:val="00E35EFE"/>
    <w:rsid w:val="00E367ED"/>
    <w:rsid w:val="00E37E67"/>
    <w:rsid w:val="00E402C2"/>
    <w:rsid w:val="00E403C5"/>
    <w:rsid w:val="00E403D1"/>
    <w:rsid w:val="00E41331"/>
    <w:rsid w:val="00E41947"/>
    <w:rsid w:val="00E41A5D"/>
    <w:rsid w:val="00E41C90"/>
    <w:rsid w:val="00E42024"/>
    <w:rsid w:val="00E42404"/>
    <w:rsid w:val="00E42698"/>
    <w:rsid w:val="00E42B41"/>
    <w:rsid w:val="00E42ED8"/>
    <w:rsid w:val="00E4391A"/>
    <w:rsid w:val="00E44124"/>
    <w:rsid w:val="00E44CFD"/>
    <w:rsid w:val="00E4562D"/>
    <w:rsid w:val="00E45A82"/>
    <w:rsid w:val="00E45D39"/>
    <w:rsid w:val="00E46291"/>
    <w:rsid w:val="00E471D7"/>
    <w:rsid w:val="00E47D27"/>
    <w:rsid w:val="00E506A4"/>
    <w:rsid w:val="00E5090D"/>
    <w:rsid w:val="00E51F03"/>
    <w:rsid w:val="00E52220"/>
    <w:rsid w:val="00E53F2C"/>
    <w:rsid w:val="00E54C8B"/>
    <w:rsid w:val="00E55575"/>
    <w:rsid w:val="00E5757B"/>
    <w:rsid w:val="00E6023F"/>
    <w:rsid w:val="00E61E6C"/>
    <w:rsid w:val="00E62813"/>
    <w:rsid w:val="00E63059"/>
    <w:rsid w:val="00E63A66"/>
    <w:rsid w:val="00E63E62"/>
    <w:rsid w:val="00E646C9"/>
    <w:rsid w:val="00E65017"/>
    <w:rsid w:val="00E654B4"/>
    <w:rsid w:val="00E6585D"/>
    <w:rsid w:val="00E6599D"/>
    <w:rsid w:val="00E666F7"/>
    <w:rsid w:val="00E67664"/>
    <w:rsid w:val="00E67CE9"/>
    <w:rsid w:val="00E70AF6"/>
    <w:rsid w:val="00E71012"/>
    <w:rsid w:val="00E7117D"/>
    <w:rsid w:val="00E714BC"/>
    <w:rsid w:val="00E7183E"/>
    <w:rsid w:val="00E71AE5"/>
    <w:rsid w:val="00E73CC2"/>
    <w:rsid w:val="00E73D85"/>
    <w:rsid w:val="00E73F49"/>
    <w:rsid w:val="00E7424C"/>
    <w:rsid w:val="00E7446C"/>
    <w:rsid w:val="00E74491"/>
    <w:rsid w:val="00E74DAA"/>
    <w:rsid w:val="00E75526"/>
    <w:rsid w:val="00E75647"/>
    <w:rsid w:val="00E758D5"/>
    <w:rsid w:val="00E76478"/>
    <w:rsid w:val="00E76554"/>
    <w:rsid w:val="00E76F3A"/>
    <w:rsid w:val="00E77393"/>
    <w:rsid w:val="00E80E4F"/>
    <w:rsid w:val="00E8100E"/>
    <w:rsid w:val="00E819EB"/>
    <w:rsid w:val="00E81BFD"/>
    <w:rsid w:val="00E83E2D"/>
    <w:rsid w:val="00E83E3B"/>
    <w:rsid w:val="00E847CB"/>
    <w:rsid w:val="00E85351"/>
    <w:rsid w:val="00E857FA"/>
    <w:rsid w:val="00E86481"/>
    <w:rsid w:val="00E864D6"/>
    <w:rsid w:val="00E865FE"/>
    <w:rsid w:val="00E872CA"/>
    <w:rsid w:val="00E87C90"/>
    <w:rsid w:val="00E87F74"/>
    <w:rsid w:val="00E90E8A"/>
    <w:rsid w:val="00E933A1"/>
    <w:rsid w:val="00E9378A"/>
    <w:rsid w:val="00E93A02"/>
    <w:rsid w:val="00E93F03"/>
    <w:rsid w:val="00E94C38"/>
    <w:rsid w:val="00E959B9"/>
    <w:rsid w:val="00E965D6"/>
    <w:rsid w:val="00EA01FC"/>
    <w:rsid w:val="00EA1D74"/>
    <w:rsid w:val="00EA1F8B"/>
    <w:rsid w:val="00EA23D9"/>
    <w:rsid w:val="00EA2673"/>
    <w:rsid w:val="00EA308E"/>
    <w:rsid w:val="00EA30D5"/>
    <w:rsid w:val="00EA32CC"/>
    <w:rsid w:val="00EA330B"/>
    <w:rsid w:val="00EA34B5"/>
    <w:rsid w:val="00EA34D8"/>
    <w:rsid w:val="00EA3A5F"/>
    <w:rsid w:val="00EA3E18"/>
    <w:rsid w:val="00EA40EF"/>
    <w:rsid w:val="00EA520F"/>
    <w:rsid w:val="00EA54BB"/>
    <w:rsid w:val="00EA5627"/>
    <w:rsid w:val="00EA5A25"/>
    <w:rsid w:val="00EA5D13"/>
    <w:rsid w:val="00EA61A1"/>
    <w:rsid w:val="00EA67DD"/>
    <w:rsid w:val="00EA6945"/>
    <w:rsid w:val="00EA6AB0"/>
    <w:rsid w:val="00EA6EEC"/>
    <w:rsid w:val="00EA7304"/>
    <w:rsid w:val="00EA737D"/>
    <w:rsid w:val="00EA7B44"/>
    <w:rsid w:val="00EB06A5"/>
    <w:rsid w:val="00EB09AD"/>
    <w:rsid w:val="00EB0B20"/>
    <w:rsid w:val="00EB0CF5"/>
    <w:rsid w:val="00EB30D1"/>
    <w:rsid w:val="00EB5CB6"/>
    <w:rsid w:val="00EB5E57"/>
    <w:rsid w:val="00EB62D4"/>
    <w:rsid w:val="00EB67C5"/>
    <w:rsid w:val="00EB6DEC"/>
    <w:rsid w:val="00EB6FA9"/>
    <w:rsid w:val="00EB76C9"/>
    <w:rsid w:val="00EB7947"/>
    <w:rsid w:val="00EC0FB2"/>
    <w:rsid w:val="00EC1515"/>
    <w:rsid w:val="00EC1A8F"/>
    <w:rsid w:val="00EC241A"/>
    <w:rsid w:val="00EC3233"/>
    <w:rsid w:val="00EC334F"/>
    <w:rsid w:val="00EC3802"/>
    <w:rsid w:val="00EC3A63"/>
    <w:rsid w:val="00EC3E6D"/>
    <w:rsid w:val="00EC4326"/>
    <w:rsid w:val="00EC448E"/>
    <w:rsid w:val="00EC4660"/>
    <w:rsid w:val="00EC48AB"/>
    <w:rsid w:val="00EC4980"/>
    <w:rsid w:val="00EC516F"/>
    <w:rsid w:val="00EC5344"/>
    <w:rsid w:val="00EC564C"/>
    <w:rsid w:val="00EC5D9E"/>
    <w:rsid w:val="00EC6C21"/>
    <w:rsid w:val="00EC7776"/>
    <w:rsid w:val="00EC789F"/>
    <w:rsid w:val="00ED0664"/>
    <w:rsid w:val="00ED08EB"/>
    <w:rsid w:val="00ED2505"/>
    <w:rsid w:val="00ED33BB"/>
    <w:rsid w:val="00ED34D6"/>
    <w:rsid w:val="00ED3D8B"/>
    <w:rsid w:val="00ED4024"/>
    <w:rsid w:val="00ED4074"/>
    <w:rsid w:val="00ED415B"/>
    <w:rsid w:val="00ED458C"/>
    <w:rsid w:val="00ED4E39"/>
    <w:rsid w:val="00ED59C4"/>
    <w:rsid w:val="00ED5CB1"/>
    <w:rsid w:val="00ED645B"/>
    <w:rsid w:val="00ED6FE8"/>
    <w:rsid w:val="00ED74AD"/>
    <w:rsid w:val="00ED79D6"/>
    <w:rsid w:val="00ED7CC2"/>
    <w:rsid w:val="00ED7CED"/>
    <w:rsid w:val="00ED7E47"/>
    <w:rsid w:val="00EE02C2"/>
    <w:rsid w:val="00EE152B"/>
    <w:rsid w:val="00EE19BF"/>
    <w:rsid w:val="00EE1AEA"/>
    <w:rsid w:val="00EE31DB"/>
    <w:rsid w:val="00EE35CF"/>
    <w:rsid w:val="00EE49F6"/>
    <w:rsid w:val="00EE4AC8"/>
    <w:rsid w:val="00EE4FEE"/>
    <w:rsid w:val="00EE57AD"/>
    <w:rsid w:val="00EE66DA"/>
    <w:rsid w:val="00EE6C93"/>
    <w:rsid w:val="00EE6CC0"/>
    <w:rsid w:val="00EE7913"/>
    <w:rsid w:val="00EF097E"/>
    <w:rsid w:val="00EF176E"/>
    <w:rsid w:val="00EF19EA"/>
    <w:rsid w:val="00EF1B64"/>
    <w:rsid w:val="00EF1C33"/>
    <w:rsid w:val="00EF21DA"/>
    <w:rsid w:val="00EF24FD"/>
    <w:rsid w:val="00EF2F96"/>
    <w:rsid w:val="00EF399B"/>
    <w:rsid w:val="00EF42B5"/>
    <w:rsid w:val="00EF4E6F"/>
    <w:rsid w:val="00EF58D0"/>
    <w:rsid w:val="00EF6138"/>
    <w:rsid w:val="00EF6A2E"/>
    <w:rsid w:val="00EF6B54"/>
    <w:rsid w:val="00EF6CB1"/>
    <w:rsid w:val="00EF6FE3"/>
    <w:rsid w:val="00EF73A0"/>
    <w:rsid w:val="00EF796F"/>
    <w:rsid w:val="00F00268"/>
    <w:rsid w:val="00F00693"/>
    <w:rsid w:val="00F00914"/>
    <w:rsid w:val="00F009AA"/>
    <w:rsid w:val="00F00BD2"/>
    <w:rsid w:val="00F016AA"/>
    <w:rsid w:val="00F03137"/>
    <w:rsid w:val="00F0381A"/>
    <w:rsid w:val="00F048DD"/>
    <w:rsid w:val="00F051BF"/>
    <w:rsid w:val="00F0544B"/>
    <w:rsid w:val="00F05C18"/>
    <w:rsid w:val="00F05C3D"/>
    <w:rsid w:val="00F060A8"/>
    <w:rsid w:val="00F06E86"/>
    <w:rsid w:val="00F10718"/>
    <w:rsid w:val="00F10AAA"/>
    <w:rsid w:val="00F10F70"/>
    <w:rsid w:val="00F1162F"/>
    <w:rsid w:val="00F11A3C"/>
    <w:rsid w:val="00F13006"/>
    <w:rsid w:val="00F1300E"/>
    <w:rsid w:val="00F1312C"/>
    <w:rsid w:val="00F135B5"/>
    <w:rsid w:val="00F135F1"/>
    <w:rsid w:val="00F14113"/>
    <w:rsid w:val="00F1501C"/>
    <w:rsid w:val="00F15051"/>
    <w:rsid w:val="00F158DB"/>
    <w:rsid w:val="00F15DDB"/>
    <w:rsid w:val="00F165BA"/>
    <w:rsid w:val="00F167CB"/>
    <w:rsid w:val="00F16A98"/>
    <w:rsid w:val="00F174A1"/>
    <w:rsid w:val="00F17B91"/>
    <w:rsid w:val="00F17D3F"/>
    <w:rsid w:val="00F20103"/>
    <w:rsid w:val="00F21085"/>
    <w:rsid w:val="00F210A2"/>
    <w:rsid w:val="00F210F5"/>
    <w:rsid w:val="00F21D1F"/>
    <w:rsid w:val="00F22A5A"/>
    <w:rsid w:val="00F231B2"/>
    <w:rsid w:val="00F235B4"/>
    <w:rsid w:val="00F239EC"/>
    <w:rsid w:val="00F2403B"/>
    <w:rsid w:val="00F2459F"/>
    <w:rsid w:val="00F25281"/>
    <w:rsid w:val="00F25EE7"/>
    <w:rsid w:val="00F26EE1"/>
    <w:rsid w:val="00F2705A"/>
    <w:rsid w:val="00F27482"/>
    <w:rsid w:val="00F27A78"/>
    <w:rsid w:val="00F27B9D"/>
    <w:rsid w:val="00F27E44"/>
    <w:rsid w:val="00F30590"/>
    <w:rsid w:val="00F31905"/>
    <w:rsid w:val="00F31BCD"/>
    <w:rsid w:val="00F31C52"/>
    <w:rsid w:val="00F31CCC"/>
    <w:rsid w:val="00F31FB7"/>
    <w:rsid w:val="00F32904"/>
    <w:rsid w:val="00F32919"/>
    <w:rsid w:val="00F32B3A"/>
    <w:rsid w:val="00F34F39"/>
    <w:rsid w:val="00F34F94"/>
    <w:rsid w:val="00F352CF"/>
    <w:rsid w:val="00F3531B"/>
    <w:rsid w:val="00F356CE"/>
    <w:rsid w:val="00F361CF"/>
    <w:rsid w:val="00F36412"/>
    <w:rsid w:val="00F36D66"/>
    <w:rsid w:val="00F36EAE"/>
    <w:rsid w:val="00F36EDD"/>
    <w:rsid w:val="00F36EF1"/>
    <w:rsid w:val="00F370CB"/>
    <w:rsid w:val="00F3716D"/>
    <w:rsid w:val="00F373D2"/>
    <w:rsid w:val="00F379E9"/>
    <w:rsid w:val="00F40A3B"/>
    <w:rsid w:val="00F40BC6"/>
    <w:rsid w:val="00F40CAD"/>
    <w:rsid w:val="00F40D60"/>
    <w:rsid w:val="00F411CF"/>
    <w:rsid w:val="00F41943"/>
    <w:rsid w:val="00F419B6"/>
    <w:rsid w:val="00F41F3A"/>
    <w:rsid w:val="00F433DF"/>
    <w:rsid w:val="00F44FA5"/>
    <w:rsid w:val="00F45EEC"/>
    <w:rsid w:val="00F462B7"/>
    <w:rsid w:val="00F4FCD7"/>
    <w:rsid w:val="00F50767"/>
    <w:rsid w:val="00F50E0B"/>
    <w:rsid w:val="00F50E5C"/>
    <w:rsid w:val="00F51278"/>
    <w:rsid w:val="00F51AEF"/>
    <w:rsid w:val="00F52239"/>
    <w:rsid w:val="00F52A39"/>
    <w:rsid w:val="00F52C78"/>
    <w:rsid w:val="00F543B5"/>
    <w:rsid w:val="00F5457E"/>
    <w:rsid w:val="00F545D5"/>
    <w:rsid w:val="00F5481B"/>
    <w:rsid w:val="00F54B51"/>
    <w:rsid w:val="00F55374"/>
    <w:rsid w:val="00F55E15"/>
    <w:rsid w:val="00F56D7A"/>
    <w:rsid w:val="00F56EC2"/>
    <w:rsid w:val="00F57072"/>
    <w:rsid w:val="00F57EEE"/>
    <w:rsid w:val="00F600AC"/>
    <w:rsid w:val="00F60909"/>
    <w:rsid w:val="00F61AD2"/>
    <w:rsid w:val="00F61E06"/>
    <w:rsid w:val="00F62F8A"/>
    <w:rsid w:val="00F62F8C"/>
    <w:rsid w:val="00F631B4"/>
    <w:rsid w:val="00F639F8"/>
    <w:rsid w:val="00F63E0A"/>
    <w:rsid w:val="00F6562F"/>
    <w:rsid w:val="00F65C11"/>
    <w:rsid w:val="00F6607E"/>
    <w:rsid w:val="00F66527"/>
    <w:rsid w:val="00F66622"/>
    <w:rsid w:val="00F66CC9"/>
    <w:rsid w:val="00F67051"/>
    <w:rsid w:val="00F675A6"/>
    <w:rsid w:val="00F675B5"/>
    <w:rsid w:val="00F675C5"/>
    <w:rsid w:val="00F71670"/>
    <w:rsid w:val="00F72D7B"/>
    <w:rsid w:val="00F73783"/>
    <w:rsid w:val="00F74F1D"/>
    <w:rsid w:val="00F75383"/>
    <w:rsid w:val="00F760E9"/>
    <w:rsid w:val="00F7645B"/>
    <w:rsid w:val="00F76E99"/>
    <w:rsid w:val="00F80D0E"/>
    <w:rsid w:val="00F80FDF"/>
    <w:rsid w:val="00F81912"/>
    <w:rsid w:val="00F82120"/>
    <w:rsid w:val="00F82FFB"/>
    <w:rsid w:val="00F8374B"/>
    <w:rsid w:val="00F84571"/>
    <w:rsid w:val="00F85A45"/>
    <w:rsid w:val="00F85C44"/>
    <w:rsid w:val="00F863E3"/>
    <w:rsid w:val="00F868F9"/>
    <w:rsid w:val="00F86CA8"/>
    <w:rsid w:val="00F9035D"/>
    <w:rsid w:val="00F9068D"/>
    <w:rsid w:val="00F90B19"/>
    <w:rsid w:val="00F90E17"/>
    <w:rsid w:val="00F90F84"/>
    <w:rsid w:val="00F92AA6"/>
    <w:rsid w:val="00F92B3E"/>
    <w:rsid w:val="00F93597"/>
    <w:rsid w:val="00F93891"/>
    <w:rsid w:val="00F93EE7"/>
    <w:rsid w:val="00F946FD"/>
    <w:rsid w:val="00F94C04"/>
    <w:rsid w:val="00F94F18"/>
    <w:rsid w:val="00F954A1"/>
    <w:rsid w:val="00F96D70"/>
    <w:rsid w:val="00F97D73"/>
    <w:rsid w:val="00FA0320"/>
    <w:rsid w:val="00FA03E8"/>
    <w:rsid w:val="00FA0ABA"/>
    <w:rsid w:val="00FA0E3A"/>
    <w:rsid w:val="00FA1345"/>
    <w:rsid w:val="00FA16C9"/>
    <w:rsid w:val="00FA234F"/>
    <w:rsid w:val="00FA281C"/>
    <w:rsid w:val="00FA35D3"/>
    <w:rsid w:val="00FA40CD"/>
    <w:rsid w:val="00FA4237"/>
    <w:rsid w:val="00FA4BC6"/>
    <w:rsid w:val="00FA4CA2"/>
    <w:rsid w:val="00FA4D66"/>
    <w:rsid w:val="00FA5BC2"/>
    <w:rsid w:val="00FA60BD"/>
    <w:rsid w:val="00FA60E1"/>
    <w:rsid w:val="00FA62B7"/>
    <w:rsid w:val="00FA7191"/>
    <w:rsid w:val="00FB0109"/>
    <w:rsid w:val="00FB05B4"/>
    <w:rsid w:val="00FB0630"/>
    <w:rsid w:val="00FB0E56"/>
    <w:rsid w:val="00FB0FEB"/>
    <w:rsid w:val="00FB15A0"/>
    <w:rsid w:val="00FB1E86"/>
    <w:rsid w:val="00FB2C08"/>
    <w:rsid w:val="00FB2CD4"/>
    <w:rsid w:val="00FB2DD1"/>
    <w:rsid w:val="00FB3233"/>
    <w:rsid w:val="00FB3D31"/>
    <w:rsid w:val="00FB3FCC"/>
    <w:rsid w:val="00FB44FD"/>
    <w:rsid w:val="00FB5B9F"/>
    <w:rsid w:val="00FB6638"/>
    <w:rsid w:val="00FB66A3"/>
    <w:rsid w:val="00FB7199"/>
    <w:rsid w:val="00FB73AB"/>
    <w:rsid w:val="00FB755C"/>
    <w:rsid w:val="00FB78A5"/>
    <w:rsid w:val="00FB7BC6"/>
    <w:rsid w:val="00FC0396"/>
    <w:rsid w:val="00FC0500"/>
    <w:rsid w:val="00FC0BB5"/>
    <w:rsid w:val="00FC11AC"/>
    <w:rsid w:val="00FC1818"/>
    <w:rsid w:val="00FC344C"/>
    <w:rsid w:val="00FC54DA"/>
    <w:rsid w:val="00FC597C"/>
    <w:rsid w:val="00FC6351"/>
    <w:rsid w:val="00FC6373"/>
    <w:rsid w:val="00FC6E2A"/>
    <w:rsid w:val="00FC71F6"/>
    <w:rsid w:val="00FD1891"/>
    <w:rsid w:val="00FD1D51"/>
    <w:rsid w:val="00FD243F"/>
    <w:rsid w:val="00FD2EDE"/>
    <w:rsid w:val="00FD3353"/>
    <w:rsid w:val="00FD3CC6"/>
    <w:rsid w:val="00FD45DF"/>
    <w:rsid w:val="00FD53B8"/>
    <w:rsid w:val="00FD5F35"/>
    <w:rsid w:val="00FD62C7"/>
    <w:rsid w:val="00FD64A4"/>
    <w:rsid w:val="00FD76FB"/>
    <w:rsid w:val="00FD7F59"/>
    <w:rsid w:val="00FE14E4"/>
    <w:rsid w:val="00FE178C"/>
    <w:rsid w:val="00FE1875"/>
    <w:rsid w:val="00FE192B"/>
    <w:rsid w:val="00FE1B98"/>
    <w:rsid w:val="00FE2009"/>
    <w:rsid w:val="00FE2054"/>
    <w:rsid w:val="00FE2106"/>
    <w:rsid w:val="00FE3393"/>
    <w:rsid w:val="00FE3902"/>
    <w:rsid w:val="00FE4F43"/>
    <w:rsid w:val="00FE6131"/>
    <w:rsid w:val="00FE78A9"/>
    <w:rsid w:val="00FF07AA"/>
    <w:rsid w:val="00FF1616"/>
    <w:rsid w:val="00FF1BE4"/>
    <w:rsid w:val="00FF214D"/>
    <w:rsid w:val="00FF25FF"/>
    <w:rsid w:val="00FF2D9A"/>
    <w:rsid w:val="00FF2DB6"/>
    <w:rsid w:val="00FF3668"/>
    <w:rsid w:val="00FF3A2D"/>
    <w:rsid w:val="00FF4C58"/>
    <w:rsid w:val="00FF5D07"/>
    <w:rsid w:val="00FF66FC"/>
    <w:rsid w:val="00FF7F4B"/>
    <w:rsid w:val="011731AD"/>
    <w:rsid w:val="011A1590"/>
    <w:rsid w:val="014DFA63"/>
    <w:rsid w:val="015F84EE"/>
    <w:rsid w:val="0163B3D4"/>
    <w:rsid w:val="0183CFB9"/>
    <w:rsid w:val="0187F0E0"/>
    <w:rsid w:val="01C19AF2"/>
    <w:rsid w:val="01D512F1"/>
    <w:rsid w:val="02175CAA"/>
    <w:rsid w:val="023C407B"/>
    <w:rsid w:val="02486825"/>
    <w:rsid w:val="024B9456"/>
    <w:rsid w:val="025AAE53"/>
    <w:rsid w:val="025ABF21"/>
    <w:rsid w:val="026121AE"/>
    <w:rsid w:val="027181DA"/>
    <w:rsid w:val="029DAD0E"/>
    <w:rsid w:val="02AE9C09"/>
    <w:rsid w:val="03213FE9"/>
    <w:rsid w:val="0354F234"/>
    <w:rsid w:val="0354FBEE"/>
    <w:rsid w:val="036E5679"/>
    <w:rsid w:val="039DFAAC"/>
    <w:rsid w:val="03CB9B2B"/>
    <w:rsid w:val="03EFFA56"/>
    <w:rsid w:val="045F0D35"/>
    <w:rsid w:val="04810BD9"/>
    <w:rsid w:val="04A7964A"/>
    <w:rsid w:val="04C1F187"/>
    <w:rsid w:val="04D4CC39"/>
    <w:rsid w:val="04F356C2"/>
    <w:rsid w:val="04F40BE8"/>
    <w:rsid w:val="04F94542"/>
    <w:rsid w:val="05155CBE"/>
    <w:rsid w:val="0527EE8A"/>
    <w:rsid w:val="053091E3"/>
    <w:rsid w:val="0530BA31"/>
    <w:rsid w:val="053F1DC4"/>
    <w:rsid w:val="054B5F48"/>
    <w:rsid w:val="055E770C"/>
    <w:rsid w:val="058B5F7D"/>
    <w:rsid w:val="05BBCFC0"/>
    <w:rsid w:val="05D27D4F"/>
    <w:rsid w:val="05F041D5"/>
    <w:rsid w:val="06454EBA"/>
    <w:rsid w:val="065E043E"/>
    <w:rsid w:val="0678D059"/>
    <w:rsid w:val="068D807C"/>
    <w:rsid w:val="06BAD4BD"/>
    <w:rsid w:val="0700095B"/>
    <w:rsid w:val="07043080"/>
    <w:rsid w:val="0705A906"/>
    <w:rsid w:val="071449FD"/>
    <w:rsid w:val="0718F594"/>
    <w:rsid w:val="0720558A"/>
    <w:rsid w:val="07372CA4"/>
    <w:rsid w:val="073DF950"/>
    <w:rsid w:val="0746EDB7"/>
    <w:rsid w:val="07683C0F"/>
    <w:rsid w:val="07880AFA"/>
    <w:rsid w:val="078FA143"/>
    <w:rsid w:val="07E8265B"/>
    <w:rsid w:val="07EA9553"/>
    <w:rsid w:val="07ED6795"/>
    <w:rsid w:val="07F47130"/>
    <w:rsid w:val="07F5FEAB"/>
    <w:rsid w:val="08376307"/>
    <w:rsid w:val="08777E59"/>
    <w:rsid w:val="08BF94DD"/>
    <w:rsid w:val="08C0C36D"/>
    <w:rsid w:val="08E7326D"/>
    <w:rsid w:val="08F5106F"/>
    <w:rsid w:val="0933D67D"/>
    <w:rsid w:val="096081A9"/>
    <w:rsid w:val="0974E9EE"/>
    <w:rsid w:val="09B8D1C6"/>
    <w:rsid w:val="09F51BB0"/>
    <w:rsid w:val="0A1143E7"/>
    <w:rsid w:val="0A2C9363"/>
    <w:rsid w:val="0A43CF8A"/>
    <w:rsid w:val="0A4A15EE"/>
    <w:rsid w:val="0AA6EB84"/>
    <w:rsid w:val="0ACA5283"/>
    <w:rsid w:val="0ACEA0CE"/>
    <w:rsid w:val="0B296F39"/>
    <w:rsid w:val="0B3C43B6"/>
    <w:rsid w:val="0BB58859"/>
    <w:rsid w:val="0BDCB620"/>
    <w:rsid w:val="0C670A43"/>
    <w:rsid w:val="0C6A9071"/>
    <w:rsid w:val="0C76A9B0"/>
    <w:rsid w:val="0CA3B3D1"/>
    <w:rsid w:val="0CC37306"/>
    <w:rsid w:val="0CCD5799"/>
    <w:rsid w:val="0CCFC089"/>
    <w:rsid w:val="0CFFD097"/>
    <w:rsid w:val="0D241F56"/>
    <w:rsid w:val="0D51D85F"/>
    <w:rsid w:val="0D912410"/>
    <w:rsid w:val="0DE2C1CD"/>
    <w:rsid w:val="0DEE90BB"/>
    <w:rsid w:val="0DF2B447"/>
    <w:rsid w:val="0E0CAF08"/>
    <w:rsid w:val="0E588B4B"/>
    <w:rsid w:val="0EBFD084"/>
    <w:rsid w:val="0ECF801D"/>
    <w:rsid w:val="0F104973"/>
    <w:rsid w:val="0F2E25E8"/>
    <w:rsid w:val="0F33BD62"/>
    <w:rsid w:val="0F5B2496"/>
    <w:rsid w:val="0F7648B5"/>
    <w:rsid w:val="0F79D33D"/>
    <w:rsid w:val="0F8B3C13"/>
    <w:rsid w:val="0F9E7757"/>
    <w:rsid w:val="0FAEF58E"/>
    <w:rsid w:val="0FBD79BA"/>
    <w:rsid w:val="0FD1D031"/>
    <w:rsid w:val="0FE90EC8"/>
    <w:rsid w:val="0FF0C992"/>
    <w:rsid w:val="0FF499D0"/>
    <w:rsid w:val="1001ABB7"/>
    <w:rsid w:val="103C5F0E"/>
    <w:rsid w:val="104D00D0"/>
    <w:rsid w:val="10521040"/>
    <w:rsid w:val="105453BC"/>
    <w:rsid w:val="105ADAC1"/>
    <w:rsid w:val="106C5928"/>
    <w:rsid w:val="10764928"/>
    <w:rsid w:val="1081265A"/>
    <w:rsid w:val="1097564D"/>
    <w:rsid w:val="10AAFE42"/>
    <w:rsid w:val="10B4843F"/>
    <w:rsid w:val="10E2A48B"/>
    <w:rsid w:val="10E7926A"/>
    <w:rsid w:val="110F95CA"/>
    <w:rsid w:val="115D6B7B"/>
    <w:rsid w:val="118E3119"/>
    <w:rsid w:val="11A24C6A"/>
    <w:rsid w:val="11ACD3B9"/>
    <w:rsid w:val="1217A508"/>
    <w:rsid w:val="1217EC1E"/>
    <w:rsid w:val="1284553C"/>
    <w:rsid w:val="1285618C"/>
    <w:rsid w:val="1291454D"/>
    <w:rsid w:val="129612B4"/>
    <w:rsid w:val="12A26C4C"/>
    <w:rsid w:val="12A58379"/>
    <w:rsid w:val="12BB8374"/>
    <w:rsid w:val="12CF036F"/>
    <w:rsid w:val="12F4642F"/>
    <w:rsid w:val="13124DFD"/>
    <w:rsid w:val="131A1551"/>
    <w:rsid w:val="133839B4"/>
    <w:rsid w:val="133B06A0"/>
    <w:rsid w:val="134F3A30"/>
    <w:rsid w:val="1352E471"/>
    <w:rsid w:val="13570F77"/>
    <w:rsid w:val="136D19A9"/>
    <w:rsid w:val="136D3B0C"/>
    <w:rsid w:val="138B95A7"/>
    <w:rsid w:val="13940FAD"/>
    <w:rsid w:val="13B4BB4E"/>
    <w:rsid w:val="13D1427B"/>
    <w:rsid w:val="13F498BC"/>
    <w:rsid w:val="140CED4D"/>
    <w:rsid w:val="14402F73"/>
    <w:rsid w:val="14A80A7E"/>
    <w:rsid w:val="14CBFA2A"/>
    <w:rsid w:val="14FB1E75"/>
    <w:rsid w:val="151D1FF9"/>
    <w:rsid w:val="15490069"/>
    <w:rsid w:val="155449E0"/>
    <w:rsid w:val="1571F828"/>
    <w:rsid w:val="15897572"/>
    <w:rsid w:val="15A6A2C3"/>
    <w:rsid w:val="15B0744B"/>
    <w:rsid w:val="15B1B908"/>
    <w:rsid w:val="15CF9451"/>
    <w:rsid w:val="15E4D50B"/>
    <w:rsid w:val="1608927E"/>
    <w:rsid w:val="167FFEE4"/>
    <w:rsid w:val="16A3E13C"/>
    <w:rsid w:val="16A7F0AD"/>
    <w:rsid w:val="16B9F316"/>
    <w:rsid w:val="171133F8"/>
    <w:rsid w:val="179C167F"/>
    <w:rsid w:val="17A301D8"/>
    <w:rsid w:val="17AFF08E"/>
    <w:rsid w:val="17BE80BF"/>
    <w:rsid w:val="17CE4CD1"/>
    <w:rsid w:val="17DA5C50"/>
    <w:rsid w:val="17DCBCC5"/>
    <w:rsid w:val="17E66CFE"/>
    <w:rsid w:val="1858B4EE"/>
    <w:rsid w:val="18758C0F"/>
    <w:rsid w:val="189BA14C"/>
    <w:rsid w:val="18A1BAF1"/>
    <w:rsid w:val="18D79E2F"/>
    <w:rsid w:val="18DF0409"/>
    <w:rsid w:val="18DF3E3B"/>
    <w:rsid w:val="18FB21D2"/>
    <w:rsid w:val="1929FC6B"/>
    <w:rsid w:val="1931192E"/>
    <w:rsid w:val="193A9C44"/>
    <w:rsid w:val="198D8541"/>
    <w:rsid w:val="1995D3D8"/>
    <w:rsid w:val="19AB81EE"/>
    <w:rsid w:val="19B69460"/>
    <w:rsid w:val="19BACD35"/>
    <w:rsid w:val="19C82C91"/>
    <w:rsid w:val="19CB5D09"/>
    <w:rsid w:val="19D11811"/>
    <w:rsid w:val="19FC6AA8"/>
    <w:rsid w:val="19FE142D"/>
    <w:rsid w:val="1A068C4E"/>
    <w:rsid w:val="1A0B0B41"/>
    <w:rsid w:val="1A3B12C9"/>
    <w:rsid w:val="1A51E472"/>
    <w:rsid w:val="1A6B78AC"/>
    <w:rsid w:val="1A70ED5A"/>
    <w:rsid w:val="1AC579FE"/>
    <w:rsid w:val="1AE4396D"/>
    <w:rsid w:val="1AE8D854"/>
    <w:rsid w:val="1B052988"/>
    <w:rsid w:val="1B11CE18"/>
    <w:rsid w:val="1B357172"/>
    <w:rsid w:val="1B5AFF3E"/>
    <w:rsid w:val="1B842803"/>
    <w:rsid w:val="1B865E40"/>
    <w:rsid w:val="1BA11BA8"/>
    <w:rsid w:val="1BB2FB1A"/>
    <w:rsid w:val="1BB8B268"/>
    <w:rsid w:val="1C1E20F7"/>
    <w:rsid w:val="1C240051"/>
    <w:rsid w:val="1C300D37"/>
    <w:rsid w:val="1C320922"/>
    <w:rsid w:val="1C46AE4C"/>
    <w:rsid w:val="1C538409"/>
    <w:rsid w:val="1C72326B"/>
    <w:rsid w:val="1C842AA9"/>
    <w:rsid w:val="1C8D973B"/>
    <w:rsid w:val="1C9057C5"/>
    <w:rsid w:val="1CACB486"/>
    <w:rsid w:val="1D0025EC"/>
    <w:rsid w:val="1D19F947"/>
    <w:rsid w:val="1D4CE349"/>
    <w:rsid w:val="1D607CAA"/>
    <w:rsid w:val="1D70CC95"/>
    <w:rsid w:val="1D9A8C13"/>
    <w:rsid w:val="1DB9F89E"/>
    <w:rsid w:val="1DE2CA3B"/>
    <w:rsid w:val="1DEE1B35"/>
    <w:rsid w:val="1DF5F7FA"/>
    <w:rsid w:val="1E13DA90"/>
    <w:rsid w:val="1E1D3E44"/>
    <w:rsid w:val="1E20E5A7"/>
    <w:rsid w:val="1E2D177D"/>
    <w:rsid w:val="1E5A8E0C"/>
    <w:rsid w:val="1E67AC42"/>
    <w:rsid w:val="1E8670C1"/>
    <w:rsid w:val="1EA9CFF1"/>
    <w:rsid w:val="1EB340CD"/>
    <w:rsid w:val="1ED0BD11"/>
    <w:rsid w:val="1F0CD7AD"/>
    <w:rsid w:val="1F48BC4A"/>
    <w:rsid w:val="1F4BF0BE"/>
    <w:rsid w:val="1F4C49AF"/>
    <w:rsid w:val="1F5AACB2"/>
    <w:rsid w:val="1F5C22A4"/>
    <w:rsid w:val="1F7A21CC"/>
    <w:rsid w:val="1F9F2530"/>
    <w:rsid w:val="1FB59598"/>
    <w:rsid w:val="1FCD3279"/>
    <w:rsid w:val="1FF23087"/>
    <w:rsid w:val="20022084"/>
    <w:rsid w:val="20048ACC"/>
    <w:rsid w:val="201285DC"/>
    <w:rsid w:val="202610E5"/>
    <w:rsid w:val="20480ED8"/>
    <w:rsid w:val="2055E96E"/>
    <w:rsid w:val="205C91D2"/>
    <w:rsid w:val="20663532"/>
    <w:rsid w:val="2067C1E1"/>
    <w:rsid w:val="207C2375"/>
    <w:rsid w:val="20868F4D"/>
    <w:rsid w:val="20878DE1"/>
    <w:rsid w:val="2093D6BD"/>
    <w:rsid w:val="20CF998D"/>
    <w:rsid w:val="21275F9D"/>
    <w:rsid w:val="212BCA02"/>
    <w:rsid w:val="215181AB"/>
    <w:rsid w:val="216030D1"/>
    <w:rsid w:val="2189FC99"/>
    <w:rsid w:val="21C24D9A"/>
    <w:rsid w:val="21E414EE"/>
    <w:rsid w:val="21EB1E57"/>
    <w:rsid w:val="227C75C9"/>
    <w:rsid w:val="2288C235"/>
    <w:rsid w:val="22931699"/>
    <w:rsid w:val="22D14464"/>
    <w:rsid w:val="23002A92"/>
    <w:rsid w:val="233F5605"/>
    <w:rsid w:val="23CA151F"/>
    <w:rsid w:val="240BBF7F"/>
    <w:rsid w:val="240FCF34"/>
    <w:rsid w:val="24182984"/>
    <w:rsid w:val="241D6112"/>
    <w:rsid w:val="2422F1C9"/>
    <w:rsid w:val="2436E1B6"/>
    <w:rsid w:val="24594F27"/>
    <w:rsid w:val="246EB42E"/>
    <w:rsid w:val="24779E70"/>
    <w:rsid w:val="248702D4"/>
    <w:rsid w:val="24A2A1CD"/>
    <w:rsid w:val="24A8F266"/>
    <w:rsid w:val="24AE1D76"/>
    <w:rsid w:val="24BB10B2"/>
    <w:rsid w:val="24DAE7AF"/>
    <w:rsid w:val="24E2E937"/>
    <w:rsid w:val="24F75576"/>
    <w:rsid w:val="250EA861"/>
    <w:rsid w:val="251B9C0B"/>
    <w:rsid w:val="2527F9C2"/>
    <w:rsid w:val="2550A663"/>
    <w:rsid w:val="2550C3DA"/>
    <w:rsid w:val="256D134C"/>
    <w:rsid w:val="2588BD22"/>
    <w:rsid w:val="2591010C"/>
    <w:rsid w:val="25917900"/>
    <w:rsid w:val="26030814"/>
    <w:rsid w:val="26071C4B"/>
    <w:rsid w:val="261C2E68"/>
    <w:rsid w:val="2624C119"/>
    <w:rsid w:val="262A267B"/>
    <w:rsid w:val="263739A9"/>
    <w:rsid w:val="26570207"/>
    <w:rsid w:val="26598C9C"/>
    <w:rsid w:val="267E33EA"/>
    <w:rsid w:val="2694D260"/>
    <w:rsid w:val="26A061BA"/>
    <w:rsid w:val="26A7AC0B"/>
    <w:rsid w:val="26B4DC38"/>
    <w:rsid w:val="26E2595B"/>
    <w:rsid w:val="26F38B73"/>
    <w:rsid w:val="270F44AE"/>
    <w:rsid w:val="276FF206"/>
    <w:rsid w:val="27B25A01"/>
    <w:rsid w:val="27F7D0DF"/>
    <w:rsid w:val="2814E254"/>
    <w:rsid w:val="2825AD35"/>
    <w:rsid w:val="28299D16"/>
    <w:rsid w:val="28357F12"/>
    <w:rsid w:val="284487D0"/>
    <w:rsid w:val="28597DC8"/>
    <w:rsid w:val="287A7985"/>
    <w:rsid w:val="28937A1A"/>
    <w:rsid w:val="28BC68A1"/>
    <w:rsid w:val="28D41B8B"/>
    <w:rsid w:val="28F3D93C"/>
    <w:rsid w:val="28FAB35F"/>
    <w:rsid w:val="28FEDCE6"/>
    <w:rsid w:val="290C1739"/>
    <w:rsid w:val="2911864B"/>
    <w:rsid w:val="2916B5CD"/>
    <w:rsid w:val="296854B2"/>
    <w:rsid w:val="296AC351"/>
    <w:rsid w:val="29972F82"/>
    <w:rsid w:val="29BF454A"/>
    <w:rsid w:val="29CCC824"/>
    <w:rsid w:val="29D49C6B"/>
    <w:rsid w:val="29E53FC6"/>
    <w:rsid w:val="29EA0801"/>
    <w:rsid w:val="2A06DBBE"/>
    <w:rsid w:val="2A41F7E5"/>
    <w:rsid w:val="2A41FF4B"/>
    <w:rsid w:val="2A46218C"/>
    <w:rsid w:val="2A4BC472"/>
    <w:rsid w:val="2A50097E"/>
    <w:rsid w:val="2ACC3869"/>
    <w:rsid w:val="2AD1DF03"/>
    <w:rsid w:val="2B265AB8"/>
    <w:rsid w:val="2B8C7561"/>
    <w:rsid w:val="2B96F1D9"/>
    <w:rsid w:val="2BEB15C8"/>
    <w:rsid w:val="2C22DCBF"/>
    <w:rsid w:val="2C64C82D"/>
    <w:rsid w:val="2C6DAF35"/>
    <w:rsid w:val="2C950808"/>
    <w:rsid w:val="2CA4E239"/>
    <w:rsid w:val="2CCAFF48"/>
    <w:rsid w:val="2CE1338B"/>
    <w:rsid w:val="2CE8DAA2"/>
    <w:rsid w:val="2CEA8083"/>
    <w:rsid w:val="2CF2E642"/>
    <w:rsid w:val="2CF9F825"/>
    <w:rsid w:val="2D0E0A91"/>
    <w:rsid w:val="2D3CA744"/>
    <w:rsid w:val="2D4D4D88"/>
    <w:rsid w:val="2D5A9325"/>
    <w:rsid w:val="2D971AAF"/>
    <w:rsid w:val="2DAEDE49"/>
    <w:rsid w:val="2DB746BF"/>
    <w:rsid w:val="2DEA8E63"/>
    <w:rsid w:val="2E01EFE2"/>
    <w:rsid w:val="2E24AFFA"/>
    <w:rsid w:val="2E2929EA"/>
    <w:rsid w:val="2E2BB121"/>
    <w:rsid w:val="2E53A3AB"/>
    <w:rsid w:val="2E623708"/>
    <w:rsid w:val="2E78D39F"/>
    <w:rsid w:val="2EA2818C"/>
    <w:rsid w:val="2F3DFE9C"/>
    <w:rsid w:val="2F5F798D"/>
    <w:rsid w:val="2F6CBAB4"/>
    <w:rsid w:val="2F7B81FB"/>
    <w:rsid w:val="2F84FEF2"/>
    <w:rsid w:val="2FA5D4C9"/>
    <w:rsid w:val="2FA898DD"/>
    <w:rsid w:val="2FB54486"/>
    <w:rsid w:val="2FC62CCF"/>
    <w:rsid w:val="2FCD21FC"/>
    <w:rsid w:val="2FF7E50A"/>
    <w:rsid w:val="30049703"/>
    <w:rsid w:val="302E405E"/>
    <w:rsid w:val="30786F63"/>
    <w:rsid w:val="30A1C13A"/>
    <w:rsid w:val="30AB99D7"/>
    <w:rsid w:val="30DD86A4"/>
    <w:rsid w:val="31240250"/>
    <w:rsid w:val="313222BF"/>
    <w:rsid w:val="3175945A"/>
    <w:rsid w:val="31A54F1A"/>
    <w:rsid w:val="31BD7BF0"/>
    <w:rsid w:val="320275B2"/>
    <w:rsid w:val="325628B6"/>
    <w:rsid w:val="325E3A52"/>
    <w:rsid w:val="32C23E83"/>
    <w:rsid w:val="32C95A2D"/>
    <w:rsid w:val="32D53C2C"/>
    <w:rsid w:val="330C6676"/>
    <w:rsid w:val="3310F2B4"/>
    <w:rsid w:val="331DA476"/>
    <w:rsid w:val="3338C476"/>
    <w:rsid w:val="335AEFB7"/>
    <w:rsid w:val="3384E2E8"/>
    <w:rsid w:val="3394E653"/>
    <w:rsid w:val="33A7AC00"/>
    <w:rsid w:val="33B6A9DA"/>
    <w:rsid w:val="33C8E4E9"/>
    <w:rsid w:val="33F6CEB3"/>
    <w:rsid w:val="33F8F00A"/>
    <w:rsid w:val="34113E90"/>
    <w:rsid w:val="343E3921"/>
    <w:rsid w:val="343F6C22"/>
    <w:rsid w:val="347042A5"/>
    <w:rsid w:val="34960C1F"/>
    <w:rsid w:val="34A031A0"/>
    <w:rsid w:val="34BB54DF"/>
    <w:rsid w:val="34BB663F"/>
    <w:rsid w:val="34D4D2AC"/>
    <w:rsid w:val="34D56B44"/>
    <w:rsid w:val="34EA6046"/>
    <w:rsid w:val="35058E5D"/>
    <w:rsid w:val="352289FE"/>
    <w:rsid w:val="3525F47B"/>
    <w:rsid w:val="353D9AC0"/>
    <w:rsid w:val="3542E2F2"/>
    <w:rsid w:val="354B9665"/>
    <w:rsid w:val="354BC740"/>
    <w:rsid w:val="355BEBEE"/>
    <w:rsid w:val="356BEB82"/>
    <w:rsid w:val="35706CAD"/>
    <w:rsid w:val="357FF0AF"/>
    <w:rsid w:val="35F1D81E"/>
    <w:rsid w:val="36304C1B"/>
    <w:rsid w:val="36728D1B"/>
    <w:rsid w:val="3689B1F0"/>
    <w:rsid w:val="370A82C6"/>
    <w:rsid w:val="3726FCCA"/>
    <w:rsid w:val="3732DC5C"/>
    <w:rsid w:val="3788910B"/>
    <w:rsid w:val="37AB2683"/>
    <w:rsid w:val="37BD4236"/>
    <w:rsid w:val="37D2874E"/>
    <w:rsid w:val="37ED2A73"/>
    <w:rsid w:val="37FDB567"/>
    <w:rsid w:val="3805F9C5"/>
    <w:rsid w:val="380FCA60"/>
    <w:rsid w:val="382BBBAF"/>
    <w:rsid w:val="382D84E1"/>
    <w:rsid w:val="3866EEA6"/>
    <w:rsid w:val="386A8828"/>
    <w:rsid w:val="387740FF"/>
    <w:rsid w:val="38807D53"/>
    <w:rsid w:val="389D9FC9"/>
    <w:rsid w:val="38C2AC8D"/>
    <w:rsid w:val="391A5225"/>
    <w:rsid w:val="3934C874"/>
    <w:rsid w:val="395D74A6"/>
    <w:rsid w:val="39C3C44F"/>
    <w:rsid w:val="39CE1093"/>
    <w:rsid w:val="39D02810"/>
    <w:rsid w:val="39E1E040"/>
    <w:rsid w:val="39E9EC34"/>
    <w:rsid w:val="39F11366"/>
    <w:rsid w:val="39F81AF3"/>
    <w:rsid w:val="3A029222"/>
    <w:rsid w:val="3A147CB7"/>
    <w:rsid w:val="3A1BA3C7"/>
    <w:rsid w:val="3A1C3EC2"/>
    <w:rsid w:val="3A6AA09A"/>
    <w:rsid w:val="3A8261A7"/>
    <w:rsid w:val="3A9CCD8C"/>
    <w:rsid w:val="3AA18502"/>
    <w:rsid w:val="3AF278B4"/>
    <w:rsid w:val="3AF38684"/>
    <w:rsid w:val="3B304563"/>
    <w:rsid w:val="3B310BBB"/>
    <w:rsid w:val="3B7EC85A"/>
    <w:rsid w:val="3B80F73B"/>
    <w:rsid w:val="3B951817"/>
    <w:rsid w:val="3BBAEFAD"/>
    <w:rsid w:val="3BFD55FA"/>
    <w:rsid w:val="3C19FBCD"/>
    <w:rsid w:val="3C730BD0"/>
    <w:rsid w:val="3CD49A6F"/>
    <w:rsid w:val="3CE022EA"/>
    <w:rsid w:val="3CE50B63"/>
    <w:rsid w:val="3CED83E7"/>
    <w:rsid w:val="3CEFCAF5"/>
    <w:rsid w:val="3D2B91A5"/>
    <w:rsid w:val="3D6D13D8"/>
    <w:rsid w:val="3D7B299C"/>
    <w:rsid w:val="3D7E05C7"/>
    <w:rsid w:val="3DD86417"/>
    <w:rsid w:val="3DDCB22E"/>
    <w:rsid w:val="3DED23B6"/>
    <w:rsid w:val="3E061F8E"/>
    <w:rsid w:val="3E25989F"/>
    <w:rsid w:val="3E343354"/>
    <w:rsid w:val="3E5319E7"/>
    <w:rsid w:val="3E86D14F"/>
    <w:rsid w:val="3E94F2B2"/>
    <w:rsid w:val="3EB71308"/>
    <w:rsid w:val="3EEF511A"/>
    <w:rsid w:val="3F1D26C2"/>
    <w:rsid w:val="3F28A6DB"/>
    <w:rsid w:val="3F677317"/>
    <w:rsid w:val="3F90586C"/>
    <w:rsid w:val="3FA8D5D5"/>
    <w:rsid w:val="3FB69241"/>
    <w:rsid w:val="3FCB6273"/>
    <w:rsid w:val="3FDF404B"/>
    <w:rsid w:val="3FF651A4"/>
    <w:rsid w:val="40077516"/>
    <w:rsid w:val="4032591F"/>
    <w:rsid w:val="404D1FE6"/>
    <w:rsid w:val="4080DD58"/>
    <w:rsid w:val="409365BE"/>
    <w:rsid w:val="40A74838"/>
    <w:rsid w:val="40BEBA67"/>
    <w:rsid w:val="40DFF117"/>
    <w:rsid w:val="40FDA6AE"/>
    <w:rsid w:val="4116C68C"/>
    <w:rsid w:val="4154FF74"/>
    <w:rsid w:val="4186D7CA"/>
    <w:rsid w:val="419ADB0B"/>
    <w:rsid w:val="41A2DE7F"/>
    <w:rsid w:val="41DA2FF8"/>
    <w:rsid w:val="41FB7344"/>
    <w:rsid w:val="42207A97"/>
    <w:rsid w:val="426B3BEB"/>
    <w:rsid w:val="42768EBF"/>
    <w:rsid w:val="427EE30C"/>
    <w:rsid w:val="42B0BF9F"/>
    <w:rsid w:val="43072AEA"/>
    <w:rsid w:val="43121A2B"/>
    <w:rsid w:val="432E93C7"/>
    <w:rsid w:val="4362C45D"/>
    <w:rsid w:val="4364C78C"/>
    <w:rsid w:val="43675F6E"/>
    <w:rsid w:val="436AACB4"/>
    <w:rsid w:val="438C9040"/>
    <w:rsid w:val="439F910A"/>
    <w:rsid w:val="43A6698B"/>
    <w:rsid w:val="44000CB8"/>
    <w:rsid w:val="44188A8E"/>
    <w:rsid w:val="442646EA"/>
    <w:rsid w:val="4436B402"/>
    <w:rsid w:val="44CBD287"/>
    <w:rsid w:val="44FCCD95"/>
    <w:rsid w:val="4500F012"/>
    <w:rsid w:val="45086EAC"/>
    <w:rsid w:val="4558FBDC"/>
    <w:rsid w:val="45CA3DE9"/>
    <w:rsid w:val="4612B828"/>
    <w:rsid w:val="46344021"/>
    <w:rsid w:val="468A957B"/>
    <w:rsid w:val="46A3A928"/>
    <w:rsid w:val="46A7FE21"/>
    <w:rsid w:val="46B2F2F5"/>
    <w:rsid w:val="46BFF262"/>
    <w:rsid w:val="46E75011"/>
    <w:rsid w:val="46EB0FC5"/>
    <w:rsid w:val="47130A2D"/>
    <w:rsid w:val="4723889C"/>
    <w:rsid w:val="472A224D"/>
    <w:rsid w:val="4734EF42"/>
    <w:rsid w:val="4735E52F"/>
    <w:rsid w:val="473CCE18"/>
    <w:rsid w:val="4748812B"/>
    <w:rsid w:val="4769F94A"/>
    <w:rsid w:val="478A5A3A"/>
    <w:rsid w:val="47DED1C5"/>
    <w:rsid w:val="4815AA25"/>
    <w:rsid w:val="4829B99B"/>
    <w:rsid w:val="4870C516"/>
    <w:rsid w:val="48728174"/>
    <w:rsid w:val="48B3139A"/>
    <w:rsid w:val="48D6DE49"/>
    <w:rsid w:val="492392A3"/>
    <w:rsid w:val="49410377"/>
    <w:rsid w:val="49447DEC"/>
    <w:rsid w:val="4950131C"/>
    <w:rsid w:val="496EAD24"/>
    <w:rsid w:val="49907E8B"/>
    <w:rsid w:val="49A06752"/>
    <w:rsid w:val="49A0C5FC"/>
    <w:rsid w:val="49AA9590"/>
    <w:rsid w:val="49DCDB73"/>
    <w:rsid w:val="4A223645"/>
    <w:rsid w:val="4A25521D"/>
    <w:rsid w:val="4A2A4B7F"/>
    <w:rsid w:val="4A3D601A"/>
    <w:rsid w:val="4A3E717F"/>
    <w:rsid w:val="4A41F830"/>
    <w:rsid w:val="4A433627"/>
    <w:rsid w:val="4A518320"/>
    <w:rsid w:val="4A79E71C"/>
    <w:rsid w:val="4A9E4072"/>
    <w:rsid w:val="4AA10400"/>
    <w:rsid w:val="4ABEC548"/>
    <w:rsid w:val="4AC6DFAB"/>
    <w:rsid w:val="4AC7381A"/>
    <w:rsid w:val="4AC8A968"/>
    <w:rsid w:val="4AE40212"/>
    <w:rsid w:val="4AE79C95"/>
    <w:rsid w:val="4AF8F140"/>
    <w:rsid w:val="4B1F12EF"/>
    <w:rsid w:val="4B2817FA"/>
    <w:rsid w:val="4B2A08C2"/>
    <w:rsid w:val="4B2FCED7"/>
    <w:rsid w:val="4BB215AC"/>
    <w:rsid w:val="4BB8943A"/>
    <w:rsid w:val="4BBE6819"/>
    <w:rsid w:val="4BCBE65F"/>
    <w:rsid w:val="4BE61A47"/>
    <w:rsid w:val="4C09B7DF"/>
    <w:rsid w:val="4C22F610"/>
    <w:rsid w:val="4C71A088"/>
    <w:rsid w:val="4C87B1BC"/>
    <w:rsid w:val="4C89A381"/>
    <w:rsid w:val="4C89F2A2"/>
    <w:rsid w:val="4C9061C4"/>
    <w:rsid w:val="4CA1086C"/>
    <w:rsid w:val="4CE54F85"/>
    <w:rsid w:val="4CF990BB"/>
    <w:rsid w:val="4D17AF8B"/>
    <w:rsid w:val="4D26708B"/>
    <w:rsid w:val="4D4CACA9"/>
    <w:rsid w:val="4D8A5D42"/>
    <w:rsid w:val="4D992ACB"/>
    <w:rsid w:val="4DD60A5C"/>
    <w:rsid w:val="4DF19D0F"/>
    <w:rsid w:val="4E64A17B"/>
    <w:rsid w:val="4E84FA98"/>
    <w:rsid w:val="4EFF530C"/>
    <w:rsid w:val="4F07BE59"/>
    <w:rsid w:val="4F1DC0A4"/>
    <w:rsid w:val="4F38633A"/>
    <w:rsid w:val="4F45B063"/>
    <w:rsid w:val="4FAF5B43"/>
    <w:rsid w:val="4FC09E8D"/>
    <w:rsid w:val="4FDB937C"/>
    <w:rsid w:val="4FEF18E6"/>
    <w:rsid w:val="4FF94643"/>
    <w:rsid w:val="50045E31"/>
    <w:rsid w:val="5031866E"/>
    <w:rsid w:val="5056E2FC"/>
    <w:rsid w:val="50637DC9"/>
    <w:rsid w:val="50666FB5"/>
    <w:rsid w:val="5084EDCC"/>
    <w:rsid w:val="50C12503"/>
    <w:rsid w:val="50CCB74F"/>
    <w:rsid w:val="50DFE78B"/>
    <w:rsid w:val="50E3E658"/>
    <w:rsid w:val="50FB6D93"/>
    <w:rsid w:val="5148E104"/>
    <w:rsid w:val="516A5D8D"/>
    <w:rsid w:val="516B6411"/>
    <w:rsid w:val="518697EF"/>
    <w:rsid w:val="518D18FD"/>
    <w:rsid w:val="51AA7158"/>
    <w:rsid w:val="51D89DC8"/>
    <w:rsid w:val="51E74740"/>
    <w:rsid w:val="520491B6"/>
    <w:rsid w:val="52075218"/>
    <w:rsid w:val="521276D5"/>
    <w:rsid w:val="52228CEC"/>
    <w:rsid w:val="522BAA30"/>
    <w:rsid w:val="52483887"/>
    <w:rsid w:val="52506EFB"/>
    <w:rsid w:val="52A54352"/>
    <w:rsid w:val="52B63AAA"/>
    <w:rsid w:val="52BF450B"/>
    <w:rsid w:val="52D051BA"/>
    <w:rsid w:val="53095101"/>
    <w:rsid w:val="53302A42"/>
    <w:rsid w:val="533B097E"/>
    <w:rsid w:val="533F5FA5"/>
    <w:rsid w:val="5343FFC3"/>
    <w:rsid w:val="5393E1B5"/>
    <w:rsid w:val="5395E83F"/>
    <w:rsid w:val="53B2BDED"/>
    <w:rsid w:val="53EDDAF6"/>
    <w:rsid w:val="541D184D"/>
    <w:rsid w:val="54807021"/>
    <w:rsid w:val="548487F1"/>
    <w:rsid w:val="549E205D"/>
    <w:rsid w:val="54A21FCB"/>
    <w:rsid w:val="54CCAC62"/>
    <w:rsid w:val="54CD3C79"/>
    <w:rsid w:val="54FABA1A"/>
    <w:rsid w:val="5514494C"/>
    <w:rsid w:val="5527C525"/>
    <w:rsid w:val="554741BF"/>
    <w:rsid w:val="55764B5E"/>
    <w:rsid w:val="558D5759"/>
    <w:rsid w:val="558FE2EA"/>
    <w:rsid w:val="55B3589F"/>
    <w:rsid w:val="55E82DA9"/>
    <w:rsid w:val="55EE36E1"/>
    <w:rsid w:val="55F0509E"/>
    <w:rsid w:val="561882F2"/>
    <w:rsid w:val="5651F24C"/>
    <w:rsid w:val="56545C32"/>
    <w:rsid w:val="569029F8"/>
    <w:rsid w:val="5693F8F2"/>
    <w:rsid w:val="56B443FE"/>
    <w:rsid w:val="56B7B957"/>
    <w:rsid w:val="56E1088E"/>
    <w:rsid w:val="56EE790F"/>
    <w:rsid w:val="570C83A8"/>
    <w:rsid w:val="572008CF"/>
    <w:rsid w:val="5741F4DC"/>
    <w:rsid w:val="5744C27E"/>
    <w:rsid w:val="575229E5"/>
    <w:rsid w:val="57640571"/>
    <w:rsid w:val="577DCFCE"/>
    <w:rsid w:val="5783BFFB"/>
    <w:rsid w:val="57A0141F"/>
    <w:rsid w:val="57A07CFD"/>
    <w:rsid w:val="57B788BD"/>
    <w:rsid w:val="57F5B24A"/>
    <w:rsid w:val="57FA7F79"/>
    <w:rsid w:val="582848CA"/>
    <w:rsid w:val="582AB673"/>
    <w:rsid w:val="58382D00"/>
    <w:rsid w:val="587B5E3A"/>
    <w:rsid w:val="58B738AA"/>
    <w:rsid w:val="58BC1FE3"/>
    <w:rsid w:val="58F33C95"/>
    <w:rsid w:val="590AA82E"/>
    <w:rsid w:val="59232B8E"/>
    <w:rsid w:val="594CA767"/>
    <w:rsid w:val="595A2B22"/>
    <w:rsid w:val="595A9B6A"/>
    <w:rsid w:val="596AF1A2"/>
    <w:rsid w:val="59718F5A"/>
    <w:rsid w:val="598CC95A"/>
    <w:rsid w:val="599D54E7"/>
    <w:rsid w:val="59A13AB0"/>
    <w:rsid w:val="59A89F8A"/>
    <w:rsid w:val="59AAED6F"/>
    <w:rsid w:val="59C76B6B"/>
    <w:rsid w:val="59CBFBBB"/>
    <w:rsid w:val="59EBC343"/>
    <w:rsid w:val="5A13F959"/>
    <w:rsid w:val="5A2F8B70"/>
    <w:rsid w:val="5A32D38F"/>
    <w:rsid w:val="5A451ED5"/>
    <w:rsid w:val="5A66303F"/>
    <w:rsid w:val="5A79601A"/>
    <w:rsid w:val="5AD7638C"/>
    <w:rsid w:val="5ADB4869"/>
    <w:rsid w:val="5AE36338"/>
    <w:rsid w:val="5B08ACBC"/>
    <w:rsid w:val="5B283170"/>
    <w:rsid w:val="5B38B10A"/>
    <w:rsid w:val="5B474C6A"/>
    <w:rsid w:val="5B57DA15"/>
    <w:rsid w:val="5B93AEA8"/>
    <w:rsid w:val="5BA1881E"/>
    <w:rsid w:val="5BA812D4"/>
    <w:rsid w:val="5BB5A8C3"/>
    <w:rsid w:val="5BC51248"/>
    <w:rsid w:val="5BFB0CA4"/>
    <w:rsid w:val="5C27B5D9"/>
    <w:rsid w:val="5C42E734"/>
    <w:rsid w:val="5C5229C6"/>
    <w:rsid w:val="5CCD3CFC"/>
    <w:rsid w:val="5CE47F09"/>
    <w:rsid w:val="5CECDD18"/>
    <w:rsid w:val="5CF4B312"/>
    <w:rsid w:val="5D18B514"/>
    <w:rsid w:val="5D287832"/>
    <w:rsid w:val="5D3CFC77"/>
    <w:rsid w:val="5D50EA7C"/>
    <w:rsid w:val="5D59B55A"/>
    <w:rsid w:val="5D71514F"/>
    <w:rsid w:val="5D82DCF9"/>
    <w:rsid w:val="5D89FA6D"/>
    <w:rsid w:val="5D9AEC4F"/>
    <w:rsid w:val="5DA98EB1"/>
    <w:rsid w:val="5DB55F41"/>
    <w:rsid w:val="5DE0603A"/>
    <w:rsid w:val="5E3B8325"/>
    <w:rsid w:val="5E42E5FD"/>
    <w:rsid w:val="5E454A74"/>
    <w:rsid w:val="5E657568"/>
    <w:rsid w:val="5E98A06E"/>
    <w:rsid w:val="5EAFC933"/>
    <w:rsid w:val="5EE56428"/>
    <w:rsid w:val="5EFB6057"/>
    <w:rsid w:val="5F1FD545"/>
    <w:rsid w:val="5F495834"/>
    <w:rsid w:val="5F98F612"/>
    <w:rsid w:val="5F9CEB87"/>
    <w:rsid w:val="5FE58C82"/>
    <w:rsid w:val="5FFEA2BD"/>
    <w:rsid w:val="6013F3EA"/>
    <w:rsid w:val="6024DF5D"/>
    <w:rsid w:val="604293B9"/>
    <w:rsid w:val="605B1472"/>
    <w:rsid w:val="607F50C2"/>
    <w:rsid w:val="607FFE9F"/>
    <w:rsid w:val="60AD7F47"/>
    <w:rsid w:val="60CCF060"/>
    <w:rsid w:val="60F1480E"/>
    <w:rsid w:val="612B16F4"/>
    <w:rsid w:val="6132279A"/>
    <w:rsid w:val="616A31A7"/>
    <w:rsid w:val="616EE0D8"/>
    <w:rsid w:val="61758DDB"/>
    <w:rsid w:val="6175FF43"/>
    <w:rsid w:val="6191C376"/>
    <w:rsid w:val="61BCAB76"/>
    <w:rsid w:val="61D6306A"/>
    <w:rsid w:val="61F8D487"/>
    <w:rsid w:val="621DF646"/>
    <w:rsid w:val="622F859E"/>
    <w:rsid w:val="62305DE2"/>
    <w:rsid w:val="62402003"/>
    <w:rsid w:val="625130BD"/>
    <w:rsid w:val="626B442D"/>
    <w:rsid w:val="62787C32"/>
    <w:rsid w:val="628B4D79"/>
    <w:rsid w:val="62AD7880"/>
    <w:rsid w:val="62CECC8E"/>
    <w:rsid w:val="63071056"/>
    <w:rsid w:val="630F7896"/>
    <w:rsid w:val="6341A747"/>
    <w:rsid w:val="639E900C"/>
    <w:rsid w:val="63D5D12A"/>
    <w:rsid w:val="63EDD4A4"/>
    <w:rsid w:val="64119F52"/>
    <w:rsid w:val="6449882D"/>
    <w:rsid w:val="6477A273"/>
    <w:rsid w:val="648F5E4E"/>
    <w:rsid w:val="64A83FAB"/>
    <w:rsid w:val="64BE5D44"/>
    <w:rsid w:val="64E33C94"/>
    <w:rsid w:val="64E4F961"/>
    <w:rsid w:val="64E79F24"/>
    <w:rsid w:val="6516980C"/>
    <w:rsid w:val="651B141F"/>
    <w:rsid w:val="6573D64E"/>
    <w:rsid w:val="657D9596"/>
    <w:rsid w:val="6595BB33"/>
    <w:rsid w:val="65961D94"/>
    <w:rsid w:val="659CB3F1"/>
    <w:rsid w:val="65AA087E"/>
    <w:rsid w:val="65DAE44D"/>
    <w:rsid w:val="661588D6"/>
    <w:rsid w:val="662F177A"/>
    <w:rsid w:val="664E3F45"/>
    <w:rsid w:val="668A8549"/>
    <w:rsid w:val="66989628"/>
    <w:rsid w:val="669AE4F2"/>
    <w:rsid w:val="66A1369D"/>
    <w:rsid w:val="66B6DB4C"/>
    <w:rsid w:val="66B7C78B"/>
    <w:rsid w:val="66BFA4F0"/>
    <w:rsid w:val="66C3A077"/>
    <w:rsid w:val="66E7E1D7"/>
    <w:rsid w:val="66E83D3F"/>
    <w:rsid w:val="672F3883"/>
    <w:rsid w:val="677C15E5"/>
    <w:rsid w:val="6786EB7F"/>
    <w:rsid w:val="678B9D49"/>
    <w:rsid w:val="67AA2A87"/>
    <w:rsid w:val="67B342B6"/>
    <w:rsid w:val="67BB3579"/>
    <w:rsid w:val="67E60B12"/>
    <w:rsid w:val="68221C7F"/>
    <w:rsid w:val="68226811"/>
    <w:rsid w:val="6840FFC9"/>
    <w:rsid w:val="684A1EDD"/>
    <w:rsid w:val="685FA488"/>
    <w:rsid w:val="6867D88E"/>
    <w:rsid w:val="68722D55"/>
    <w:rsid w:val="687F6577"/>
    <w:rsid w:val="68D5ADA9"/>
    <w:rsid w:val="6969453D"/>
    <w:rsid w:val="6984A80D"/>
    <w:rsid w:val="69A953BA"/>
    <w:rsid w:val="69FCFA1F"/>
    <w:rsid w:val="6A21471A"/>
    <w:rsid w:val="6A2BF590"/>
    <w:rsid w:val="6A48C25B"/>
    <w:rsid w:val="6A606167"/>
    <w:rsid w:val="6A78EC70"/>
    <w:rsid w:val="6A904AE7"/>
    <w:rsid w:val="6B12FF49"/>
    <w:rsid w:val="6B4E7429"/>
    <w:rsid w:val="6B6AF4CD"/>
    <w:rsid w:val="6B6F4ABA"/>
    <w:rsid w:val="6B6FB579"/>
    <w:rsid w:val="6BA08A80"/>
    <w:rsid w:val="6BA954CA"/>
    <w:rsid w:val="6BD0C734"/>
    <w:rsid w:val="6C01790C"/>
    <w:rsid w:val="6C16B05F"/>
    <w:rsid w:val="6C40492C"/>
    <w:rsid w:val="6C64543C"/>
    <w:rsid w:val="6C7020E2"/>
    <w:rsid w:val="6CCA7D30"/>
    <w:rsid w:val="6CD29F52"/>
    <w:rsid w:val="6CEE80AC"/>
    <w:rsid w:val="6D2C8FB0"/>
    <w:rsid w:val="6D380F8D"/>
    <w:rsid w:val="6D3D2B02"/>
    <w:rsid w:val="6D4F46DF"/>
    <w:rsid w:val="6DDDC8C2"/>
    <w:rsid w:val="6E273F18"/>
    <w:rsid w:val="6E3611A1"/>
    <w:rsid w:val="6E62C716"/>
    <w:rsid w:val="6E6BEB14"/>
    <w:rsid w:val="6ED916E7"/>
    <w:rsid w:val="6F0FECA0"/>
    <w:rsid w:val="6F19CF90"/>
    <w:rsid w:val="6F4A50DF"/>
    <w:rsid w:val="6F500E32"/>
    <w:rsid w:val="6F82CED9"/>
    <w:rsid w:val="6F9847DE"/>
    <w:rsid w:val="6FC2479D"/>
    <w:rsid w:val="6FDEED4E"/>
    <w:rsid w:val="7001A34E"/>
    <w:rsid w:val="7033AF87"/>
    <w:rsid w:val="703A668C"/>
    <w:rsid w:val="705A03FE"/>
    <w:rsid w:val="70642139"/>
    <w:rsid w:val="706694F6"/>
    <w:rsid w:val="706FBF76"/>
    <w:rsid w:val="707E89DA"/>
    <w:rsid w:val="7093874A"/>
    <w:rsid w:val="70960983"/>
    <w:rsid w:val="70A5DE40"/>
    <w:rsid w:val="70B52F54"/>
    <w:rsid w:val="70B548F8"/>
    <w:rsid w:val="70B78DF3"/>
    <w:rsid w:val="70D20EC1"/>
    <w:rsid w:val="70DB2648"/>
    <w:rsid w:val="71062265"/>
    <w:rsid w:val="710B7191"/>
    <w:rsid w:val="71580285"/>
    <w:rsid w:val="717C2FD6"/>
    <w:rsid w:val="71C4BD2B"/>
    <w:rsid w:val="71D1A076"/>
    <w:rsid w:val="71DB400D"/>
    <w:rsid w:val="71F3D7BE"/>
    <w:rsid w:val="722F9253"/>
    <w:rsid w:val="723B2F37"/>
    <w:rsid w:val="72438AF7"/>
    <w:rsid w:val="72490010"/>
    <w:rsid w:val="72732AB0"/>
    <w:rsid w:val="72DABBF7"/>
    <w:rsid w:val="72DC6EF2"/>
    <w:rsid w:val="72FB4E30"/>
    <w:rsid w:val="731ACB0B"/>
    <w:rsid w:val="7339A382"/>
    <w:rsid w:val="734DB84B"/>
    <w:rsid w:val="734EE67A"/>
    <w:rsid w:val="735A5386"/>
    <w:rsid w:val="73675DEE"/>
    <w:rsid w:val="736B9A73"/>
    <w:rsid w:val="73A06F3C"/>
    <w:rsid w:val="73BDE6FA"/>
    <w:rsid w:val="73D4988C"/>
    <w:rsid w:val="73DE2CAF"/>
    <w:rsid w:val="745E60EF"/>
    <w:rsid w:val="7468C6BA"/>
    <w:rsid w:val="7480AB1B"/>
    <w:rsid w:val="748C4740"/>
    <w:rsid w:val="748FEF18"/>
    <w:rsid w:val="749B9CF0"/>
    <w:rsid w:val="749D8D02"/>
    <w:rsid w:val="74C4E189"/>
    <w:rsid w:val="74F3B4D7"/>
    <w:rsid w:val="760E5F99"/>
    <w:rsid w:val="7642E0F7"/>
    <w:rsid w:val="766D86B0"/>
    <w:rsid w:val="768072DA"/>
    <w:rsid w:val="7695554F"/>
    <w:rsid w:val="76B652F4"/>
    <w:rsid w:val="76C01DBD"/>
    <w:rsid w:val="76DA1C94"/>
    <w:rsid w:val="76E021F7"/>
    <w:rsid w:val="7702C02A"/>
    <w:rsid w:val="770332CE"/>
    <w:rsid w:val="77463A5A"/>
    <w:rsid w:val="7748FB74"/>
    <w:rsid w:val="77693819"/>
    <w:rsid w:val="777E3C27"/>
    <w:rsid w:val="7786CCD0"/>
    <w:rsid w:val="779F48C9"/>
    <w:rsid w:val="77A0F49C"/>
    <w:rsid w:val="77A1B979"/>
    <w:rsid w:val="77B560C8"/>
    <w:rsid w:val="77BC4741"/>
    <w:rsid w:val="77C69C88"/>
    <w:rsid w:val="77F4F31F"/>
    <w:rsid w:val="7815DF13"/>
    <w:rsid w:val="78255470"/>
    <w:rsid w:val="789913CA"/>
    <w:rsid w:val="78B83667"/>
    <w:rsid w:val="78C51BE4"/>
    <w:rsid w:val="78E88CA3"/>
    <w:rsid w:val="790439B9"/>
    <w:rsid w:val="7925FE94"/>
    <w:rsid w:val="7968BA23"/>
    <w:rsid w:val="797B1645"/>
    <w:rsid w:val="798A4B40"/>
    <w:rsid w:val="79CE859F"/>
    <w:rsid w:val="79D11DF8"/>
    <w:rsid w:val="79F16696"/>
    <w:rsid w:val="7A001BDE"/>
    <w:rsid w:val="7A007C32"/>
    <w:rsid w:val="7A4362AF"/>
    <w:rsid w:val="7A522A83"/>
    <w:rsid w:val="7A8E3345"/>
    <w:rsid w:val="7AAC6B3E"/>
    <w:rsid w:val="7AB06D31"/>
    <w:rsid w:val="7AC0B9BE"/>
    <w:rsid w:val="7AC97A2A"/>
    <w:rsid w:val="7ADC4CD6"/>
    <w:rsid w:val="7B0DFA0F"/>
    <w:rsid w:val="7B2D7FAC"/>
    <w:rsid w:val="7B2E768A"/>
    <w:rsid w:val="7B2F3A43"/>
    <w:rsid w:val="7B3CFED1"/>
    <w:rsid w:val="7B86DF4E"/>
    <w:rsid w:val="7B9040EC"/>
    <w:rsid w:val="7B916500"/>
    <w:rsid w:val="7B96369D"/>
    <w:rsid w:val="7BB9DCF9"/>
    <w:rsid w:val="7BC14318"/>
    <w:rsid w:val="7BC7E889"/>
    <w:rsid w:val="7BDB3A55"/>
    <w:rsid w:val="7BF23366"/>
    <w:rsid w:val="7BFA04DE"/>
    <w:rsid w:val="7C3A6AD7"/>
    <w:rsid w:val="7C65C38F"/>
    <w:rsid w:val="7C6731F1"/>
    <w:rsid w:val="7C687DD9"/>
    <w:rsid w:val="7C695FCA"/>
    <w:rsid w:val="7C8C450F"/>
    <w:rsid w:val="7D26509F"/>
    <w:rsid w:val="7D58D1EB"/>
    <w:rsid w:val="7D6A26A8"/>
    <w:rsid w:val="7D753C19"/>
    <w:rsid w:val="7D777060"/>
    <w:rsid w:val="7D8D1A2F"/>
    <w:rsid w:val="7DC44250"/>
    <w:rsid w:val="7E2D587D"/>
    <w:rsid w:val="7E4A90E8"/>
    <w:rsid w:val="7E4B88DD"/>
    <w:rsid w:val="7E6FEAC4"/>
    <w:rsid w:val="7E73D314"/>
    <w:rsid w:val="7E845713"/>
    <w:rsid w:val="7E862AE1"/>
    <w:rsid w:val="7EA02075"/>
    <w:rsid w:val="7EAB38D0"/>
    <w:rsid w:val="7EAFBA57"/>
    <w:rsid w:val="7EDF0CFA"/>
    <w:rsid w:val="7F65F5D4"/>
    <w:rsid w:val="7F697A2D"/>
    <w:rsid w:val="7FA49EEA"/>
    <w:rsid w:val="7FD3D1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739A9"/>
  <w15:chartTrackingRefBased/>
  <w15:docId w15:val="{E34F7F1E-0CDA-4798-87AF-EE409B35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95E"/>
    <w:pPr>
      <w:tabs>
        <w:tab w:val="left" w:pos="260"/>
      </w:tabs>
      <w:spacing w:after="240" w:line="360" w:lineRule="auto"/>
      <w:jc w:val="both"/>
    </w:pPr>
    <w:rPr>
      <w:rFonts w:ascii="Calibri" w:hAnsi="Calibri" w:cs="Calibri"/>
    </w:rPr>
  </w:style>
  <w:style w:type="paragraph" w:styleId="Heading1">
    <w:name w:val="heading 1"/>
    <w:basedOn w:val="Normal"/>
    <w:next w:val="Normal"/>
    <w:link w:val="Heading1Char"/>
    <w:uiPriority w:val="9"/>
    <w:qFormat/>
    <w:rsid w:val="00467270"/>
    <w:pPr>
      <w:numPr>
        <w:numId w:val="3"/>
      </w:numPr>
      <w:outlineLvl w:val="0"/>
    </w:pPr>
    <w:rPr>
      <w:b/>
      <w:bCs/>
    </w:rPr>
  </w:style>
  <w:style w:type="paragraph" w:styleId="Heading2">
    <w:name w:val="heading 2"/>
    <w:basedOn w:val="Normal"/>
    <w:next w:val="Normal"/>
    <w:link w:val="Heading2Char"/>
    <w:uiPriority w:val="9"/>
    <w:unhideWhenUsed/>
    <w:qFormat/>
    <w:rsid w:val="00467270"/>
    <w:pPr>
      <w:numPr>
        <w:ilvl w:val="1"/>
        <w:numId w:val="3"/>
      </w:numPr>
      <w:outlineLvl w:val="1"/>
    </w:pPr>
    <w:rPr>
      <w:i/>
      <w:iCs/>
    </w:rPr>
  </w:style>
  <w:style w:type="paragraph" w:styleId="Heading3">
    <w:name w:val="heading 3"/>
    <w:basedOn w:val="Normal"/>
    <w:next w:val="Normal"/>
    <w:link w:val="Heading3Char"/>
    <w:uiPriority w:val="9"/>
    <w:unhideWhenUsed/>
    <w:qFormat/>
    <w:rsid w:val="0046727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67270"/>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7270"/>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67270"/>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67270"/>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6727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727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270"/>
    <w:rPr>
      <w:b/>
      <w:bCs/>
    </w:rPr>
  </w:style>
  <w:style w:type="character" w:customStyle="1" w:styleId="Heading2Char">
    <w:name w:val="Heading 2 Char"/>
    <w:basedOn w:val="DefaultParagraphFont"/>
    <w:link w:val="Heading2"/>
    <w:uiPriority w:val="9"/>
    <w:rsid w:val="00467270"/>
    <w:rPr>
      <w:i/>
      <w:iCs/>
    </w:rPr>
  </w:style>
  <w:style w:type="character" w:customStyle="1" w:styleId="Heading3Char">
    <w:name w:val="Heading 3 Char"/>
    <w:basedOn w:val="DefaultParagraphFont"/>
    <w:link w:val="Heading3"/>
    <w:uiPriority w:val="9"/>
    <w:rsid w:val="0046727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672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6727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672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672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672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727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467270"/>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CD7065"/>
    <w:rPr>
      <w:color w:val="605E5C"/>
      <w:shd w:val="clear" w:color="auto" w:fill="E1DFDD"/>
    </w:rPr>
  </w:style>
  <w:style w:type="paragraph" w:customStyle="1" w:styleId="xmsonormal">
    <w:name w:val="x_msonormal"/>
    <w:basedOn w:val="Normal"/>
    <w:rsid w:val="00EF2F96"/>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307B14"/>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5530"/>
    <w:rPr>
      <w:color w:val="954F72" w:themeColor="followedHyperlink"/>
      <w:u w:val="single"/>
    </w:rPr>
  </w:style>
  <w:style w:type="paragraph" w:styleId="CommentText">
    <w:name w:val="annotation text"/>
    <w:basedOn w:val="Normal"/>
    <w:link w:val="CommentTextChar"/>
    <w:uiPriority w:val="99"/>
    <w:unhideWhenUsed/>
    <w:rsid w:val="004347ED"/>
    <w:pPr>
      <w:spacing w:before="120" w:after="120"/>
    </w:pPr>
    <w:rPr>
      <w:kern w:val="2"/>
      <w:sz w:val="20"/>
      <w:szCs w:val="20"/>
      <w14:ligatures w14:val="standardContextual"/>
    </w:rPr>
  </w:style>
  <w:style w:type="character" w:customStyle="1" w:styleId="CommentTextChar">
    <w:name w:val="Comment Text Char"/>
    <w:basedOn w:val="DefaultParagraphFont"/>
    <w:link w:val="CommentText"/>
    <w:uiPriority w:val="99"/>
    <w:rsid w:val="004347ED"/>
    <w:rPr>
      <w:kern w:val="2"/>
      <w:sz w:val="20"/>
      <w:szCs w:val="20"/>
      <w14:ligatures w14:val="standardContextual"/>
    </w:rPr>
  </w:style>
  <w:style w:type="character" w:styleId="CommentReference">
    <w:name w:val="annotation reference"/>
    <w:basedOn w:val="DefaultParagraphFont"/>
    <w:uiPriority w:val="99"/>
    <w:semiHidden/>
    <w:unhideWhenUsed/>
    <w:rsid w:val="004347ED"/>
    <w:rPr>
      <w:sz w:val="16"/>
      <w:szCs w:val="16"/>
    </w:rPr>
  </w:style>
  <w:style w:type="paragraph" w:styleId="NoSpacing">
    <w:name w:val="No Spacing"/>
    <w:uiPriority w:val="1"/>
    <w:qFormat/>
    <w:rsid w:val="00483EE1"/>
    <w:pPr>
      <w:spacing w:after="0" w:line="240" w:lineRule="auto"/>
    </w:pPr>
  </w:style>
  <w:style w:type="paragraph" w:customStyle="1" w:styleId="Bibliografa1">
    <w:name w:val="Bibliografía1"/>
    <w:basedOn w:val="Normal"/>
    <w:link w:val="BibliographyCar"/>
    <w:rsid w:val="008827C4"/>
    <w:pPr>
      <w:ind w:left="264" w:hanging="264"/>
    </w:pPr>
  </w:style>
  <w:style w:type="character" w:customStyle="1" w:styleId="BibliographyCar">
    <w:name w:val="Bibliography Car"/>
    <w:basedOn w:val="DefaultParagraphFont"/>
    <w:link w:val="Bibliografa1"/>
    <w:rsid w:val="008827C4"/>
  </w:style>
  <w:style w:type="paragraph" w:styleId="CommentSubject">
    <w:name w:val="annotation subject"/>
    <w:basedOn w:val="CommentText"/>
    <w:next w:val="CommentText"/>
    <w:link w:val="CommentSubjectChar"/>
    <w:uiPriority w:val="99"/>
    <w:semiHidden/>
    <w:unhideWhenUsed/>
    <w:rsid w:val="00CC3490"/>
    <w:pPr>
      <w:spacing w:before="0" w:after="160"/>
    </w:pPr>
    <w:rPr>
      <w:b/>
      <w:bCs/>
      <w:kern w:val="0"/>
      <w14:ligatures w14:val="none"/>
    </w:rPr>
  </w:style>
  <w:style w:type="character" w:customStyle="1" w:styleId="CommentSubjectChar">
    <w:name w:val="Comment Subject Char"/>
    <w:basedOn w:val="CommentTextChar"/>
    <w:link w:val="CommentSubject"/>
    <w:uiPriority w:val="99"/>
    <w:semiHidden/>
    <w:rsid w:val="00CC3490"/>
    <w:rPr>
      <w:b/>
      <w:bCs/>
      <w:kern w:val="2"/>
      <w:sz w:val="20"/>
      <w:szCs w:val="20"/>
      <w14:ligatures w14:val="standardContextual"/>
    </w:rPr>
  </w:style>
  <w:style w:type="character" w:styleId="Mention">
    <w:name w:val="Mention"/>
    <w:basedOn w:val="DefaultParagraphFont"/>
    <w:uiPriority w:val="99"/>
    <w:unhideWhenUsed/>
    <w:rsid w:val="00CC3490"/>
    <w:rPr>
      <w:color w:val="2B579A"/>
      <w:shd w:val="clear" w:color="auto" w:fill="E1DFDD"/>
    </w:rPr>
  </w:style>
  <w:style w:type="table" w:styleId="TableGrid">
    <w:name w:val="Table Grid"/>
    <w:basedOn w:val="TableNormal"/>
    <w:uiPriority w:val="39"/>
    <w:rsid w:val="004F0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fa2">
    <w:name w:val="Bibliografía2"/>
    <w:basedOn w:val="Normal"/>
    <w:link w:val="BibliographyCar1"/>
    <w:rsid w:val="00C72D9C"/>
    <w:pPr>
      <w:spacing w:after="0"/>
      <w:ind w:left="720" w:hanging="720"/>
    </w:pPr>
  </w:style>
  <w:style w:type="character" w:customStyle="1" w:styleId="BibliographyCar1">
    <w:name w:val="Bibliography Car1"/>
    <w:basedOn w:val="DefaultParagraphFont"/>
    <w:link w:val="Bibliografa2"/>
    <w:rsid w:val="00C72D9C"/>
    <w:rPr>
      <w:rFonts w:ascii="Calibri" w:hAnsi="Calibri" w:cs="Calibri"/>
    </w:rPr>
  </w:style>
  <w:style w:type="paragraph" w:customStyle="1" w:styleId="msonormal0">
    <w:name w:val="msonormal"/>
    <w:basedOn w:val="Normal"/>
    <w:rsid w:val="00013BF6"/>
    <w:pPr>
      <w:tabs>
        <w:tab w:val="clear" w:pos="260"/>
      </w:tabs>
      <w:spacing w:before="100" w:beforeAutospacing="1" w:after="100" w:afterAutospacing="1"/>
      <w:jc w:val="left"/>
    </w:pPr>
    <w:rPr>
      <w:rFonts w:ascii="Times New Roman" w:eastAsia="Times New Roman" w:hAnsi="Times New Roman" w:cs="Times New Roman"/>
      <w:sz w:val="24"/>
      <w:szCs w:val="24"/>
      <w:lang w:val="es-US" w:eastAsia="es-MX"/>
    </w:rPr>
  </w:style>
  <w:style w:type="paragraph" w:customStyle="1" w:styleId="xl63">
    <w:name w:val="xl63"/>
    <w:basedOn w:val="Normal"/>
    <w:rsid w:val="00013BF6"/>
    <w:pPr>
      <w:tabs>
        <w:tab w:val="clear" w:pos="260"/>
      </w:tabs>
      <w:spacing w:before="100" w:beforeAutospacing="1" w:after="100" w:afterAutospacing="1"/>
      <w:jc w:val="center"/>
    </w:pPr>
    <w:rPr>
      <w:rFonts w:ascii="Times New Roman" w:eastAsia="Times New Roman" w:hAnsi="Times New Roman" w:cs="Times New Roman"/>
      <w:sz w:val="24"/>
      <w:szCs w:val="24"/>
      <w:lang w:val="es-US" w:eastAsia="es-MX"/>
    </w:rPr>
  </w:style>
  <w:style w:type="paragraph" w:customStyle="1" w:styleId="xl65">
    <w:name w:val="xl65"/>
    <w:basedOn w:val="Normal"/>
    <w:rsid w:val="00476400"/>
    <w:pPr>
      <w:tabs>
        <w:tab w:val="clear" w:pos="260"/>
      </w:tabs>
      <w:spacing w:before="100" w:beforeAutospacing="1" w:after="100" w:afterAutospacing="1"/>
      <w:jc w:val="center"/>
    </w:pPr>
    <w:rPr>
      <w:rFonts w:ascii="Times New Roman" w:eastAsia="Times New Roman" w:hAnsi="Times New Roman" w:cs="Times New Roman"/>
      <w:sz w:val="24"/>
      <w:szCs w:val="24"/>
      <w:lang w:val="es-US" w:eastAsia="es-MX"/>
    </w:rPr>
  </w:style>
  <w:style w:type="paragraph" w:styleId="Header">
    <w:name w:val="header"/>
    <w:basedOn w:val="Normal"/>
    <w:link w:val="HeaderChar"/>
    <w:uiPriority w:val="99"/>
    <w:unhideWhenUsed/>
    <w:rsid w:val="001C2718"/>
    <w:pPr>
      <w:tabs>
        <w:tab w:val="clear" w:pos="260"/>
        <w:tab w:val="center" w:pos="4419"/>
        <w:tab w:val="right" w:pos="8838"/>
      </w:tabs>
      <w:spacing w:after="0"/>
    </w:pPr>
  </w:style>
  <w:style w:type="character" w:customStyle="1" w:styleId="HeaderChar">
    <w:name w:val="Header Char"/>
    <w:basedOn w:val="DefaultParagraphFont"/>
    <w:link w:val="Header"/>
    <w:uiPriority w:val="99"/>
    <w:rsid w:val="001C2718"/>
    <w:rPr>
      <w:rFonts w:ascii="Calibri" w:hAnsi="Calibri" w:cs="Calibri"/>
    </w:rPr>
  </w:style>
  <w:style w:type="paragraph" w:styleId="Footer">
    <w:name w:val="footer"/>
    <w:basedOn w:val="Normal"/>
    <w:link w:val="FooterChar"/>
    <w:uiPriority w:val="99"/>
    <w:unhideWhenUsed/>
    <w:rsid w:val="001C2718"/>
    <w:pPr>
      <w:tabs>
        <w:tab w:val="clear" w:pos="260"/>
        <w:tab w:val="center" w:pos="4419"/>
        <w:tab w:val="right" w:pos="8838"/>
      </w:tabs>
      <w:spacing w:after="0"/>
    </w:pPr>
  </w:style>
  <w:style w:type="character" w:customStyle="1" w:styleId="FooterChar">
    <w:name w:val="Footer Char"/>
    <w:basedOn w:val="DefaultParagraphFont"/>
    <w:link w:val="Footer"/>
    <w:uiPriority w:val="99"/>
    <w:rsid w:val="001C2718"/>
    <w:rPr>
      <w:rFonts w:ascii="Calibri" w:hAnsi="Calibri" w:cs="Calibri"/>
    </w:rPr>
  </w:style>
  <w:style w:type="paragraph" w:styleId="Revision">
    <w:name w:val="Revision"/>
    <w:hidden/>
    <w:uiPriority w:val="99"/>
    <w:semiHidden/>
    <w:rsid w:val="000C6F56"/>
    <w:pPr>
      <w:spacing w:after="0" w:line="240" w:lineRule="auto"/>
    </w:pPr>
    <w:rPr>
      <w:rFonts w:ascii="Calibri" w:hAnsi="Calibri" w:cs="Calibri"/>
    </w:rPr>
  </w:style>
  <w:style w:type="paragraph" w:customStyle="1" w:styleId="paragraph">
    <w:name w:val="paragraph"/>
    <w:basedOn w:val="Normal"/>
    <w:rsid w:val="004467DC"/>
    <w:pPr>
      <w:tabs>
        <w:tab w:val="clear" w:pos="260"/>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4467DC"/>
  </w:style>
  <w:style w:type="character" w:customStyle="1" w:styleId="eop">
    <w:name w:val="eop"/>
    <w:basedOn w:val="DefaultParagraphFont"/>
    <w:rsid w:val="004467DC"/>
  </w:style>
  <w:style w:type="character" w:customStyle="1" w:styleId="BibliographyCar2">
    <w:name w:val="Bibliography Car2"/>
    <w:basedOn w:val="DefaultParagraphFont"/>
    <w:link w:val="Bibliography1"/>
    <w:rsid w:val="0012213C"/>
    <w:rPr>
      <w:rFonts w:ascii="Calibri" w:hAnsi="Calibri" w:cs="Calibri"/>
    </w:rPr>
  </w:style>
  <w:style w:type="paragraph" w:customStyle="1" w:styleId="Bibliography1">
    <w:name w:val="Bibliography1"/>
    <w:basedOn w:val="Normal"/>
    <w:link w:val="BibliographyCar2"/>
    <w:rsid w:val="00144A22"/>
    <w:pPr>
      <w:tabs>
        <w:tab w:val="left" w:pos="380"/>
      </w:tabs>
      <w:spacing w:after="0" w:line="480" w:lineRule="auto"/>
      <w:ind w:left="384" w:hanging="384"/>
    </w:pPr>
  </w:style>
  <w:style w:type="paragraph" w:styleId="Bibliography">
    <w:name w:val="Bibliography"/>
    <w:basedOn w:val="Normal"/>
    <w:next w:val="Normal"/>
    <w:uiPriority w:val="37"/>
    <w:unhideWhenUsed/>
    <w:rsid w:val="00ED08EB"/>
    <w:pPr>
      <w:tabs>
        <w:tab w:val="left" w:pos="500"/>
      </w:tabs>
      <w:spacing w:line="240" w:lineRule="auto"/>
      <w:ind w:left="504" w:hanging="504"/>
    </w:pPr>
  </w:style>
  <w:style w:type="character" w:styleId="LineNumber">
    <w:name w:val="line number"/>
    <w:basedOn w:val="DefaultParagraphFont"/>
    <w:uiPriority w:val="99"/>
    <w:semiHidden/>
    <w:unhideWhenUsed/>
    <w:rsid w:val="00F85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7041">
      <w:bodyDiv w:val="1"/>
      <w:marLeft w:val="0"/>
      <w:marRight w:val="0"/>
      <w:marTop w:val="0"/>
      <w:marBottom w:val="0"/>
      <w:divBdr>
        <w:top w:val="none" w:sz="0" w:space="0" w:color="auto"/>
        <w:left w:val="none" w:sz="0" w:space="0" w:color="auto"/>
        <w:bottom w:val="none" w:sz="0" w:space="0" w:color="auto"/>
        <w:right w:val="none" w:sz="0" w:space="0" w:color="auto"/>
      </w:divBdr>
    </w:div>
    <w:div w:id="129637523">
      <w:bodyDiv w:val="1"/>
      <w:marLeft w:val="0"/>
      <w:marRight w:val="0"/>
      <w:marTop w:val="0"/>
      <w:marBottom w:val="0"/>
      <w:divBdr>
        <w:top w:val="none" w:sz="0" w:space="0" w:color="auto"/>
        <w:left w:val="none" w:sz="0" w:space="0" w:color="auto"/>
        <w:bottom w:val="none" w:sz="0" w:space="0" w:color="auto"/>
        <w:right w:val="none" w:sz="0" w:space="0" w:color="auto"/>
      </w:divBdr>
    </w:div>
    <w:div w:id="263728805">
      <w:bodyDiv w:val="1"/>
      <w:marLeft w:val="0"/>
      <w:marRight w:val="0"/>
      <w:marTop w:val="0"/>
      <w:marBottom w:val="0"/>
      <w:divBdr>
        <w:top w:val="none" w:sz="0" w:space="0" w:color="auto"/>
        <w:left w:val="none" w:sz="0" w:space="0" w:color="auto"/>
        <w:bottom w:val="none" w:sz="0" w:space="0" w:color="auto"/>
        <w:right w:val="none" w:sz="0" w:space="0" w:color="auto"/>
      </w:divBdr>
    </w:div>
    <w:div w:id="266892224">
      <w:bodyDiv w:val="1"/>
      <w:marLeft w:val="0"/>
      <w:marRight w:val="0"/>
      <w:marTop w:val="0"/>
      <w:marBottom w:val="0"/>
      <w:divBdr>
        <w:top w:val="none" w:sz="0" w:space="0" w:color="auto"/>
        <w:left w:val="none" w:sz="0" w:space="0" w:color="auto"/>
        <w:bottom w:val="none" w:sz="0" w:space="0" w:color="auto"/>
        <w:right w:val="none" w:sz="0" w:space="0" w:color="auto"/>
      </w:divBdr>
    </w:div>
    <w:div w:id="321390360">
      <w:bodyDiv w:val="1"/>
      <w:marLeft w:val="0"/>
      <w:marRight w:val="0"/>
      <w:marTop w:val="0"/>
      <w:marBottom w:val="0"/>
      <w:divBdr>
        <w:top w:val="none" w:sz="0" w:space="0" w:color="auto"/>
        <w:left w:val="none" w:sz="0" w:space="0" w:color="auto"/>
        <w:bottom w:val="none" w:sz="0" w:space="0" w:color="auto"/>
        <w:right w:val="none" w:sz="0" w:space="0" w:color="auto"/>
      </w:divBdr>
    </w:div>
    <w:div w:id="382339740">
      <w:bodyDiv w:val="1"/>
      <w:marLeft w:val="0"/>
      <w:marRight w:val="0"/>
      <w:marTop w:val="0"/>
      <w:marBottom w:val="0"/>
      <w:divBdr>
        <w:top w:val="none" w:sz="0" w:space="0" w:color="auto"/>
        <w:left w:val="none" w:sz="0" w:space="0" w:color="auto"/>
        <w:bottom w:val="none" w:sz="0" w:space="0" w:color="auto"/>
        <w:right w:val="none" w:sz="0" w:space="0" w:color="auto"/>
      </w:divBdr>
    </w:div>
    <w:div w:id="387192348">
      <w:bodyDiv w:val="1"/>
      <w:marLeft w:val="0"/>
      <w:marRight w:val="0"/>
      <w:marTop w:val="0"/>
      <w:marBottom w:val="0"/>
      <w:divBdr>
        <w:top w:val="none" w:sz="0" w:space="0" w:color="auto"/>
        <w:left w:val="none" w:sz="0" w:space="0" w:color="auto"/>
        <w:bottom w:val="none" w:sz="0" w:space="0" w:color="auto"/>
        <w:right w:val="none" w:sz="0" w:space="0" w:color="auto"/>
      </w:divBdr>
    </w:div>
    <w:div w:id="483355989">
      <w:bodyDiv w:val="1"/>
      <w:marLeft w:val="0"/>
      <w:marRight w:val="0"/>
      <w:marTop w:val="0"/>
      <w:marBottom w:val="0"/>
      <w:divBdr>
        <w:top w:val="none" w:sz="0" w:space="0" w:color="auto"/>
        <w:left w:val="none" w:sz="0" w:space="0" w:color="auto"/>
        <w:bottom w:val="none" w:sz="0" w:space="0" w:color="auto"/>
        <w:right w:val="none" w:sz="0" w:space="0" w:color="auto"/>
      </w:divBdr>
    </w:div>
    <w:div w:id="512763917">
      <w:bodyDiv w:val="1"/>
      <w:marLeft w:val="0"/>
      <w:marRight w:val="0"/>
      <w:marTop w:val="0"/>
      <w:marBottom w:val="0"/>
      <w:divBdr>
        <w:top w:val="none" w:sz="0" w:space="0" w:color="auto"/>
        <w:left w:val="none" w:sz="0" w:space="0" w:color="auto"/>
        <w:bottom w:val="none" w:sz="0" w:space="0" w:color="auto"/>
        <w:right w:val="none" w:sz="0" w:space="0" w:color="auto"/>
      </w:divBdr>
    </w:div>
    <w:div w:id="534923314">
      <w:bodyDiv w:val="1"/>
      <w:marLeft w:val="0"/>
      <w:marRight w:val="0"/>
      <w:marTop w:val="0"/>
      <w:marBottom w:val="0"/>
      <w:divBdr>
        <w:top w:val="none" w:sz="0" w:space="0" w:color="auto"/>
        <w:left w:val="none" w:sz="0" w:space="0" w:color="auto"/>
        <w:bottom w:val="none" w:sz="0" w:space="0" w:color="auto"/>
        <w:right w:val="none" w:sz="0" w:space="0" w:color="auto"/>
      </w:divBdr>
    </w:div>
    <w:div w:id="538201745">
      <w:bodyDiv w:val="1"/>
      <w:marLeft w:val="0"/>
      <w:marRight w:val="0"/>
      <w:marTop w:val="0"/>
      <w:marBottom w:val="0"/>
      <w:divBdr>
        <w:top w:val="none" w:sz="0" w:space="0" w:color="auto"/>
        <w:left w:val="none" w:sz="0" w:space="0" w:color="auto"/>
        <w:bottom w:val="none" w:sz="0" w:space="0" w:color="auto"/>
        <w:right w:val="none" w:sz="0" w:space="0" w:color="auto"/>
      </w:divBdr>
    </w:div>
    <w:div w:id="567617042">
      <w:bodyDiv w:val="1"/>
      <w:marLeft w:val="0"/>
      <w:marRight w:val="0"/>
      <w:marTop w:val="0"/>
      <w:marBottom w:val="0"/>
      <w:divBdr>
        <w:top w:val="none" w:sz="0" w:space="0" w:color="auto"/>
        <w:left w:val="none" w:sz="0" w:space="0" w:color="auto"/>
        <w:bottom w:val="none" w:sz="0" w:space="0" w:color="auto"/>
        <w:right w:val="none" w:sz="0" w:space="0" w:color="auto"/>
      </w:divBdr>
    </w:div>
    <w:div w:id="609240562">
      <w:bodyDiv w:val="1"/>
      <w:marLeft w:val="0"/>
      <w:marRight w:val="0"/>
      <w:marTop w:val="0"/>
      <w:marBottom w:val="0"/>
      <w:divBdr>
        <w:top w:val="none" w:sz="0" w:space="0" w:color="auto"/>
        <w:left w:val="none" w:sz="0" w:space="0" w:color="auto"/>
        <w:bottom w:val="none" w:sz="0" w:space="0" w:color="auto"/>
        <w:right w:val="none" w:sz="0" w:space="0" w:color="auto"/>
      </w:divBdr>
    </w:div>
    <w:div w:id="666052463">
      <w:bodyDiv w:val="1"/>
      <w:marLeft w:val="0"/>
      <w:marRight w:val="0"/>
      <w:marTop w:val="0"/>
      <w:marBottom w:val="0"/>
      <w:divBdr>
        <w:top w:val="none" w:sz="0" w:space="0" w:color="auto"/>
        <w:left w:val="none" w:sz="0" w:space="0" w:color="auto"/>
        <w:bottom w:val="none" w:sz="0" w:space="0" w:color="auto"/>
        <w:right w:val="none" w:sz="0" w:space="0" w:color="auto"/>
      </w:divBdr>
    </w:div>
    <w:div w:id="721365385">
      <w:bodyDiv w:val="1"/>
      <w:marLeft w:val="0"/>
      <w:marRight w:val="0"/>
      <w:marTop w:val="0"/>
      <w:marBottom w:val="0"/>
      <w:divBdr>
        <w:top w:val="none" w:sz="0" w:space="0" w:color="auto"/>
        <w:left w:val="none" w:sz="0" w:space="0" w:color="auto"/>
        <w:bottom w:val="none" w:sz="0" w:space="0" w:color="auto"/>
        <w:right w:val="none" w:sz="0" w:space="0" w:color="auto"/>
      </w:divBdr>
    </w:div>
    <w:div w:id="776679786">
      <w:bodyDiv w:val="1"/>
      <w:marLeft w:val="0"/>
      <w:marRight w:val="0"/>
      <w:marTop w:val="0"/>
      <w:marBottom w:val="0"/>
      <w:divBdr>
        <w:top w:val="none" w:sz="0" w:space="0" w:color="auto"/>
        <w:left w:val="none" w:sz="0" w:space="0" w:color="auto"/>
        <w:bottom w:val="none" w:sz="0" w:space="0" w:color="auto"/>
        <w:right w:val="none" w:sz="0" w:space="0" w:color="auto"/>
      </w:divBdr>
    </w:div>
    <w:div w:id="817527582">
      <w:bodyDiv w:val="1"/>
      <w:marLeft w:val="0"/>
      <w:marRight w:val="0"/>
      <w:marTop w:val="0"/>
      <w:marBottom w:val="0"/>
      <w:divBdr>
        <w:top w:val="none" w:sz="0" w:space="0" w:color="auto"/>
        <w:left w:val="none" w:sz="0" w:space="0" w:color="auto"/>
        <w:bottom w:val="none" w:sz="0" w:space="0" w:color="auto"/>
        <w:right w:val="none" w:sz="0" w:space="0" w:color="auto"/>
      </w:divBdr>
      <w:divsChild>
        <w:div w:id="273483444">
          <w:marLeft w:val="0"/>
          <w:marRight w:val="0"/>
          <w:marTop w:val="0"/>
          <w:marBottom w:val="0"/>
          <w:divBdr>
            <w:top w:val="none" w:sz="0" w:space="0" w:color="auto"/>
            <w:left w:val="none" w:sz="0" w:space="0" w:color="auto"/>
            <w:bottom w:val="none" w:sz="0" w:space="0" w:color="auto"/>
            <w:right w:val="none" w:sz="0" w:space="0" w:color="auto"/>
          </w:divBdr>
          <w:divsChild>
            <w:div w:id="58022544">
              <w:marLeft w:val="0"/>
              <w:marRight w:val="0"/>
              <w:marTop w:val="0"/>
              <w:marBottom w:val="0"/>
              <w:divBdr>
                <w:top w:val="none" w:sz="0" w:space="0" w:color="auto"/>
                <w:left w:val="none" w:sz="0" w:space="0" w:color="auto"/>
                <w:bottom w:val="none" w:sz="0" w:space="0" w:color="auto"/>
                <w:right w:val="none" w:sz="0" w:space="0" w:color="auto"/>
              </w:divBdr>
            </w:div>
            <w:div w:id="1678069793">
              <w:marLeft w:val="0"/>
              <w:marRight w:val="0"/>
              <w:marTop w:val="0"/>
              <w:marBottom w:val="0"/>
              <w:divBdr>
                <w:top w:val="none" w:sz="0" w:space="0" w:color="auto"/>
                <w:left w:val="none" w:sz="0" w:space="0" w:color="auto"/>
                <w:bottom w:val="none" w:sz="0" w:space="0" w:color="auto"/>
                <w:right w:val="none" w:sz="0" w:space="0" w:color="auto"/>
              </w:divBdr>
            </w:div>
            <w:div w:id="1930192996">
              <w:marLeft w:val="0"/>
              <w:marRight w:val="0"/>
              <w:marTop w:val="0"/>
              <w:marBottom w:val="0"/>
              <w:divBdr>
                <w:top w:val="none" w:sz="0" w:space="0" w:color="auto"/>
                <w:left w:val="none" w:sz="0" w:space="0" w:color="auto"/>
                <w:bottom w:val="none" w:sz="0" w:space="0" w:color="auto"/>
                <w:right w:val="none" w:sz="0" w:space="0" w:color="auto"/>
              </w:divBdr>
            </w:div>
            <w:div w:id="1953121971">
              <w:marLeft w:val="0"/>
              <w:marRight w:val="0"/>
              <w:marTop w:val="0"/>
              <w:marBottom w:val="0"/>
              <w:divBdr>
                <w:top w:val="none" w:sz="0" w:space="0" w:color="auto"/>
                <w:left w:val="none" w:sz="0" w:space="0" w:color="auto"/>
                <w:bottom w:val="none" w:sz="0" w:space="0" w:color="auto"/>
                <w:right w:val="none" w:sz="0" w:space="0" w:color="auto"/>
              </w:divBdr>
            </w:div>
          </w:divsChild>
        </w:div>
        <w:div w:id="280310103">
          <w:marLeft w:val="0"/>
          <w:marRight w:val="0"/>
          <w:marTop w:val="0"/>
          <w:marBottom w:val="0"/>
          <w:divBdr>
            <w:top w:val="none" w:sz="0" w:space="0" w:color="auto"/>
            <w:left w:val="none" w:sz="0" w:space="0" w:color="auto"/>
            <w:bottom w:val="none" w:sz="0" w:space="0" w:color="auto"/>
            <w:right w:val="none" w:sz="0" w:space="0" w:color="auto"/>
          </w:divBdr>
        </w:div>
        <w:div w:id="1040667654">
          <w:marLeft w:val="0"/>
          <w:marRight w:val="0"/>
          <w:marTop w:val="0"/>
          <w:marBottom w:val="0"/>
          <w:divBdr>
            <w:top w:val="none" w:sz="0" w:space="0" w:color="auto"/>
            <w:left w:val="none" w:sz="0" w:space="0" w:color="auto"/>
            <w:bottom w:val="none" w:sz="0" w:space="0" w:color="auto"/>
            <w:right w:val="none" w:sz="0" w:space="0" w:color="auto"/>
          </w:divBdr>
        </w:div>
        <w:div w:id="1652562153">
          <w:marLeft w:val="0"/>
          <w:marRight w:val="0"/>
          <w:marTop w:val="0"/>
          <w:marBottom w:val="0"/>
          <w:divBdr>
            <w:top w:val="none" w:sz="0" w:space="0" w:color="auto"/>
            <w:left w:val="none" w:sz="0" w:space="0" w:color="auto"/>
            <w:bottom w:val="none" w:sz="0" w:space="0" w:color="auto"/>
            <w:right w:val="none" w:sz="0" w:space="0" w:color="auto"/>
          </w:divBdr>
        </w:div>
        <w:div w:id="1765179368">
          <w:marLeft w:val="0"/>
          <w:marRight w:val="0"/>
          <w:marTop w:val="0"/>
          <w:marBottom w:val="0"/>
          <w:divBdr>
            <w:top w:val="none" w:sz="0" w:space="0" w:color="auto"/>
            <w:left w:val="none" w:sz="0" w:space="0" w:color="auto"/>
            <w:bottom w:val="none" w:sz="0" w:space="0" w:color="auto"/>
            <w:right w:val="none" w:sz="0" w:space="0" w:color="auto"/>
          </w:divBdr>
        </w:div>
      </w:divsChild>
    </w:div>
    <w:div w:id="984158750">
      <w:bodyDiv w:val="1"/>
      <w:marLeft w:val="0"/>
      <w:marRight w:val="0"/>
      <w:marTop w:val="0"/>
      <w:marBottom w:val="0"/>
      <w:divBdr>
        <w:top w:val="none" w:sz="0" w:space="0" w:color="auto"/>
        <w:left w:val="none" w:sz="0" w:space="0" w:color="auto"/>
        <w:bottom w:val="none" w:sz="0" w:space="0" w:color="auto"/>
        <w:right w:val="none" w:sz="0" w:space="0" w:color="auto"/>
      </w:divBdr>
    </w:div>
    <w:div w:id="1000816855">
      <w:bodyDiv w:val="1"/>
      <w:marLeft w:val="0"/>
      <w:marRight w:val="0"/>
      <w:marTop w:val="0"/>
      <w:marBottom w:val="0"/>
      <w:divBdr>
        <w:top w:val="none" w:sz="0" w:space="0" w:color="auto"/>
        <w:left w:val="none" w:sz="0" w:space="0" w:color="auto"/>
        <w:bottom w:val="none" w:sz="0" w:space="0" w:color="auto"/>
        <w:right w:val="none" w:sz="0" w:space="0" w:color="auto"/>
      </w:divBdr>
    </w:div>
    <w:div w:id="1041173754">
      <w:bodyDiv w:val="1"/>
      <w:marLeft w:val="0"/>
      <w:marRight w:val="0"/>
      <w:marTop w:val="0"/>
      <w:marBottom w:val="0"/>
      <w:divBdr>
        <w:top w:val="none" w:sz="0" w:space="0" w:color="auto"/>
        <w:left w:val="none" w:sz="0" w:space="0" w:color="auto"/>
        <w:bottom w:val="none" w:sz="0" w:space="0" w:color="auto"/>
        <w:right w:val="none" w:sz="0" w:space="0" w:color="auto"/>
      </w:divBdr>
    </w:div>
    <w:div w:id="1106077301">
      <w:bodyDiv w:val="1"/>
      <w:marLeft w:val="0"/>
      <w:marRight w:val="0"/>
      <w:marTop w:val="0"/>
      <w:marBottom w:val="0"/>
      <w:divBdr>
        <w:top w:val="none" w:sz="0" w:space="0" w:color="auto"/>
        <w:left w:val="none" w:sz="0" w:space="0" w:color="auto"/>
        <w:bottom w:val="none" w:sz="0" w:space="0" w:color="auto"/>
        <w:right w:val="none" w:sz="0" w:space="0" w:color="auto"/>
      </w:divBdr>
    </w:div>
    <w:div w:id="1188134501">
      <w:bodyDiv w:val="1"/>
      <w:marLeft w:val="0"/>
      <w:marRight w:val="0"/>
      <w:marTop w:val="0"/>
      <w:marBottom w:val="0"/>
      <w:divBdr>
        <w:top w:val="none" w:sz="0" w:space="0" w:color="auto"/>
        <w:left w:val="none" w:sz="0" w:space="0" w:color="auto"/>
        <w:bottom w:val="none" w:sz="0" w:space="0" w:color="auto"/>
        <w:right w:val="none" w:sz="0" w:space="0" w:color="auto"/>
      </w:divBdr>
    </w:div>
    <w:div w:id="1385325667">
      <w:bodyDiv w:val="1"/>
      <w:marLeft w:val="0"/>
      <w:marRight w:val="0"/>
      <w:marTop w:val="0"/>
      <w:marBottom w:val="0"/>
      <w:divBdr>
        <w:top w:val="none" w:sz="0" w:space="0" w:color="auto"/>
        <w:left w:val="none" w:sz="0" w:space="0" w:color="auto"/>
        <w:bottom w:val="none" w:sz="0" w:space="0" w:color="auto"/>
        <w:right w:val="none" w:sz="0" w:space="0" w:color="auto"/>
      </w:divBdr>
    </w:div>
    <w:div w:id="1430349747">
      <w:bodyDiv w:val="1"/>
      <w:marLeft w:val="0"/>
      <w:marRight w:val="0"/>
      <w:marTop w:val="0"/>
      <w:marBottom w:val="0"/>
      <w:divBdr>
        <w:top w:val="none" w:sz="0" w:space="0" w:color="auto"/>
        <w:left w:val="none" w:sz="0" w:space="0" w:color="auto"/>
        <w:bottom w:val="none" w:sz="0" w:space="0" w:color="auto"/>
        <w:right w:val="none" w:sz="0" w:space="0" w:color="auto"/>
      </w:divBdr>
    </w:div>
    <w:div w:id="1436365291">
      <w:bodyDiv w:val="1"/>
      <w:marLeft w:val="0"/>
      <w:marRight w:val="0"/>
      <w:marTop w:val="0"/>
      <w:marBottom w:val="0"/>
      <w:divBdr>
        <w:top w:val="none" w:sz="0" w:space="0" w:color="auto"/>
        <w:left w:val="none" w:sz="0" w:space="0" w:color="auto"/>
        <w:bottom w:val="none" w:sz="0" w:space="0" w:color="auto"/>
        <w:right w:val="none" w:sz="0" w:space="0" w:color="auto"/>
      </w:divBdr>
    </w:div>
    <w:div w:id="1535387246">
      <w:bodyDiv w:val="1"/>
      <w:marLeft w:val="0"/>
      <w:marRight w:val="0"/>
      <w:marTop w:val="0"/>
      <w:marBottom w:val="0"/>
      <w:divBdr>
        <w:top w:val="none" w:sz="0" w:space="0" w:color="auto"/>
        <w:left w:val="none" w:sz="0" w:space="0" w:color="auto"/>
        <w:bottom w:val="none" w:sz="0" w:space="0" w:color="auto"/>
        <w:right w:val="none" w:sz="0" w:space="0" w:color="auto"/>
      </w:divBdr>
    </w:div>
    <w:div w:id="1639413305">
      <w:bodyDiv w:val="1"/>
      <w:marLeft w:val="0"/>
      <w:marRight w:val="0"/>
      <w:marTop w:val="0"/>
      <w:marBottom w:val="0"/>
      <w:divBdr>
        <w:top w:val="none" w:sz="0" w:space="0" w:color="auto"/>
        <w:left w:val="none" w:sz="0" w:space="0" w:color="auto"/>
        <w:bottom w:val="none" w:sz="0" w:space="0" w:color="auto"/>
        <w:right w:val="none" w:sz="0" w:space="0" w:color="auto"/>
      </w:divBdr>
    </w:div>
    <w:div w:id="1687948417">
      <w:bodyDiv w:val="1"/>
      <w:marLeft w:val="0"/>
      <w:marRight w:val="0"/>
      <w:marTop w:val="0"/>
      <w:marBottom w:val="0"/>
      <w:divBdr>
        <w:top w:val="none" w:sz="0" w:space="0" w:color="auto"/>
        <w:left w:val="none" w:sz="0" w:space="0" w:color="auto"/>
        <w:bottom w:val="none" w:sz="0" w:space="0" w:color="auto"/>
        <w:right w:val="none" w:sz="0" w:space="0" w:color="auto"/>
      </w:divBdr>
      <w:divsChild>
        <w:div w:id="174150542">
          <w:marLeft w:val="0"/>
          <w:marRight w:val="0"/>
          <w:marTop w:val="0"/>
          <w:marBottom w:val="0"/>
          <w:divBdr>
            <w:top w:val="none" w:sz="0" w:space="0" w:color="auto"/>
            <w:left w:val="none" w:sz="0" w:space="0" w:color="auto"/>
            <w:bottom w:val="none" w:sz="0" w:space="0" w:color="auto"/>
            <w:right w:val="none" w:sz="0" w:space="0" w:color="auto"/>
          </w:divBdr>
        </w:div>
        <w:div w:id="185145232">
          <w:marLeft w:val="0"/>
          <w:marRight w:val="0"/>
          <w:marTop w:val="0"/>
          <w:marBottom w:val="0"/>
          <w:divBdr>
            <w:top w:val="none" w:sz="0" w:space="0" w:color="auto"/>
            <w:left w:val="none" w:sz="0" w:space="0" w:color="auto"/>
            <w:bottom w:val="none" w:sz="0" w:space="0" w:color="auto"/>
            <w:right w:val="none" w:sz="0" w:space="0" w:color="auto"/>
          </w:divBdr>
        </w:div>
        <w:div w:id="887839649">
          <w:marLeft w:val="0"/>
          <w:marRight w:val="0"/>
          <w:marTop w:val="0"/>
          <w:marBottom w:val="0"/>
          <w:divBdr>
            <w:top w:val="none" w:sz="0" w:space="0" w:color="auto"/>
            <w:left w:val="none" w:sz="0" w:space="0" w:color="auto"/>
            <w:bottom w:val="none" w:sz="0" w:space="0" w:color="auto"/>
            <w:right w:val="none" w:sz="0" w:space="0" w:color="auto"/>
          </w:divBdr>
          <w:divsChild>
            <w:div w:id="222757941">
              <w:marLeft w:val="0"/>
              <w:marRight w:val="0"/>
              <w:marTop w:val="0"/>
              <w:marBottom w:val="0"/>
              <w:divBdr>
                <w:top w:val="none" w:sz="0" w:space="0" w:color="auto"/>
                <w:left w:val="none" w:sz="0" w:space="0" w:color="auto"/>
                <w:bottom w:val="none" w:sz="0" w:space="0" w:color="auto"/>
                <w:right w:val="none" w:sz="0" w:space="0" w:color="auto"/>
              </w:divBdr>
            </w:div>
            <w:div w:id="1174300714">
              <w:marLeft w:val="0"/>
              <w:marRight w:val="0"/>
              <w:marTop w:val="0"/>
              <w:marBottom w:val="0"/>
              <w:divBdr>
                <w:top w:val="none" w:sz="0" w:space="0" w:color="auto"/>
                <w:left w:val="none" w:sz="0" w:space="0" w:color="auto"/>
                <w:bottom w:val="none" w:sz="0" w:space="0" w:color="auto"/>
                <w:right w:val="none" w:sz="0" w:space="0" w:color="auto"/>
              </w:divBdr>
            </w:div>
            <w:div w:id="1646817220">
              <w:marLeft w:val="0"/>
              <w:marRight w:val="0"/>
              <w:marTop w:val="0"/>
              <w:marBottom w:val="0"/>
              <w:divBdr>
                <w:top w:val="none" w:sz="0" w:space="0" w:color="auto"/>
                <w:left w:val="none" w:sz="0" w:space="0" w:color="auto"/>
                <w:bottom w:val="none" w:sz="0" w:space="0" w:color="auto"/>
                <w:right w:val="none" w:sz="0" w:space="0" w:color="auto"/>
              </w:divBdr>
            </w:div>
            <w:div w:id="1705981123">
              <w:marLeft w:val="0"/>
              <w:marRight w:val="0"/>
              <w:marTop w:val="0"/>
              <w:marBottom w:val="0"/>
              <w:divBdr>
                <w:top w:val="none" w:sz="0" w:space="0" w:color="auto"/>
                <w:left w:val="none" w:sz="0" w:space="0" w:color="auto"/>
                <w:bottom w:val="none" w:sz="0" w:space="0" w:color="auto"/>
                <w:right w:val="none" w:sz="0" w:space="0" w:color="auto"/>
              </w:divBdr>
            </w:div>
          </w:divsChild>
        </w:div>
        <w:div w:id="1532761142">
          <w:marLeft w:val="0"/>
          <w:marRight w:val="0"/>
          <w:marTop w:val="0"/>
          <w:marBottom w:val="0"/>
          <w:divBdr>
            <w:top w:val="none" w:sz="0" w:space="0" w:color="auto"/>
            <w:left w:val="none" w:sz="0" w:space="0" w:color="auto"/>
            <w:bottom w:val="none" w:sz="0" w:space="0" w:color="auto"/>
            <w:right w:val="none" w:sz="0" w:space="0" w:color="auto"/>
          </w:divBdr>
        </w:div>
        <w:div w:id="1816095251">
          <w:marLeft w:val="0"/>
          <w:marRight w:val="0"/>
          <w:marTop w:val="0"/>
          <w:marBottom w:val="0"/>
          <w:divBdr>
            <w:top w:val="none" w:sz="0" w:space="0" w:color="auto"/>
            <w:left w:val="none" w:sz="0" w:space="0" w:color="auto"/>
            <w:bottom w:val="none" w:sz="0" w:space="0" w:color="auto"/>
            <w:right w:val="none" w:sz="0" w:space="0" w:color="auto"/>
          </w:divBdr>
        </w:div>
      </w:divsChild>
    </w:div>
    <w:div w:id="1690644025">
      <w:bodyDiv w:val="1"/>
      <w:marLeft w:val="0"/>
      <w:marRight w:val="0"/>
      <w:marTop w:val="0"/>
      <w:marBottom w:val="0"/>
      <w:divBdr>
        <w:top w:val="none" w:sz="0" w:space="0" w:color="auto"/>
        <w:left w:val="none" w:sz="0" w:space="0" w:color="auto"/>
        <w:bottom w:val="none" w:sz="0" w:space="0" w:color="auto"/>
        <w:right w:val="none" w:sz="0" w:space="0" w:color="auto"/>
      </w:divBdr>
      <w:divsChild>
        <w:div w:id="250116663">
          <w:marLeft w:val="0"/>
          <w:marRight w:val="0"/>
          <w:marTop w:val="0"/>
          <w:marBottom w:val="0"/>
          <w:divBdr>
            <w:top w:val="none" w:sz="0" w:space="0" w:color="auto"/>
            <w:left w:val="none" w:sz="0" w:space="0" w:color="auto"/>
            <w:bottom w:val="none" w:sz="0" w:space="0" w:color="auto"/>
            <w:right w:val="none" w:sz="0" w:space="0" w:color="auto"/>
          </w:divBdr>
        </w:div>
        <w:div w:id="302780834">
          <w:marLeft w:val="0"/>
          <w:marRight w:val="0"/>
          <w:marTop w:val="0"/>
          <w:marBottom w:val="0"/>
          <w:divBdr>
            <w:top w:val="none" w:sz="0" w:space="0" w:color="auto"/>
            <w:left w:val="none" w:sz="0" w:space="0" w:color="auto"/>
            <w:bottom w:val="none" w:sz="0" w:space="0" w:color="auto"/>
            <w:right w:val="none" w:sz="0" w:space="0" w:color="auto"/>
          </w:divBdr>
        </w:div>
        <w:div w:id="1070811671">
          <w:marLeft w:val="0"/>
          <w:marRight w:val="0"/>
          <w:marTop w:val="0"/>
          <w:marBottom w:val="0"/>
          <w:divBdr>
            <w:top w:val="none" w:sz="0" w:space="0" w:color="auto"/>
            <w:left w:val="none" w:sz="0" w:space="0" w:color="auto"/>
            <w:bottom w:val="none" w:sz="0" w:space="0" w:color="auto"/>
            <w:right w:val="none" w:sz="0" w:space="0" w:color="auto"/>
          </w:divBdr>
        </w:div>
      </w:divsChild>
    </w:div>
    <w:div w:id="1698776195">
      <w:bodyDiv w:val="1"/>
      <w:marLeft w:val="0"/>
      <w:marRight w:val="0"/>
      <w:marTop w:val="0"/>
      <w:marBottom w:val="0"/>
      <w:divBdr>
        <w:top w:val="none" w:sz="0" w:space="0" w:color="auto"/>
        <w:left w:val="none" w:sz="0" w:space="0" w:color="auto"/>
        <w:bottom w:val="none" w:sz="0" w:space="0" w:color="auto"/>
        <w:right w:val="none" w:sz="0" w:space="0" w:color="auto"/>
      </w:divBdr>
    </w:div>
    <w:div w:id="1775514580">
      <w:bodyDiv w:val="1"/>
      <w:marLeft w:val="0"/>
      <w:marRight w:val="0"/>
      <w:marTop w:val="0"/>
      <w:marBottom w:val="0"/>
      <w:divBdr>
        <w:top w:val="none" w:sz="0" w:space="0" w:color="auto"/>
        <w:left w:val="none" w:sz="0" w:space="0" w:color="auto"/>
        <w:bottom w:val="none" w:sz="0" w:space="0" w:color="auto"/>
        <w:right w:val="none" w:sz="0" w:space="0" w:color="auto"/>
      </w:divBdr>
    </w:div>
    <w:div w:id="1797678265">
      <w:bodyDiv w:val="1"/>
      <w:marLeft w:val="0"/>
      <w:marRight w:val="0"/>
      <w:marTop w:val="0"/>
      <w:marBottom w:val="0"/>
      <w:divBdr>
        <w:top w:val="none" w:sz="0" w:space="0" w:color="auto"/>
        <w:left w:val="none" w:sz="0" w:space="0" w:color="auto"/>
        <w:bottom w:val="none" w:sz="0" w:space="0" w:color="auto"/>
        <w:right w:val="none" w:sz="0" w:space="0" w:color="auto"/>
      </w:divBdr>
    </w:div>
    <w:div w:id="1900163544">
      <w:bodyDiv w:val="1"/>
      <w:marLeft w:val="0"/>
      <w:marRight w:val="0"/>
      <w:marTop w:val="0"/>
      <w:marBottom w:val="0"/>
      <w:divBdr>
        <w:top w:val="none" w:sz="0" w:space="0" w:color="auto"/>
        <w:left w:val="none" w:sz="0" w:space="0" w:color="auto"/>
        <w:bottom w:val="none" w:sz="0" w:space="0" w:color="auto"/>
        <w:right w:val="none" w:sz="0" w:space="0" w:color="auto"/>
      </w:divBdr>
    </w:div>
    <w:div w:id="1984237143">
      <w:bodyDiv w:val="1"/>
      <w:marLeft w:val="0"/>
      <w:marRight w:val="0"/>
      <w:marTop w:val="0"/>
      <w:marBottom w:val="0"/>
      <w:divBdr>
        <w:top w:val="none" w:sz="0" w:space="0" w:color="auto"/>
        <w:left w:val="none" w:sz="0" w:space="0" w:color="auto"/>
        <w:bottom w:val="none" w:sz="0" w:space="0" w:color="auto"/>
        <w:right w:val="none" w:sz="0" w:space="0" w:color="auto"/>
      </w:divBdr>
    </w:div>
    <w:div w:id="2044817450">
      <w:bodyDiv w:val="1"/>
      <w:marLeft w:val="0"/>
      <w:marRight w:val="0"/>
      <w:marTop w:val="0"/>
      <w:marBottom w:val="0"/>
      <w:divBdr>
        <w:top w:val="none" w:sz="0" w:space="0" w:color="auto"/>
        <w:left w:val="none" w:sz="0" w:space="0" w:color="auto"/>
        <w:bottom w:val="none" w:sz="0" w:space="0" w:color="auto"/>
        <w:right w:val="none" w:sz="0" w:space="0" w:color="auto"/>
      </w:divBdr>
    </w:div>
    <w:div w:id="2067215039">
      <w:bodyDiv w:val="1"/>
      <w:marLeft w:val="0"/>
      <w:marRight w:val="0"/>
      <w:marTop w:val="0"/>
      <w:marBottom w:val="0"/>
      <w:divBdr>
        <w:top w:val="none" w:sz="0" w:space="0" w:color="auto"/>
        <w:left w:val="none" w:sz="0" w:space="0" w:color="auto"/>
        <w:bottom w:val="none" w:sz="0" w:space="0" w:color="auto"/>
        <w:right w:val="none" w:sz="0" w:space="0" w:color="auto"/>
      </w:divBdr>
    </w:div>
    <w:div w:id="210911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ilando@bu.ed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github.com/cmilando/FuturePredMethod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D3749-21A5-BD4B-B2F4-CCE287AC6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25</Pages>
  <Words>37590</Words>
  <Characters>214268</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Milando, Chad</dc:creator>
  <cp:keywords/>
  <dc:description/>
  <cp:lastModifiedBy>Gregory Wellenius</cp:lastModifiedBy>
  <cp:revision>359</cp:revision>
  <cp:lastPrinted>2024-10-24T06:21:00Z</cp:lastPrinted>
  <dcterms:created xsi:type="dcterms:W3CDTF">2025-02-03T16:57:00Z</dcterms:created>
  <dcterms:modified xsi:type="dcterms:W3CDTF">2025-06-02T11:44:00Z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&lt;pref name="dontAskDelayCitationUpdates" value="true"/&gt;&lt;/prefs&gt;&lt;/data&gt;</vt:lpwstr>
  </property>
  <property fmtid="{D5CDD505-2E9C-101B-9397-08002B2CF9AE}" pid="3" name="ZOTERO_PREF_1">
    <vt:lpwstr>&lt;data data-version="3" zotero-version="6.0.37"&gt;&lt;session id="5UyLc9df"/&gt;&lt;style id="http://www.zotero.org/styles/national-library-of-medicine-grant-proposals" hasBibliography="1" bibliographyStyleHasBeenSet="1"/&gt;&lt;prefs&gt;&lt;pref name="fieldType" value="Field"/&gt;</vt:lpwstr>
  </property>
</Properties>
</file>