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8F" w14:textId="77777777" w:rsidR="00A557C6" w:rsidRDefault="00000000">
      <w:pPr>
        <w:jc w:val="center"/>
        <w:rPr>
          <w:rFonts w:ascii="Times New Roman" w:hAnsi="Times New Roman" w:cs="Times New Roman"/>
          <w:b/>
          <w:bCs/>
          <w:sz w:val="28"/>
          <w:szCs w:val="36"/>
        </w:rPr>
      </w:pPr>
      <w:r>
        <w:rPr>
          <w:rFonts w:ascii="Times New Roman" w:hAnsi="Times New Roman" w:cs="Times New Roman"/>
          <w:b/>
          <w:bCs/>
          <w:sz w:val="28"/>
          <w:szCs w:val="36"/>
        </w:rPr>
        <w:t>Supplementary Materials</w:t>
      </w:r>
    </w:p>
    <w:p w14:paraId="1F1AB478" w14:textId="77777777" w:rsidR="00A557C6" w:rsidRDefault="00000000">
      <w:pPr>
        <w:rPr>
          <w:rFonts w:ascii="Times New Roman" w:hAnsi="Times New Roman" w:cs="Times New Roman"/>
          <w:b/>
          <w:bCs/>
          <w:sz w:val="28"/>
          <w:szCs w:val="36"/>
        </w:rPr>
      </w:pPr>
      <w:r>
        <w:rPr>
          <w:rFonts w:ascii="Times New Roman" w:hAnsi="Times New Roman" w:cs="Times New Roman" w:hint="eastAsia"/>
          <w:b/>
          <w:bCs/>
          <w:sz w:val="28"/>
          <w:szCs w:val="36"/>
        </w:rPr>
        <w:t>M</w:t>
      </w:r>
      <w:r>
        <w:rPr>
          <w:rFonts w:ascii="Times New Roman" w:hAnsi="Times New Roman" w:cs="Times New Roman"/>
          <w:b/>
          <w:bCs/>
          <w:sz w:val="28"/>
          <w:szCs w:val="36"/>
        </w:rPr>
        <w:t>ethod</w:t>
      </w:r>
    </w:p>
    <w:p w14:paraId="5E8A1910" w14:textId="77777777" w:rsidR="00A557C6" w:rsidRDefault="00000000">
      <w:pPr>
        <w:rPr>
          <w:rFonts w:ascii="Times New Roman" w:hAnsi="Times New Roman" w:cs="Times New Roman"/>
          <w:b/>
          <w:bCs/>
          <w:sz w:val="24"/>
          <w:szCs w:val="32"/>
        </w:rPr>
      </w:pPr>
      <w:r>
        <w:rPr>
          <w:rFonts w:ascii="Times New Roman" w:hAnsi="Times New Roman" w:cs="Times New Roman"/>
          <w:b/>
          <w:bCs/>
          <w:sz w:val="24"/>
          <w:szCs w:val="32"/>
        </w:rPr>
        <w:t>Participant recruitment</w:t>
      </w:r>
    </w:p>
    <w:p w14:paraId="72F060DD" w14:textId="77777777" w:rsidR="00A557C6" w:rsidRDefault="00000000">
      <w:pPr>
        <w:pStyle w:val="a5"/>
        <w:shd w:val="clear" w:color="auto" w:fill="FFFFFF"/>
        <w:spacing w:before="0" w:beforeAutospacing="0" w:after="0" w:afterAutospacing="0" w:line="360" w:lineRule="auto"/>
        <w:ind w:firstLine="420"/>
        <w:jc w:val="both"/>
        <w:rPr>
          <w:rFonts w:ascii="Times New Roman" w:hAnsi="Times New Roman" w:cs="Times New Roman"/>
          <w:color w:val="000000"/>
          <w:sz w:val="21"/>
          <w:szCs w:val="21"/>
        </w:rPr>
      </w:pPr>
      <w:r>
        <w:rPr>
          <w:rFonts w:ascii="Times New Roman" w:hAnsi="Times New Roman" w:cs="Times New Roman"/>
          <w:i/>
          <w:iCs/>
          <w:color w:val="000000"/>
          <w:sz w:val="21"/>
          <w:szCs w:val="21"/>
        </w:rPr>
        <w:t>Inclusion Criteria.</w:t>
      </w:r>
      <w:r>
        <w:rPr>
          <w:rFonts w:ascii="Times New Roman" w:hAnsi="Times New Roman" w:cs="Times New Roman"/>
          <w:color w:val="000000"/>
          <w:sz w:val="21"/>
          <w:szCs w:val="21"/>
        </w:rPr>
        <w:t xml:space="preserve"> P</w:t>
      </w:r>
      <w:r>
        <w:rPr>
          <w:rFonts w:ascii="Times New Roman" w:hAnsi="Times New Roman" w:cs="Times New Roman" w:hint="eastAsia"/>
          <w:color w:val="000000"/>
          <w:sz w:val="21"/>
          <w:szCs w:val="21"/>
        </w:rPr>
        <w:t>a</w:t>
      </w:r>
      <w:r>
        <w:rPr>
          <w:rFonts w:ascii="Times New Roman" w:hAnsi="Times New Roman" w:cs="Times New Roman"/>
          <w:color w:val="000000"/>
          <w:sz w:val="21"/>
          <w:szCs w:val="21"/>
        </w:rPr>
        <w:t xml:space="preserve">rticipants were required to </w:t>
      </w:r>
      <w:r>
        <w:rPr>
          <w:rStyle w:val="a6"/>
          <w:rFonts w:ascii="Times New Roman" w:hAnsi="Times New Roman" w:cs="Times New Roman"/>
          <w:b w:val="0"/>
          <w:bCs w:val="0"/>
          <w:color w:val="000000"/>
          <w:sz w:val="21"/>
          <w:szCs w:val="21"/>
        </w:rPr>
        <w:t>(1)</w:t>
      </w:r>
      <w:r>
        <w:rPr>
          <w:rFonts w:ascii="Times New Roman" w:hAnsi="Times New Roman" w:cs="Times New Roman"/>
          <w:b/>
          <w:bCs/>
          <w:color w:val="000000"/>
          <w:sz w:val="21"/>
          <w:szCs w:val="21"/>
        </w:rPr>
        <w:t xml:space="preserve"> </w:t>
      </w:r>
      <w:r>
        <w:rPr>
          <w:rFonts w:ascii="Times New Roman" w:hAnsi="Times New Roman" w:cs="Times New Roman"/>
          <w:color w:val="000000"/>
          <w:sz w:val="21"/>
          <w:szCs w:val="21"/>
        </w:rPr>
        <w:t xml:space="preserve">have a diagnosis of probable Alzheimer's disease (AD) dementia as defined by the 2011 NIA-AA core clinical criteria; </w:t>
      </w:r>
      <w:r>
        <w:rPr>
          <w:rStyle w:val="a6"/>
          <w:rFonts w:ascii="Times New Roman" w:hAnsi="Times New Roman" w:cs="Times New Roman"/>
          <w:b w:val="0"/>
          <w:bCs w:val="0"/>
          <w:color w:val="000000"/>
          <w:sz w:val="21"/>
          <w:szCs w:val="21"/>
        </w:rPr>
        <w:t>(2)</w:t>
      </w:r>
      <w:r>
        <w:rPr>
          <w:rFonts w:ascii="Times New Roman" w:hAnsi="Times New Roman" w:cs="Times New Roman"/>
          <w:b/>
          <w:bCs/>
          <w:color w:val="000000"/>
          <w:sz w:val="21"/>
          <w:szCs w:val="21"/>
        </w:rPr>
        <w:t xml:space="preserve"> </w:t>
      </w:r>
      <w:r>
        <w:rPr>
          <w:rFonts w:ascii="Times New Roman" w:hAnsi="Times New Roman" w:cs="Times New Roman"/>
          <w:color w:val="000000"/>
          <w:sz w:val="21"/>
          <w:szCs w:val="21"/>
        </w:rPr>
        <w:t xml:space="preserve">be between 50 and 80 years of age, with the stipulation that a diagnosis in participants under 65 be confirmed by biomarker evidence; </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3) MMSE score less than 20</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 xml:space="preserve"> and </w:t>
      </w:r>
      <w:r>
        <w:rPr>
          <w:rStyle w:val="a6"/>
          <w:rFonts w:ascii="Times New Roman" w:hAnsi="Times New Roman" w:cs="Times New Roman"/>
          <w:b w:val="0"/>
          <w:bCs w:val="0"/>
          <w:color w:val="000000"/>
          <w:sz w:val="21"/>
          <w:szCs w:val="21"/>
        </w:rPr>
        <w:t>(4)</w:t>
      </w:r>
      <w:r>
        <w:rPr>
          <w:rFonts w:ascii="Times New Roman" w:hAnsi="Times New Roman" w:cs="Times New Roman"/>
          <w:color w:val="000000"/>
          <w:sz w:val="21"/>
          <w:szCs w:val="21"/>
        </w:rPr>
        <w:t xml:space="preserve"> have demonstrated a lack of clinical improvement after at least six months of standard pharmacological therapy, ensuring the recruitment of a treatment-refractory population.</w:t>
      </w:r>
    </w:p>
    <w:p w14:paraId="0AC0E743" w14:textId="77777777" w:rsidR="00A557C6" w:rsidRDefault="00000000">
      <w:pPr>
        <w:pStyle w:val="a5"/>
        <w:shd w:val="clear" w:color="auto" w:fill="FFFFFF"/>
        <w:spacing w:before="0" w:beforeAutospacing="0" w:after="0" w:afterAutospacing="0" w:line="360" w:lineRule="auto"/>
        <w:ind w:firstLine="420"/>
        <w:jc w:val="both"/>
        <w:rPr>
          <w:rFonts w:ascii="Times New Roman" w:hAnsi="Times New Roman" w:cs="Times New Roman"/>
          <w:color w:val="000000"/>
          <w:sz w:val="21"/>
          <w:szCs w:val="21"/>
        </w:rPr>
      </w:pPr>
      <w:r>
        <w:rPr>
          <w:rFonts w:ascii="Times New Roman" w:hAnsi="Times New Roman" w:cs="Times New Roman"/>
          <w:i/>
          <w:iCs/>
          <w:color w:val="000000"/>
          <w:sz w:val="21"/>
          <w:szCs w:val="21"/>
        </w:rPr>
        <w:t>Exclusion Criteria.</w:t>
      </w:r>
      <w:r>
        <w:rPr>
          <w:rFonts w:ascii="Times New Roman" w:hAnsi="Times New Roman" w:cs="Times New Roman"/>
          <w:color w:val="000000"/>
          <w:sz w:val="21"/>
          <w:szCs w:val="21"/>
        </w:rPr>
        <w:t xml:space="preserve"> Individuals were excluded if they presented with </w:t>
      </w:r>
      <w:r>
        <w:rPr>
          <w:rStyle w:val="a6"/>
          <w:rFonts w:ascii="Times New Roman" w:hAnsi="Times New Roman" w:cs="Times New Roman"/>
          <w:color w:val="000000"/>
          <w:sz w:val="21"/>
          <w:szCs w:val="21"/>
        </w:rPr>
        <w:t>(1)</w:t>
      </w:r>
      <w:r>
        <w:rPr>
          <w:rFonts w:ascii="Times New Roman" w:hAnsi="Times New Roman" w:cs="Times New Roman"/>
          <w:color w:val="000000"/>
          <w:sz w:val="21"/>
          <w:szCs w:val="21"/>
        </w:rPr>
        <w:t xml:space="preserve"> any contraindications to surgery, such as coagulation disorders (e.g., platelet count &lt; 100×10⁹/L or INR &gt; 1.4) or severe cardiopulmonary disease; </w:t>
      </w:r>
      <w:r>
        <w:rPr>
          <w:rStyle w:val="a6"/>
          <w:rFonts w:ascii="Times New Roman" w:hAnsi="Times New Roman" w:cs="Times New Roman"/>
          <w:b w:val="0"/>
          <w:bCs w:val="0"/>
          <w:color w:val="000000"/>
          <w:sz w:val="21"/>
          <w:szCs w:val="21"/>
        </w:rPr>
        <w:t>(2)</w:t>
      </w:r>
      <w:r>
        <w:rPr>
          <w:rFonts w:ascii="Times New Roman" w:hAnsi="Times New Roman" w:cs="Times New Roman"/>
          <w:color w:val="000000"/>
          <w:sz w:val="21"/>
          <w:szCs w:val="21"/>
        </w:rPr>
        <w:t xml:space="preserve"> significant systemic illness, including severe hepatic dysfunction (ALT or AST levels &gt; 3 times the upper limit of normal) or renal insufficiency (GFR &lt; 30 ml/min/1.73m²); or </w:t>
      </w:r>
      <w:r>
        <w:rPr>
          <w:rStyle w:val="a6"/>
          <w:rFonts w:ascii="Times New Roman" w:hAnsi="Times New Roman" w:cs="Times New Roman"/>
          <w:b w:val="0"/>
          <w:bCs w:val="0"/>
          <w:color w:val="000000"/>
          <w:sz w:val="21"/>
          <w:szCs w:val="21"/>
        </w:rPr>
        <w:t>(3)</w:t>
      </w:r>
      <w:r>
        <w:rPr>
          <w:rFonts w:ascii="Times New Roman" w:hAnsi="Times New Roman" w:cs="Times New Roman"/>
          <w:color w:val="000000"/>
          <w:sz w:val="21"/>
          <w:szCs w:val="21"/>
        </w:rPr>
        <w:t xml:space="preserve"> a history of intracranial hemorrhage or significant craniocerebral trauma within the last year. Further grounds for exclusion included </w:t>
      </w:r>
      <w:r>
        <w:rPr>
          <w:rStyle w:val="a6"/>
          <w:rFonts w:ascii="Times New Roman" w:hAnsi="Times New Roman" w:cs="Times New Roman"/>
          <w:b w:val="0"/>
          <w:bCs w:val="0"/>
          <w:color w:val="000000"/>
          <w:sz w:val="21"/>
          <w:szCs w:val="21"/>
        </w:rPr>
        <w:t>(4)</w:t>
      </w:r>
      <w:r>
        <w:rPr>
          <w:rFonts w:ascii="Times New Roman" w:hAnsi="Times New Roman" w:cs="Times New Roman"/>
          <w:color w:val="000000"/>
          <w:sz w:val="21"/>
          <w:szCs w:val="21"/>
        </w:rPr>
        <w:t xml:space="preserve"> recent myocardial infarction (within 30 days), unresolved internal bleeding, or severe psychiatric conditions that would impede cooperation; and </w:t>
      </w:r>
      <w:r>
        <w:rPr>
          <w:rStyle w:val="a6"/>
          <w:rFonts w:ascii="Times New Roman" w:hAnsi="Times New Roman" w:cs="Times New Roman"/>
          <w:b w:val="0"/>
          <w:bCs w:val="0"/>
          <w:color w:val="000000"/>
          <w:sz w:val="21"/>
          <w:szCs w:val="21"/>
        </w:rPr>
        <w:t>(5)</w:t>
      </w:r>
      <w:r>
        <w:rPr>
          <w:rFonts w:ascii="Times New Roman" w:hAnsi="Times New Roman" w:cs="Times New Roman"/>
          <w:color w:val="000000"/>
          <w:sz w:val="21"/>
          <w:szCs w:val="21"/>
        </w:rPr>
        <w:t xml:space="preserve"> current substance abuse dependencies. Finally, individuals were deemed ineligible if they </w:t>
      </w:r>
      <w:r>
        <w:rPr>
          <w:rStyle w:val="a6"/>
          <w:rFonts w:ascii="Times New Roman" w:hAnsi="Times New Roman" w:cs="Times New Roman"/>
          <w:b w:val="0"/>
          <w:bCs w:val="0"/>
          <w:color w:val="000000"/>
          <w:sz w:val="21"/>
          <w:szCs w:val="21"/>
        </w:rPr>
        <w:t>(6)</w:t>
      </w:r>
      <w:r>
        <w:rPr>
          <w:rFonts w:ascii="Times New Roman" w:hAnsi="Times New Roman" w:cs="Times New Roman"/>
          <w:color w:val="000000"/>
          <w:sz w:val="21"/>
          <w:szCs w:val="21"/>
        </w:rPr>
        <w:t xml:space="preserve"> had a life expectancy of less than 180 days or </w:t>
      </w:r>
      <w:r>
        <w:rPr>
          <w:rStyle w:val="a6"/>
          <w:rFonts w:ascii="Times New Roman" w:hAnsi="Times New Roman" w:cs="Times New Roman"/>
          <w:b w:val="0"/>
          <w:bCs w:val="0"/>
          <w:color w:val="000000"/>
          <w:sz w:val="21"/>
          <w:szCs w:val="21"/>
        </w:rPr>
        <w:t>(7)</w:t>
      </w:r>
      <w:r>
        <w:rPr>
          <w:rFonts w:ascii="Times New Roman" w:hAnsi="Times New Roman" w:cs="Times New Roman"/>
          <w:color w:val="000000"/>
          <w:sz w:val="21"/>
          <w:szCs w:val="21"/>
        </w:rPr>
        <w:t xml:space="preserve"> were concurrently enrolled in another interventional clinical trial. </w:t>
      </w:r>
    </w:p>
    <w:p w14:paraId="2574BB40" w14:textId="77777777" w:rsidR="00A557C6" w:rsidRDefault="00000000">
      <w:pPr>
        <w:rPr>
          <w:rFonts w:ascii="Times New Roman" w:hAnsi="Times New Roman" w:cs="Times New Roman"/>
          <w:b/>
          <w:bCs/>
        </w:rPr>
      </w:pPr>
      <w:r>
        <w:rPr>
          <w:rFonts w:ascii="Times New Roman" w:hAnsi="Times New Roman" w:cs="Times New Roman" w:hint="eastAsia"/>
          <w:b/>
          <w:bCs/>
        </w:rPr>
        <w:t>Re</w:t>
      </w:r>
      <w:r>
        <w:rPr>
          <w:rFonts w:ascii="Times New Roman" w:hAnsi="Times New Roman" w:cs="Times New Roman"/>
          <w:b/>
          <w:bCs/>
        </w:rPr>
        <w:t>gional Graph Measures</w:t>
      </w:r>
    </w:p>
    <w:p w14:paraId="0A404BC9" w14:textId="77777777" w:rsidR="00A557C6" w:rsidRDefault="00000000">
      <w:pPr>
        <w:widowControl/>
        <w:shd w:val="clear" w:color="auto" w:fill="FFFFFF"/>
        <w:spacing w:line="360" w:lineRule="auto"/>
        <w:ind w:firstLine="420"/>
        <w:contextualSpacing/>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We characterized the topological properties of each brain region (node) within the functional networks using a set of graph-theoretical metrics. These measures were chosen to quantify distinct aspects of nodal function, including centrality, integration, and segregation. All metrics were calculated following the established framework of Rubinov &amp; Sporns (2010).</w:t>
      </w:r>
    </w:p>
    <w:p w14:paraId="5FA82713" w14:textId="77777777" w:rsidR="00A557C6" w:rsidRDefault="00000000">
      <w:pPr>
        <w:widowControl/>
        <w:shd w:val="clear" w:color="auto" w:fill="FFFFFF"/>
        <w:spacing w:line="360" w:lineRule="auto"/>
        <w:ind w:firstLine="360"/>
        <w:contextualSpacing/>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Degree Centrality.</w:t>
      </w:r>
      <w:r>
        <w:rPr>
          <w:rFonts w:ascii="Times New Roman" w:eastAsia="宋体" w:hAnsi="Times New Roman" w:cs="Times New Roman"/>
          <w:b/>
          <w:bCs/>
          <w:color w:val="000000"/>
          <w:kern w:val="0"/>
          <w:szCs w:val="21"/>
        </w:rPr>
        <w:t xml:space="preserve"> </w:t>
      </w:r>
      <w:r>
        <w:rPr>
          <w:rFonts w:ascii="Times New Roman" w:eastAsia="宋体" w:hAnsi="Times New Roman" w:cs="Times New Roman"/>
          <w:color w:val="000000"/>
          <w:kern w:val="0"/>
          <w:szCs w:val="21"/>
        </w:rPr>
        <w:t>This index is the sum of connection weights for a given node. It provides a direct measure of a node's overall connectivity, and nodes with high DC are typically considered functional hubs.</w:t>
      </w:r>
    </w:p>
    <w:p w14:paraId="50EFE190" w14:textId="77777777" w:rsidR="00A557C6" w:rsidRDefault="00000000">
      <w:pPr>
        <w:widowControl/>
        <w:shd w:val="clear" w:color="auto" w:fill="FFFFFF"/>
        <w:spacing w:line="360" w:lineRule="auto"/>
        <w:ind w:firstLine="360"/>
        <w:contextualSpacing/>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Betweenness Centrality.</w:t>
      </w:r>
      <w:r>
        <w:rPr>
          <w:rFonts w:ascii="Times New Roman" w:eastAsia="宋体" w:hAnsi="Times New Roman" w:cs="Times New Roman"/>
          <w:color w:val="000000"/>
          <w:kern w:val="0"/>
          <w:szCs w:val="21"/>
        </w:rPr>
        <w:t xml:space="preserve"> Betweenness Centrality quantifies a node's importance in network-wide communication. It is defined as the fraction of all shortest paths in the network that pass </w:t>
      </w:r>
      <w:r>
        <w:rPr>
          <w:rFonts w:ascii="Times New Roman" w:eastAsia="宋体" w:hAnsi="Times New Roman" w:cs="Times New Roman"/>
          <w:color w:val="000000"/>
          <w:kern w:val="0"/>
          <w:szCs w:val="21"/>
        </w:rPr>
        <w:lastRenderedPageBreak/>
        <w:t>through that node. High BC indicates a crucial role in connecting distinct network modules and supporting long-range communication.</w:t>
      </w:r>
    </w:p>
    <w:p w14:paraId="1DAD2D1A" w14:textId="77777777" w:rsidR="00A557C6" w:rsidRDefault="00000000">
      <w:pPr>
        <w:widowControl/>
        <w:shd w:val="clear" w:color="auto" w:fill="FFFFFF"/>
        <w:spacing w:line="360" w:lineRule="auto"/>
        <w:ind w:firstLine="360"/>
        <w:contextualSpacing/>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Nodal Efficiency.</w:t>
      </w:r>
      <w:r>
        <w:rPr>
          <w:rFonts w:ascii="Times New Roman" w:eastAsia="宋体" w:hAnsi="Times New Roman" w:cs="Times New Roman"/>
          <w:b/>
          <w:bCs/>
          <w:color w:val="000000"/>
          <w:kern w:val="0"/>
          <w:szCs w:val="21"/>
        </w:rPr>
        <w:t xml:space="preserve"> </w:t>
      </w:r>
      <w:r>
        <w:rPr>
          <w:rFonts w:ascii="Times New Roman" w:eastAsia="宋体" w:hAnsi="Times New Roman" w:cs="Times New Roman"/>
          <w:color w:val="000000"/>
          <w:kern w:val="0"/>
          <w:szCs w:val="21"/>
        </w:rPr>
        <w:t>This parameter measures a node's capacity for global information integration. It is calculated as the inverse of the average shortest path length between a node and all other nodes in the network. High nodal efficiency signifies a greater capacity for parallel information transfer with the rest of the brain.</w:t>
      </w:r>
    </w:p>
    <w:p w14:paraId="17A8057B" w14:textId="77777777" w:rsidR="00A557C6" w:rsidRDefault="00000000">
      <w:pPr>
        <w:widowControl/>
        <w:shd w:val="clear" w:color="auto" w:fill="FFFFFF"/>
        <w:spacing w:line="360" w:lineRule="auto"/>
        <w:ind w:firstLine="360"/>
        <w:contextualSpacing/>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Nodal Efficiency.</w:t>
      </w:r>
      <w:r>
        <w:rPr>
          <w:rFonts w:ascii="Times New Roman" w:eastAsia="宋体" w:hAnsi="Times New Roman" w:cs="Times New Roman"/>
          <w:color w:val="000000"/>
          <w:kern w:val="0"/>
          <w:szCs w:val="21"/>
        </w:rPr>
        <w:t> This measure quantifies the communication efficiency among the direct neighbors of a node after the node itself is removed. This metric reflects the fault tolerance and processing efficiency of the local sub-network. High local efficiency suggests the node is part of a densely interconnected, and thus resilient, functional cluster.</w:t>
      </w:r>
    </w:p>
    <w:p w14:paraId="23E6FAA7" w14:textId="77777777" w:rsidR="00A557C6" w:rsidRDefault="00000000">
      <w:pPr>
        <w:widowControl/>
        <w:shd w:val="clear" w:color="auto" w:fill="FFFFFF"/>
        <w:spacing w:line="360" w:lineRule="auto"/>
        <w:ind w:firstLine="360"/>
        <w:contextualSpacing/>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Clustering Coefficient.</w:t>
      </w:r>
      <w:r>
        <w:rPr>
          <w:rFonts w:ascii="Times New Roman" w:eastAsia="宋体" w:hAnsi="Times New Roman" w:cs="Times New Roman"/>
          <w:color w:val="000000"/>
          <w:kern w:val="0"/>
          <w:szCs w:val="21"/>
        </w:rPr>
        <w:t xml:space="preserve"> This index measures the density of connections among a node's neighbors. It quantifies the extent to which the node's neighbors form a tightly connected clique. A high CC indicates that a node is part of a highly segregated neighborhood specialized for local information processing.</w:t>
      </w:r>
    </w:p>
    <w:p w14:paraId="6F2AB0A2" w14:textId="77777777" w:rsidR="00A557C6" w:rsidRDefault="00000000">
      <w:pPr>
        <w:widowControl/>
        <w:shd w:val="clear" w:color="auto" w:fill="FFFFFF"/>
        <w:spacing w:line="360" w:lineRule="auto"/>
        <w:ind w:firstLine="360"/>
        <w:contextualSpacing/>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Participation Coefficient.</w:t>
      </w:r>
      <w:r>
        <w:rPr>
          <w:rFonts w:ascii="Times New Roman" w:eastAsia="宋体" w:hAnsi="Times New Roman" w:cs="Times New Roman"/>
          <w:b/>
          <w:bCs/>
          <w:color w:val="000000"/>
          <w:kern w:val="0"/>
          <w:szCs w:val="21"/>
        </w:rPr>
        <w:t xml:space="preserve"> </w:t>
      </w:r>
      <w:r>
        <w:rPr>
          <w:rFonts w:ascii="Times New Roman" w:eastAsia="宋体" w:hAnsi="Times New Roman" w:cs="Times New Roman"/>
          <w:color w:val="000000"/>
          <w:kern w:val="0"/>
          <w:szCs w:val="21"/>
        </w:rPr>
        <w:t>This measure assesses the diversity of a node's connections across different modules. This metric distinguishes "provincial hubs," which have connections predominantly within their own module (low PC), from "connector hubs," which link multiple modules (high PC). Connector hubs are critical for integrating information across disparate functional systems.</w:t>
      </w:r>
    </w:p>
    <w:p w14:paraId="53C71A21" w14:textId="77777777" w:rsidR="00A557C6" w:rsidRDefault="00000000">
      <w:pPr>
        <w:widowControl/>
        <w:shd w:val="clear" w:color="auto" w:fill="FFFFFF"/>
        <w:spacing w:line="360" w:lineRule="auto"/>
        <w:ind w:firstLine="360"/>
        <w:contextualSpacing/>
        <w:rPr>
          <w:rFonts w:ascii="Times New Roman" w:eastAsia="宋体" w:hAnsi="Times New Roman" w:cs="Times New Roman"/>
          <w:color w:val="000000"/>
          <w:kern w:val="0"/>
          <w:szCs w:val="21"/>
        </w:rPr>
      </w:pPr>
      <w:r>
        <w:rPr>
          <w:rFonts w:ascii="Times New Roman" w:eastAsia="宋体" w:hAnsi="Times New Roman" w:cs="Times New Roman" w:hint="eastAsia"/>
          <w:i/>
          <w:iCs/>
          <w:color w:val="000000"/>
          <w:kern w:val="0"/>
          <w:szCs w:val="21"/>
        </w:rPr>
        <w:t>Shortest Path Length</w:t>
      </w:r>
      <w:r>
        <w:rPr>
          <w:rFonts w:ascii="Times New Roman" w:eastAsia="宋体" w:hAnsi="Times New Roman" w:cs="Times New Roman"/>
          <w:i/>
          <w:iCs/>
          <w:color w:val="000000"/>
          <w:kern w:val="0"/>
          <w:szCs w:val="21"/>
        </w:rPr>
        <w:t>.</w:t>
      </w:r>
      <w:r>
        <w:rPr>
          <w:rFonts w:ascii="Times New Roman" w:eastAsia="宋体" w:hAnsi="Times New Roman" w:cs="Times New Roman"/>
          <w:color w:val="000000"/>
          <w:kern w:val="0"/>
          <w:szCs w:val="21"/>
        </w:rPr>
        <w:t xml:space="preserve"> Measures the average shortest path length from a node to all other nodes in the network. It is another common metric for global integration, closely related to nodal efficiency but not its simple inverse. A smaller s</w:t>
      </w:r>
      <w:r>
        <w:rPr>
          <w:rFonts w:ascii="Times New Roman" w:eastAsia="宋体" w:hAnsi="Times New Roman" w:cs="Times New Roman" w:hint="eastAsia"/>
          <w:color w:val="000000"/>
          <w:kern w:val="0"/>
          <w:szCs w:val="21"/>
        </w:rPr>
        <w:t xml:space="preserve">hortest path </w:t>
      </w:r>
      <w:r>
        <w:rPr>
          <w:rFonts w:ascii="Times New Roman" w:eastAsia="宋体" w:hAnsi="Times New Roman" w:cs="Times New Roman"/>
          <w:color w:val="000000"/>
          <w:kern w:val="0"/>
          <w:szCs w:val="21"/>
        </w:rPr>
        <w:t>l</w:t>
      </w:r>
      <w:r>
        <w:rPr>
          <w:rFonts w:ascii="Times New Roman" w:eastAsia="宋体" w:hAnsi="Times New Roman" w:cs="Times New Roman" w:hint="eastAsia"/>
          <w:color w:val="000000"/>
          <w:kern w:val="0"/>
          <w:szCs w:val="21"/>
        </w:rPr>
        <w:t>ength</w:t>
      </w:r>
      <w:r>
        <w:rPr>
          <w:rFonts w:ascii="Times New Roman" w:eastAsia="宋体" w:hAnsi="Times New Roman" w:cs="Times New Roman"/>
          <w:color w:val="000000"/>
          <w:kern w:val="0"/>
          <w:szCs w:val="21"/>
        </w:rPr>
        <w:t xml:space="preserve"> value indicates that the node can transmit information more quickly to any other part of the network.</w:t>
      </w:r>
    </w:p>
    <w:p w14:paraId="184257C1" w14:textId="77777777" w:rsidR="00A557C6" w:rsidRDefault="00000000">
      <w:pPr>
        <w:widowControl/>
        <w:jc w:val="left"/>
        <w:rPr>
          <w:rFonts w:ascii="Times New Roman" w:hAnsi="Times New Roman" w:cs="Times New Roman"/>
          <w:b/>
          <w:bCs/>
          <w:sz w:val="28"/>
          <w:szCs w:val="36"/>
        </w:rPr>
      </w:pPr>
      <w:r>
        <w:rPr>
          <w:rFonts w:ascii="Times New Roman" w:hAnsi="Times New Roman" w:cs="Times New Roman"/>
          <w:b/>
          <w:bCs/>
          <w:sz w:val="28"/>
          <w:szCs w:val="36"/>
        </w:rPr>
        <w:br w:type="page"/>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028"/>
        <w:gridCol w:w="1152"/>
        <w:gridCol w:w="1377"/>
        <w:gridCol w:w="1324"/>
        <w:gridCol w:w="1711"/>
        <w:gridCol w:w="1714"/>
      </w:tblGrid>
      <w:tr w:rsidR="00A557C6" w14:paraId="19D3BA80" w14:textId="77777777">
        <w:trPr>
          <w:trHeight w:val="283"/>
        </w:trPr>
        <w:tc>
          <w:tcPr>
            <w:tcW w:w="5000" w:type="pct"/>
            <w:gridSpan w:val="6"/>
            <w:tcBorders>
              <w:top w:val="nil"/>
              <w:bottom w:val="single" w:sz="4" w:space="0" w:color="auto"/>
            </w:tcBorders>
            <w:tcMar>
              <w:top w:w="72" w:type="dxa"/>
              <w:left w:w="144" w:type="dxa"/>
              <w:bottom w:w="72" w:type="dxa"/>
              <w:right w:w="144" w:type="dxa"/>
            </w:tcMar>
          </w:tcPr>
          <w:p w14:paraId="442D52F1" w14:textId="77777777" w:rsidR="00A557C6" w:rsidRDefault="00000000">
            <w:pPr>
              <w:widowControl/>
              <w:jc w:val="left"/>
              <w:rPr>
                <w:rFonts w:ascii="Times New Roman" w:eastAsia="宋体" w:hAnsi="Times New Roman" w:cs="Times New Roman"/>
                <w:b/>
                <w:bCs/>
                <w:color w:val="000000" w:themeColor="text1"/>
                <w:kern w:val="24"/>
                <w:szCs w:val="21"/>
              </w:rPr>
            </w:pPr>
            <w:r>
              <w:rPr>
                <w:rFonts w:ascii="Times New Roman" w:eastAsia="宋体" w:hAnsi="Times New Roman" w:cs="Times New Roman"/>
                <w:b/>
                <w:bCs/>
                <w:color w:val="000000" w:themeColor="text1"/>
                <w:kern w:val="24"/>
                <w:szCs w:val="21"/>
              </w:rPr>
              <w:lastRenderedPageBreak/>
              <w:t>Table S1 | Global changes in brain network topology</w:t>
            </w:r>
          </w:p>
        </w:tc>
      </w:tr>
      <w:tr w:rsidR="00A557C6" w14:paraId="0D5AC1B0" w14:textId="77777777">
        <w:trPr>
          <w:trHeight w:val="283"/>
        </w:trPr>
        <w:tc>
          <w:tcPr>
            <w:tcW w:w="598" w:type="pct"/>
            <w:tcBorders>
              <w:top w:val="single" w:sz="4" w:space="0" w:color="auto"/>
              <w:bottom w:val="single" w:sz="4" w:space="0" w:color="auto"/>
            </w:tcBorders>
            <w:shd w:val="clear" w:color="auto" w:fill="F0F0F0"/>
            <w:tcMar>
              <w:top w:w="72" w:type="dxa"/>
              <w:left w:w="144" w:type="dxa"/>
              <w:bottom w:w="72" w:type="dxa"/>
              <w:right w:w="144" w:type="dxa"/>
            </w:tcMar>
          </w:tcPr>
          <w:p w14:paraId="6AA676E5" w14:textId="77777777" w:rsidR="00A557C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b/>
                <w:bCs/>
                <w:color w:val="000000" w:themeColor="text1"/>
                <w:kern w:val="24"/>
                <w:sz w:val="18"/>
                <w:szCs w:val="18"/>
              </w:rPr>
              <w:t>Variables</w:t>
            </w:r>
          </w:p>
        </w:tc>
        <w:tc>
          <w:tcPr>
            <w:tcW w:w="698" w:type="pct"/>
            <w:tcBorders>
              <w:top w:val="single" w:sz="4" w:space="0" w:color="auto"/>
              <w:bottom w:val="single" w:sz="4" w:space="0" w:color="auto"/>
            </w:tcBorders>
            <w:shd w:val="clear" w:color="auto" w:fill="F0F0F0"/>
            <w:tcMar>
              <w:top w:w="72" w:type="dxa"/>
              <w:left w:w="144" w:type="dxa"/>
              <w:bottom w:w="72" w:type="dxa"/>
              <w:right w:w="144" w:type="dxa"/>
            </w:tcMar>
          </w:tcPr>
          <w:p w14:paraId="0F2C2A74"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b/>
                <w:bCs/>
                <w:color w:val="000000" w:themeColor="text1"/>
                <w:kern w:val="24"/>
                <w:sz w:val="18"/>
                <w:szCs w:val="18"/>
              </w:rPr>
              <w:t>Pre</w:t>
            </w:r>
          </w:p>
        </w:tc>
        <w:tc>
          <w:tcPr>
            <w:tcW w:w="833" w:type="pct"/>
            <w:tcBorders>
              <w:top w:val="single" w:sz="4" w:space="0" w:color="auto"/>
              <w:bottom w:val="single" w:sz="4" w:space="0" w:color="auto"/>
            </w:tcBorders>
            <w:shd w:val="clear" w:color="auto" w:fill="F0F0F0"/>
            <w:tcMar>
              <w:top w:w="72" w:type="dxa"/>
              <w:left w:w="144" w:type="dxa"/>
              <w:bottom w:w="72" w:type="dxa"/>
              <w:right w:w="144" w:type="dxa"/>
            </w:tcMar>
          </w:tcPr>
          <w:p w14:paraId="2C654FE6"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b/>
                <w:bCs/>
                <w:color w:val="000000" w:themeColor="text1"/>
                <w:kern w:val="24"/>
                <w:sz w:val="18"/>
                <w:szCs w:val="18"/>
              </w:rPr>
              <w:t>Post</w:t>
            </w:r>
          </w:p>
        </w:tc>
        <w:tc>
          <w:tcPr>
            <w:tcW w:w="801" w:type="pct"/>
            <w:tcBorders>
              <w:top w:val="single" w:sz="4" w:space="0" w:color="auto"/>
              <w:bottom w:val="single" w:sz="4" w:space="0" w:color="auto"/>
            </w:tcBorders>
            <w:shd w:val="clear" w:color="auto" w:fill="F0F0F0"/>
            <w:tcMar>
              <w:top w:w="72" w:type="dxa"/>
              <w:left w:w="144" w:type="dxa"/>
              <w:bottom w:w="72" w:type="dxa"/>
              <w:right w:w="144" w:type="dxa"/>
            </w:tcMar>
          </w:tcPr>
          <w:p w14:paraId="45B70764"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b/>
                <w:bCs/>
                <w:i/>
                <w:iCs/>
                <w:color w:val="000000" w:themeColor="text1"/>
                <w:kern w:val="24"/>
                <w:sz w:val="18"/>
                <w:szCs w:val="18"/>
              </w:rPr>
              <w:t>p</w:t>
            </w:r>
            <w:r>
              <w:rPr>
                <w:rFonts w:ascii="Times New Roman" w:eastAsia="宋体" w:hAnsi="Times New Roman" w:cs="Times New Roman"/>
                <w:b/>
                <w:bCs/>
                <w:color w:val="000000" w:themeColor="text1"/>
                <w:kern w:val="24"/>
                <w:sz w:val="18"/>
                <w:szCs w:val="18"/>
              </w:rPr>
              <w:t xml:space="preserve"> value</w:t>
            </w:r>
          </w:p>
        </w:tc>
        <w:tc>
          <w:tcPr>
            <w:tcW w:w="1034" w:type="pct"/>
            <w:tcBorders>
              <w:top w:val="single" w:sz="4" w:space="0" w:color="auto"/>
              <w:bottom w:val="single" w:sz="4" w:space="0" w:color="auto"/>
            </w:tcBorders>
            <w:shd w:val="clear" w:color="auto" w:fill="F0F0F0"/>
            <w:tcMar>
              <w:top w:w="72" w:type="dxa"/>
              <w:left w:w="144" w:type="dxa"/>
              <w:bottom w:w="72" w:type="dxa"/>
              <w:right w:w="144" w:type="dxa"/>
            </w:tcMar>
          </w:tcPr>
          <w:p w14:paraId="19A36331" w14:textId="77777777" w:rsidR="00A557C6" w:rsidRDefault="00000000">
            <w:pPr>
              <w:widowControl/>
              <w:jc w:val="center"/>
              <w:rPr>
                <w:rFonts w:ascii="Times New Roman" w:eastAsia="宋体" w:hAnsi="Times New Roman" w:cs="Times New Roman"/>
                <w:b/>
                <w:bCs/>
                <w:i/>
                <w:iCs/>
                <w:color w:val="000000" w:themeColor="text1"/>
                <w:kern w:val="24"/>
                <w:sz w:val="18"/>
                <w:szCs w:val="18"/>
              </w:rPr>
            </w:pPr>
            <w:r>
              <w:rPr>
                <w:rFonts w:ascii="Times New Roman" w:eastAsia="宋体" w:hAnsi="Times New Roman" w:cs="Times New Roman"/>
                <w:b/>
                <w:bCs/>
                <w:i/>
                <w:iCs/>
                <w:color w:val="000000" w:themeColor="text1"/>
                <w:kern w:val="24"/>
                <w:sz w:val="18"/>
                <w:szCs w:val="18"/>
              </w:rPr>
              <w:t xml:space="preserve">t </w:t>
            </w:r>
          </w:p>
        </w:tc>
        <w:tc>
          <w:tcPr>
            <w:tcW w:w="1035" w:type="pct"/>
            <w:tcBorders>
              <w:top w:val="single" w:sz="4" w:space="0" w:color="auto"/>
              <w:bottom w:val="single" w:sz="4" w:space="0" w:color="auto"/>
            </w:tcBorders>
            <w:shd w:val="clear" w:color="auto" w:fill="F0F0F0"/>
            <w:tcMar>
              <w:top w:w="72" w:type="dxa"/>
              <w:left w:w="144" w:type="dxa"/>
              <w:bottom w:w="72" w:type="dxa"/>
              <w:right w:w="144" w:type="dxa"/>
            </w:tcMar>
          </w:tcPr>
          <w:p w14:paraId="2C211CCD" w14:textId="77777777" w:rsidR="00A557C6" w:rsidRDefault="00000000">
            <w:pPr>
              <w:widowControl/>
              <w:jc w:val="center"/>
              <w:rPr>
                <w:rFonts w:ascii="Times New Roman" w:eastAsia="宋体" w:hAnsi="Times New Roman" w:cs="Times New Roman"/>
                <w:b/>
                <w:bCs/>
                <w:i/>
                <w:iCs/>
                <w:color w:val="000000" w:themeColor="text1"/>
                <w:kern w:val="24"/>
                <w:sz w:val="18"/>
                <w:szCs w:val="18"/>
              </w:rPr>
            </w:pPr>
            <w:r>
              <w:rPr>
                <w:rFonts w:ascii="Times New Roman" w:eastAsia="宋体" w:hAnsi="Times New Roman" w:cs="Times New Roman"/>
                <w:b/>
                <w:bCs/>
                <w:i/>
                <w:iCs/>
                <w:color w:val="000000" w:themeColor="text1"/>
                <w:kern w:val="24"/>
                <w:sz w:val="18"/>
                <w:szCs w:val="18"/>
              </w:rPr>
              <w:t>Cohens d</w:t>
            </w:r>
          </w:p>
        </w:tc>
      </w:tr>
      <w:tr w:rsidR="00A557C6" w14:paraId="2A1F8E3F" w14:textId="77777777">
        <w:trPr>
          <w:trHeight w:val="283"/>
        </w:trPr>
        <w:tc>
          <w:tcPr>
            <w:tcW w:w="598" w:type="pct"/>
            <w:tcMar>
              <w:top w:w="72" w:type="dxa"/>
              <w:left w:w="144" w:type="dxa"/>
              <w:bottom w:w="72" w:type="dxa"/>
              <w:right w:w="144" w:type="dxa"/>
            </w:tcMar>
          </w:tcPr>
          <w:p w14:paraId="6DC52EEA" w14:textId="77777777" w:rsidR="00A557C6" w:rsidRDefault="00000000">
            <w:pPr>
              <w:widowControl/>
              <w:jc w:val="left"/>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Sigma</w:t>
            </w:r>
          </w:p>
        </w:tc>
        <w:tc>
          <w:tcPr>
            <w:tcW w:w="698" w:type="pct"/>
            <w:tcMar>
              <w:top w:w="72" w:type="dxa"/>
              <w:left w:w="144" w:type="dxa"/>
              <w:bottom w:w="72" w:type="dxa"/>
              <w:right w:w="144" w:type="dxa"/>
            </w:tcMar>
          </w:tcPr>
          <w:p w14:paraId="40A5A6C4"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1.19(0.15)</w:t>
            </w:r>
          </w:p>
        </w:tc>
        <w:tc>
          <w:tcPr>
            <w:tcW w:w="833" w:type="pct"/>
            <w:tcMar>
              <w:top w:w="72" w:type="dxa"/>
              <w:left w:w="144" w:type="dxa"/>
              <w:bottom w:w="72" w:type="dxa"/>
              <w:right w:w="144" w:type="dxa"/>
            </w:tcMar>
          </w:tcPr>
          <w:p w14:paraId="2DFB8C70"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1.17(0.19</w:t>
            </w:r>
            <w:r>
              <w:rPr>
                <w:rFonts w:ascii="Times New Roman" w:eastAsia="宋体" w:hAnsi="Times New Roman" w:cs="Times New Roman"/>
                <w:color w:val="000000" w:themeColor="text1"/>
                <w:kern w:val="24"/>
                <w:sz w:val="18"/>
                <w:szCs w:val="18"/>
              </w:rPr>
              <w:t>)</w:t>
            </w:r>
          </w:p>
        </w:tc>
        <w:tc>
          <w:tcPr>
            <w:tcW w:w="801" w:type="pct"/>
            <w:tcMar>
              <w:top w:w="72" w:type="dxa"/>
              <w:left w:w="144" w:type="dxa"/>
              <w:bottom w:w="72" w:type="dxa"/>
              <w:right w:w="144" w:type="dxa"/>
            </w:tcMar>
          </w:tcPr>
          <w:p w14:paraId="2647795C" w14:textId="77777777" w:rsidR="00A557C6" w:rsidRDefault="00000000">
            <w:pPr>
              <w:widowControl/>
              <w:jc w:val="center"/>
              <w:rPr>
                <w:rFonts w:ascii="Times New Roman" w:eastAsia="宋体" w:hAnsi="Times New Roman" w:cs="Times New Roman"/>
                <w:kern w:val="0"/>
                <w:sz w:val="18"/>
                <w:szCs w:val="18"/>
              </w:rPr>
            </w:pPr>
            <w:r>
              <w:rPr>
                <w:rFonts w:ascii="Times New Roman" w:hAnsi="Times New Roman" w:cs="Times New Roman"/>
                <w:sz w:val="18"/>
                <w:szCs w:val="18"/>
              </w:rPr>
              <w:t>0.652</w:t>
            </w:r>
          </w:p>
        </w:tc>
        <w:tc>
          <w:tcPr>
            <w:tcW w:w="1034" w:type="pct"/>
            <w:tcMar>
              <w:top w:w="72" w:type="dxa"/>
              <w:left w:w="144" w:type="dxa"/>
              <w:bottom w:w="72" w:type="dxa"/>
              <w:right w:w="144" w:type="dxa"/>
            </w:tcMar>
          </w:tcPr>
          <w:p w14:paraId="1F077BA4"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0.45</w:t>
            </w:r>
          </w:p>
        </w:tc>
        <w:tc>
          <w:tcPr>
            <w:tcW w:w="1035" w:type="pct"/>
            <w:tcMar>
              <w:top w:w="72" w:type="dxa"/>
              <w:left w:w="144" w:type="dxa"/>
              <w:bottom w:w="72" w:type="dxa"/>
              <w:right w:w="144" w:type="dxa"/>
            </w:tcMar>
          </w:tcPr>
          <w:p w14:paraId="7D1F0569"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0.11</w:t>
            </w:r>
          </w:p>
        </w:tc>
      </w:tr>
      <w:tr w:rsidR="00A557C6" w14:paraId="787617EF" w14:textId="77777777">
        <w:trPr>
          <w:trHeight w:val="283"/>
        </w:trPr>
        <w:tc>
          <w:tcPr>
            <w:tcW w:w="598" w:type="pct"/>
            <w:shd w:val="clear" w:color="auto" w:fill="F2F2F2" w:themeFill="background1" w:themeFillShade="F2"/>
            <w:tcMar>
              <w:top w:w="72" w:type="dxa"/>
              <w:left w:w="144" w:type="dxa"/>
              <w:bottom w:w="72" w:type="dxa"/>
              <w:right w:w="144" w:type="dxa"/>
            </w:tcMar>
          </w:tcPr>
          <w:p w14:paraId="17A0DF88" w14:textId="77777777" w:rsidR="00A557C6" w:rsidRDefault="00000000">
            <w:pPr>
              <w:widowControl/>
              <w:jc w:val="left"/>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Gamma</w:t>
            </w:r>
          </w:p>
        </w:tc>
        <w:tc>
          <w:tcPr>
            <w:tcW w:w="698" w:type="pct"/>
            <w:shd w:val="clear" w:color="auto" w:fill="F2F2F2" w:themeFill="background1" w:themeFillShade="F2"/>
            <w:tcMar>
              <w:top w:w="72" w:type="dxa"/>
              <w:left w:w="144" w:type="dxa"/>
              <w:bottom w:w="72" w:type="dxa"/>
              <w:right w:w="144" w:type="dxa"/>
            </w:tcMar>
          </w:tcPr>
          <w:p w14:paraId="11AC1351"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1.20</w:t>
            </w:r>
            <w:r>
              <w:rPr>
                <w:rFonts w:ascii="Times New Roman" w:eastAsia="宋体" w:hAnsi="Times New Roman" w:cs="Times New Roman"/>
                <w:color w:val="000000" w:themeColor="text1"/>
                <w:kern w:val="24"/>
                <w:sz w:val="18"/>
                <w:szCs w:val="18"/>
              </w:rPr>
              <w:t>(0.16)</w:t>
            </w:r>
          </w:p>
        </w:tc>
        <w:tc>
          <w:tcPr>
            <w:tcW w:w="833" w:type="pct"/>
            <w:shd w:val="clear" w:color="auto" w:fill="F2F2F2" w:themeFill="background1" w:themeFillShade="F2"/>
            <w:tcMar>
              <w:top w:w="72" w:type="dxa"/>
              <w:left w:w="144" w:type="dxa"/>
              <w:bottom w:w="72" w:type="dxa"/>
              <w:right w:w="144" w:type="dxa"/>
            </w:tcMar>
          </w:tcPr>
          <w:p w14:paraId="116DB2AA"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1.18(0.20</w:t>
            </w:r>
            <w:r>
              <w:rPr>
                <w:rFonts w:ascii="Times New Roman" w:eastAsia="宋体" w:hAnsi="Times New Roman" w:cs="Times New Roman"/>
                <w:color w:val="000000" w:themeColor="text1"/>
                <w:kern w:val="24"/>
                <w:sz w:val="18"/>
                <w:szCs w:val="18"/>
              </w:rPr>
              <w:t>)</w:t>
            </w:r>
          </w:p>
        </w:tc>
        <w:tc>
          <w:tcPr>
            <w:tcW w:w="801" w:type="pct"/>
            <w:shd w:val="clear" w:color="auto" w:fill="F2F2F2" w:themeFill="background1" w:themeFillShade="F2"/>
            <w:tcMar>
              <w:top w:w="72" w:type="dxa"/>
              <w:left w:w="144" w:type="dxa"/>
              <w:bottom w:w="72" w:type="dxa"/>
              <w:right w:w="144" w:type="dxa"/>
            </w:tcMar>
          </w:tcPr>
          <w:p w14:paraId="386BEBFD" w14:textId="77777777" w:rsidR="00A557C6" w:rsidRDefault="00000000">
            <w:pPr>
              <w:widowControl/>
              <w:jc w:val="center"/>
              <w:rPr>
                <w:rFonts w:ascii="Times New Roman" w:eastAsia="宋体" w:hAnsi="Times New Roman" w:cs="Times New Roman"/>
                <w:kern w:val="0"/>
                <w:sz w:val="18"/>
                <w:szCs w:val="18"/>
              </w:rPr>
            </w:pPr>
            <w:r>
              <w:rPr>
                <w:rFonts w:ascii="Times New Roman" w:hAnsi="Times New Roman" w:cs="Times New Roman"/>
                <w:sz w:val="18"/>
                <w:szCs w:val="18"/>
              </w:rPr>
              <w:t>0.655</w:t>
            </w:r>
          </w:p>
        </w:tc>
        <w:tc>
          <w:tcPr>
            <w:tcW w:w="1034" w:type="pct"/>
            <w:shd w:val="clear" w:color="auto" w:fill="F2F2F2" w:themeFill="background1" w:themeFillShade="F2"/>
            <w:tcMar>
              <w:top w:w="72" w:type="dxa"/>
              <w:left w:w="144" w:type="dxa"/>
              <w:bottom w:w="72" w:type="dxa"/>
              <w:right w:w="144" w:type="dxa"/>
            </w:tcMar>
          </w:tcPr>
          <w:p w14:paraId="1F4926A6"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0.45</w:t>
            </w:r>
          </w:p>
        </w:tc>
        <w:tc>
          <w:tcPr>
            <w:tcW w:w="1035" w:type="pct"/>
            <w:shd w:val="clear" w:color="auto" w:fill="F2F2F2" w:themeFill="background1" w:themeFillShade="F2"/>
            <w:tcMar>
              <w:top w:w="72" w:type="dxa"/>
              <w:left w:w="144" w:type="dxa"/>
              <w:bottom w:w="72" w:type="dxa"/>
              <w:right w:w="144" w:type="dxa"/>
            </w:tcMar>
          </w:tcPr>
          <w:p w14:paraId="545C6AB2"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0.11</w:t>
            </w:r>
          </w:p>
        </w:tc>
      </w:tr>
      <w:tr w:rsidR="00A557C6" w14:paraId="785BD525" w14:textId="77777777">
        <w:trPr>
          <w:trHeight w:val="283"/>
        </w:trPr>
        <w:tc>
          <w:tcPr>
            <w:tcW w:w="598" w:type="pct"/>
            <w:tcMar>
              <w:top w:w="72" w:type="dxa"/>
              <w:left w:w="144" w:type="dxa"/>
              <w:bottom w:w="72" w:type="dxa"/>
              <w:right w:w="144" w:type="dxa"/>
            </w:tcMar>
          </w:tcPr>
          <w:p w14:paraId="658133E4" w14:textId="77777777" w:rsidR="00A557C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color w:val="000000" w:themeColor="text1"/>
                <w:kern w:val="24"/>
                <w:sz w:val="18"/>
                <w:szCs w:val="18"/>
              </w:rPr>
              <w:t>Lambda</w:t>
            </w:r>
          </w:p>
        </w:tc>
        <w:tc>
          <w:tcPr>
            <w:tcW w:w="698" w:type="pct"/>
            <w:tcMar>
              <w:top w:w="72" w:type="dxa"/>
              <w:left w:w="144" w:type="dxa"/>
              <w:bottom w:w="72" w:type="dxa"/>
              <w:right w:w="144" w:type="dxa"/>
            </w:tcMar>
          </w:tcPr>
          <w:p w14:paraId="28B0ACA3"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1.00</w:t>
            </w:r>
            <w:r>
              <w:rPr>
                <w:rFonts w:ascii="Times New Roman" w:eastAsia="宋体" w:hAnsi="Times New Roman" w:cs="Times New Roman"/>
                <w:color w:val="000000" w:themeColor="text1"/>
                <w:kern w:val="24"/>
                <w:sz w:val="18"/>
                <w:szCs w:val="18"/>
              </w:rPr>
              <w:t>(0.00)</w:t>
            </w:r>
          </w:p>
        </w:tc>
        <w:tc>
          <w:tcPr>
            <w:tcW w:w="833" w:type="pct"/>
            <w:tcMar>
              <w:top w:w="72" w:type="dxa"/>
              <w:left w:w="144" w:type="dxa"/>
              <w:bottom w:w="72" w:type="dxa"/>
              <w:right w:w="144" w:type="dxa"/>
            </w:tcMar>
          </w:tcPr>
          <w:p w14:paraId="1CDBB7E4"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1.00(0.00</w:t>
            </w:r>
            <w:r>
              <w:rPr>
                <w:rFonts w:ascii="Times New Roman" w:eastAsia="宋体" w:hAnsi="Times New Roman" w:cs="Times New Roman"/>
                <w:color w:val="000000" w:themeColor="text1"/>
                <w:kern w:val="24"/>
                <w:sz w:val="18"/>
                <w:szCs w:val="18"/>
              </w:rPr>
              <w:t>)</w:t>
            </w:r>
          </w:p>
        </w:tc>
        <w:tc>
          <w:tcPr>
            <w:tcW w:w="801" w:type="pct"/>
            <w:tcMar>
              <w:top w:w="72" w:type="dxa"/>
              <w:left w:w="144" w:type="dxa"/>
              <w:bottom w:w="72" w:type="dxa"/>
              <w:right w:w="144" w:type="dxa"/>
            </w:tcMar>
          </w:tcPr>
          <w:p w14:paraId="342A7507" w14:textId="77777777" w:rsidR="00A557C6" w:rsidRDefault="00000000">
            <w:pPr>
              <w:widowControl/>
              <w:jc w:val="center"/>
              <w:rPr>
                <w:rFonts w:ascii="Times New Roman" w:eastAsia="宋体" w:hAnsi="Times New Roman" w:cs="Times New Roman"/>
                <w:kern w:val="0"/>
                <w:sz w:val="18"/>
                <w:szCs w:val="18"/>
              </w:rPr>
            </w:pPr>
            <w:r>
              <w:rPr>
                <w:rFonts w:ascii="Times New Roman" w:hAnsi="Times New Roman" w:cs="Times New Roman"/>
                <w:sz w:val="18"/>
                <w:szCs w:val="18"/>
              </w:rPr>
              <w:t>0.556</w:t>
            </w:r>
          </w:p>
        </w:tc>
        <w:tc>
          <w:tcPr>
            <w:tcW w:w="1034" w:type="pct"/>
            <w:tcMar>
              <w:top w:w="72" w:type="dxa"/>
              <w:left w:w="144" w:type="dxa"/>
              <w:bottom w:w="72" w:type="dxa"/>
              <w:right w:w="144" w:type="dxa"/>
            </w:tcMar>
          </w:tcPr>
          <w:p w14:paraId="5BD86728"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0.60</w:t>
            </w:r>
          </w:p>
        </w:tc>
        <w:tc>
          <w:tcPr>
            <w:tcW w:w="1035" w:type="pct"/>
            <w:tcMar>
              <w:top w:w="72" w:type="dxa"/>
              <w:left w:w="144" w:type="dxa"/>
              <w:bottom w:w="72" w:type="dxa"/>
              <w:right w:w="144" w:type="dxa"/>
            </w:tcMar>
          </w:tcPr>
          <w:p w14:paraId="17FA4CAA"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0.15</w:t>
            </w:r>
          </w:p>
        </w:tc>
      </w:tr>
      <w:tr w:rsidR="00A557C6" w14:paraId="3454B461" w14:textId="77777777">
        <w:trPr>
          <w:trHeight w:val="283"/>
        </w:trPr>
        <w:tc>
          <w:tcPr>
            <w:tcW w:w="598" w:type="pct"/>
            <w:shd w:val="clear" w:color="auto" w:fill="F0F0F0"/>
            <w:tcMar>
              <w:top w:w="72" w:type="dxa"/>
              <w:left w:w="144" w:type="dxa"/>
              <w:bottom w:w="72" w:type="dxa"/>
              <w:right w:w="144" w:type="dxa"/>
            </w:tcMar>
          </w:tcPr>
          <w:p w14:paraId="760CDFE7" w14:textId="77777777" w:rsidR="00A557C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color w:val="000000" w:themeColor="text1"/>
                <w:kern w:val="24"/>
                <w:sz w:val="18"/>
                <w:szCs w:val="18"/>
              </w:rPr>
              <w:t>CC</w:t>
            </w:r>
          </w:p>
        </w:tc>
        <w:tc>
          <w:tcPr>
            <w:tcW w:w="698" w:type="pct"/>
            <w:shd w:val="clear" w:color="auto" w:fill="F0F0F0"/>
            <w:tcMar>
              <w:top w:w="72" w:type="dxa"/>
              <w:left w:w="144" w:type="dxa"/>
              <w:bottom w:w="72" w:type="dxa"/>
              <w:right w:w="144" w:type="dxa"/>
            </w:tcMar>
          </w:tcPr>
          <w:p w14:paraId="66F69DAC"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0.75</w:t>
            </w:r>
            <w:r>
              <w:rPr>
                <w:rFonts w:ascii="Times New Roman" w:eastAsia="宋体" w:hAnsi="Times New Roman" w:cs="Times New Roman"/>
                <w:color w:val="000000" w:themeColor="text1"/>
                <w:kern w:val="24"/>
                <w:sz w:val="18"/>
                <w:szCs w:val="18"/>
              </w:rPr>
              <w:t>(0.08)</w:t>
            </w:r>
          </w:p>
        </w:tc>
        <w:tc>
          <w:tcPr>
            <w:tcW w:w="833" w:type="pct"/>
            <w:shd w:val="clear" w:color="auto" w:fill="F0F0F0"/>
            <w:tcMar>
              <w:top w:w="72" w:type="dxa"/>
              <w:left w:w="144" w:type="dxa"/>
              <w:bottom w:w="72" w:type="dxa"/>
              <w:right w:w="144" w:type="dxa"/>
            </w:tcMar>
          </w:tcPr>
          <w:p w14:paraId="1E0BB9F6"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0.74(0.08</w:t>
            </w:r>
            <w:r>
              <w:rPr>
                <w:rFonts w:ascii="Times New Roman" w:eastAsia="宋体" w:hAnsi="Times New Roman" w:cs="Times New Roman"/>
                <w:color w:val="000000" w:themeColor="text1"/>
                <w:kern w:val="24"/>
                <w:sz w:val="18"/>
                <w:szCs w:val="18"/>
              </w:rPr>
              <w:t>)</w:t>
            </w:r>
          </w:p>
        </w:tc>
        <w:tc>
          <w:tcPr>
            <w:tcW w:w="801" w:type="pct"/>
            <w:shd w:val="clear" w:color="auto" w:fill="F0F0F0"/>
            <w:tcMar>
              <w:top w:w="72" w:type="dxa"/>
              <w:left w:w="144" w:type="dxa"/>
              <w:bottom w:w="72" w:type="dxa"/>
              <w:right w:w="144" w:type="dxa"/>
            </w:tcMar>
          </w:tcPr>
          <w:p w14:paraId="42E9CA1D" w14:textId="77777777" w:rsidR="00A557C6" w:rsidRDefault="00000000">
            <w:pPr>
              <w:widowControl/>
              <w:jc w:val="center"/>
              <w:rPr>
                <w:rFonts w:ascii="Times New Roman" w:eastAsia="宋体" w:hAnsi="Times New Roman" w:cs="Times New Roman"/>
                <w:kern w:val="0"/>
                <w:sz w:val="18"/>
                <w:szCs w:val="18"/>
              </w:rPr>
            </w:pPr>
            <w:r>
              <w:rPr>
                <w:rFonts w:ascii="Times New Roman" w:hAnsi="Times New Roman" w:cs="Times New Roman"/>
                <w:sz w:val="18"/>
                <w:szCs w:val="18"/>
              </w:rPr>
              <w:t>0.703</w:t>
            </w:r>
          </w:p>
        </w:tc>
        <w:tc>
          <w:tcPr>
            <w:tcW w:w="1034" w:type="pct"/>
            <w:shd w:val="clear" w:color="auto" w:fill="F0F0F0"/>
            <w:tcMar>
              <w:top w:w="72" w:type="dxa"/>
              <w:left w:w="144" w:type="dxa"/>
              <w:bottom w:w="72" w:type="dxa"/>
              <w:right w:w="144" w:type="dxa"/>
            </w:tcMar>
          </w:tcPr>
          <w:p w14:paraId="1DFB99C5"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0.39</w:t>
            </w:r>
          </w:p>
        </w:tc>
        <w:tc>
          <w:tcPr>
            <w:tcW w:w="1035" w:type="pct"/>
            <w:shd w:val="clear" w:color="auto" w:fill="F0F0F0"/>
            <w:tcMar>
              <w:top w:w="72" w:type="dxa"/>
              <w:left w:w="144" w:type="dxa"/>
              <w:bottom w:w="72" w:type="dxa"/>
              <w:right w:w="144" w:type="dxa"/>
            </w:tcMar>
          </w:tcPr>
          <w:p w14:paraId="5846EF3C"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0.09</w:t>
            </w:r>
          </w:p>
        </w:tc>
      </w:tr>
      <w:tr w:rsidR="00A557C6" w14:paraId="44DF5414" w14:textId="77777777">
        <w:trPr>
          <w:trHeight w:val="283"/>
        </w:trPr>
        <w:tc>
          <w:tcPr>
            <w:tcW w:w="598" w:type="pct"/>
            <w:tcMar>
              <w:top w:w="72" w:type="dxa"/>
              <w:left w:w="144" w:type="dxa"/>
              <w:bottom w:w="72" w:type="dxa"/>
              <w:right w:w="144" w:type="dxa"/>
            </w:tcMar>
          </w:tcPr>
          <w:p w14:paraId="3098B013" w14:textId="77777777" w:rsidR="00A557C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color w:val="000000" w:themeColor="text1"/>
                <w:kern w:val="24"/>
                <w:sz w:val="18"/>
                <w:szCs w:val="18"/>
              </w:rPr>
              <w:t>SPL</w:t>
            </w:r>
          </w:p>
        </w:tc>
        <w:tc>
          <w:tcPr>
            <w:tcW w:w="698" w:type="pct"/>
            <w:tcMar>
              <w:top w:w="72" w:type="dxa"/>
              <w:left w:w="144" w:type="dxa"/>
              <w:bottom w:w="72" w:type="dxa"/>
              <w:right w:w="144" w:type="dxa"/>
            </w:tcMar>
          </w:tcPr>
          <w:p w14:paraId="6CA7A3A3"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1.31</w:t>
            </w:r>
            <w:r>
              <w:rPr>
                <w:rFonts w:ascii="Times New Roman" w:eastAsia="宋体" w:hAnsi="Times New Roman" w:cs="Times New Roman"/>
                <w:color w:val="000000" w:themeColor="text1"/>
                <w:kern w:val="24"/>
                <w:sz w:val="18"/>
                <w:szCs w:val="18"/>
              </w:rPr>
              <w:t>(0.10)</w:t>
            </w:r>
          </w:p>
        </w:tc>
        <w:tc>
          <w:tcPr>
            <w:tcW w:w="833" w:type="pct"/>
            <w:tcMar>
              <w:top w:w="72" w:type="dxa"/>
              <w:left w:w="144" w:type="dxa"/>
              <w:bottom w:w="72" w:type="dxa"/>
              <w:right w:w="144" w:type="dxa"/>
            </w:tcMar>
          </w:tcPr>
          <w:p w14:paraId="763DA324" w14:textId="77777777" w:rsidR="00A557C6" w:rsidRDefault="00000000">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1.30(0.11</w:t>
            </w:r>
            <w:r>
              <w:rPr>
                <w:rFonts w:ascii="Times New Roman" w:eastAsia="宋体" w:hAnsi="Times New Roman" w:cs="Times New Roman"/>
                <w:color w:val="000000" w:themeColor="text1"/>
                <w:kern w:val="24"/>
                <w:sz w:val="18"/>
                <w:szCs w:val="18"/>
              </w:rPr>
              <w:t>)</w:t>
            </w:r>
          </w:p>
        </w:tc>
        <w:tc>
          <w:tcPr>
            <w:tcW w:w="801" w:type="pct"/>
            <w:tcMar>
              <w:top w:w="72" w:type="dxa"/>
              <w:left w:w="144" w:type="dxa"/>
              <w:bottom w:w="72" w:type="dxa"/>
              <w:right w:w="144" w:type="dxa"/>
            </w:tcMar>
          </w:tcPr>
          <w:p w14:paraId="35A890E4" w14:textId="77777777" w:rsidR="00A557C6" w:rsidRDefault="00000000">
            <w:pPr>
              <w:widowControl/>
              <w:jc w:val="center"/>
              <w:rPr>
                <w:rFonts w:ascii="Times New Roman" w:eastAsia="宋体" w:hAnsi="Times New Roman" w:cs="Times New Roman"/>
                <w:kern w:val="0"/>
                <w:sz w:val="18"/>
                <w:szCs w:val="18"/>
              </w:rPr>
            </w:pPr>
            <w:r>
              <w:rPr>
                <w:rFonts w:ascii="Times New Roman" w:hAnsi="Times New Roman" w:cs="Times New Roman"/>
                <w:sz w:val="18"/>
                <w:szCs w:val="18"/>
              </w:rPr>
              <w:t>0.784</w:t>
            </w:r>
          </w:p>
        </w:tc>
        <w:tc>
          <w:tcPr>
            <w:tcW w:w="1034" w:type="pct"/>
            <w:tcMar>
              <w:top w:w="72" w:type="dxa"/>
              <w:left w:w="144" w:type="dxa"/>
              <w:bottom w:w="72" w:type="dxa"/>
              <w:right w:w="144" w:type="dxa"/>
            </w:tcMar>
          </w:tcPr>
          <w:p w14:paraId="1ECB5B90"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0.28</w:t>
            </w:r>
          </w:p>
        </w:tc>
        <w:tc>
          <w:tcPr>
            <w:tcW w:w="1035" w:type="pct"/>
            <w:tcMar>
              <w:top w:w="72" w:type="dxa"/>
              <w:left w:w="144" w:type="dxa"/>
              <w:bottom w:w="72" w:type="dxa"/>
              <w:right w:w="144" w:type="dxa"/>
            </w:tcMar>
          </w:tcPr>
          <w:p w14:paraId="7A8469E4" w14:textId="77777777" w:rsidR="00A557C6" w:rsidRDefault="00000000">
            <w:pPr>
              <w:widowControl/>
              <w:jc w:val="center"/>
              <w:rPr>
                <w:rFonts w:ascii="Times New Roman" w:hAnsi="Times New Roman" w:cs="Times New Roman"/>
                <w:sz w:val="18"/>
                <w:szCs w:val="18"/>
              </w:rPr>
            </w:pPr>
            <w:r>
              <w:rPr>
                <w:rFonts w:ascii="Times New Roman" w:hAnsi="Times New Roman" w:cs="Times New Roman"/>
                <w:sz w:val="18"/>
                <w:szCs w:val="18"/>
              </w:rPr>
              <w:t>0.07</w:t>
            </w:r>
          </w:p>
        </w:tc>
      </w:tr>
    </w:tbl>
    <w:p w14:paraId="46A94DAB" w14:textId="77777777" w:rsidR="00A557C6" w:rsidRDefault="00000000">
      <w:pPr>
        <w:spacing w:line="360" w:lineRule="auto"/>
        <w:rPr>
          <w:rFonts w:ascii="Times New Roman" w:hAnsi="Times New Roman" w:cs="Times New Roman"/>
          <w:sz w:val="18"/>
          <w:szCs w:val="21"/>
        </w:rPr>
      </w:pPr>
      <w:r>
        <w:rPr>
          <w:rFonts w:ascii="Times New Roman" w:hAnsi="Times New Roman" w:cs="Times New Roman"/>
          <w:sz w:val="18"/>
          <w:szCs w:val="21"/>
        </w:rPr>
        <w:t xml:space="preserve">Note: Values are presented as means (standard deviations). Abbreviations: Pre, patients before left vertebral artery stenting; Post, patients after left vertebral artery stenting; CC, Clustering Coefficient; SPL, Shortest Path Length. </w:t>
      </w:r>
    </w:p>
    <w:p w14:paraId="6815811F" w14:textId="77777777" w:rsidR="00A557C6" w:rsidRDefault="00A557C6">
      <w:pPr>
        <w:jc w:val="center"/>
        <w:rPr>
          <w:rFonts w:ascii="Times New Roman" w:hAnsi="Times New Roman" w:cs="Times New Roman"/>
          <w:b/>
          <w:bCs/>
          <w:sz w:val="28"/>
          <w:szCs w:val="36"/>
        </w:rPr>
      </w:pPr>
    </w:p>
    <w:p w14:paraId="1C076099" w14:textId="77777777" w:rsidR="00A557C6" w:rsidRDefault="00A557C6">
      <w:pPr>
        <w:jc w:val="center"/>
        <w:rPr>
          <w:rFonts w:ascii="Times New Roman" w:hAnsi="Times New Roman" w:cs="Times New Roman"/>
          <w:b/>
          <w:bCs/>
          <w:sz w:val="28"/>
          <w:szCs w:val="36"/>
        </w:rPr>
      </w:pPr>
    </w:p>
    <w:p w14:paraId="62119B5B" w14:textId="77777777" w:rsidR="00A557C6" w:rsidRDefault="00000000">
      <w:pPr>
        <w:pStyle w:val="a5"/>
        <w:shd w:val="clear" w:color="auto" w:fill="FFFFFF"/>
        <w:spacing w:before="0" w:beforeAutospacing="0" w:after="0" w:afterAutospacing="0" w:line="360" w:lineRule="auto"/>
        <w:jc w:val="both"/>
        <w:rPr>
          <w:rFonts w:ascii="Times New Roman" w:hAnsi="Times New Roman" w:cs="Times New Roman"/>
          <w:b/>
          <w:bCs/>
          <w:sz w:val="28"/>
          <w:szCs w:val="36"/>
        </w:rPr>
      </w:pPr>
      <w:r>
        <w:rPr>
          <w:rFonts w:ascii="Times New Roman" w:hAnsi="Times New Roman" w:cs="Times New Roman"/>
          <w:sz w:val="18"/>
          <w:szCs w:val="21"/>
        </w:rPr>
        <w:br w:type="page"/>
      </w:r>
    </w:p>
    <w:p w14:paraId="5881E0BA" w14:textId="77777777" w:rsidR="00A557C6" w:rsidRDefault="00000000">
      <w:pPr>
        <w:spacing w:line="360" w:lineRule="auto"/>
        <w:rPr>
          <w:rFonts w:ascii="Times New Roman" w:hAnsi="Times New Roman" w:cs="Times New Roman"/>
          <w:b/>
          <w:bCs/>
          <w:sz w:val="18"/>
          <w:szCs w:val="21"/>
        </w:rPr>
      </w:pPr>
      <w:r>
        <w:rPr>
          <w:rFonts w:ascii="Times New Roman" w:hAnsi="Times New Roman" w:cs="Times New Roman"/>
          <w:b/>
          <w:bCs/>
          <w:noProof/>
          <w:sz w:val="18"/>
          <w:szCs w:val="21"/>
        </w:rPr>
        <w:lastRenderedPageBreak/>
        <w:drawing>
          <wp:inline distT="0" distB="0" distL="0" distR="0" wp14:anchorId="25317CA6" wp14:editId="7687A9E5">
            <wp:extent cx="5274310" cy="3482975"/>
            <wp:effectExtent l="0" t="0" r="0" b="0"/>
            <wp:docPr id="967848371" name="图片 1" descr="图片包含 树状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8371" name="图片 1" descr="图片包含 树状图&#10;&#10;描述已自动生成"/>
                    <pic:cNvPicPr>
                      <a:picLocks noChangeAspect="1"/>
                    </pic:cNvPicPr>
                  </pic:nvPicPr>
                  <pic:blipFill>
                    <a:blip r:embed="rId4"/>
                    <a:stretch>
                      <a:fillRect/>
                    </a:stretch>
                  </pic:blipFill>
                  <pic:spPr>
                    <a:xfrm>
                      <a:off x="0" y="0"/>
                      <a:ext cx="5274310" cy="3482975"/>
                    </a:xfrm>
                    <a:prstGeom prst="rect">
                      <a:avLst/>
                    </a:prstGeom>
                  </pic:spPr>
                </pic:pic>
              </a:graphicData>
            </a:graphic>
          </wp:inline>
        </w:drawing>
      </w:r>
    </w:p>
    <w:p w14:paraId="09972447" w14:textId="77777777" w:rsidR="00A557C6" w:rsidRDefault="00000000">
      <w:pPr>
        <w:spacing w:line="360" w:lineRule="auto"/>
        <w:rPr>
          <w:rFonts w:ascii="Times New Roman" w:hAnsi="Times New Roman" w:cs="Times New Roman"/>
          <w:sz w:val="18"/>
          <w:szCs w:val="21"/>
        </w:rPr>
      </w:pPr>
      <w:r>
        <w:rPr>
          <w:rFonts w:ascii="Times New Roman" w:hAnsi="Times New Roman" w:cs="Times New Roman"/>
          <w:b/>
          <w:bCs/>
          <w:sz w:val="18"/>
          <w:szCs w:val="21"/>
        </w:rPr>
        <w:t xml:space="preserve">Figure S1. Q-value heatmap of functional networks other than the default network. </w:t>
      </w:r>
      <w:r>
        <w:rPr>
          <w:rFonts w:ascii="Times New Roman" w:hAnsi="Times New Roman" w:cs="Times New Roman"/>
          <w:sz w:val="18"/>
          <w:szCs w:val="21"/>
        </w:rPr>
        <w:t xml:space="preserve">The results indicate that, apart from the DMN, no other networks have results that pass </w:t>
      </w:r>
      <w:r>
        <w:rPr>
          <w:rFonts w:ascii="Times New Roman" w:hAnsi="Times New Roman" w:cs="Times New Roman" w:hint="eastAsia"/>
          <w:sz w:val="18"/>
          <w:szCs w:val="21"/>
        </w:rPr>
        <w:t>the</w:t>
      </w:r>
      <w:r>
        <w:rPr>
          <w:rFonts w:ascii="Times New Roman" w:hAnsi="Times New Roman" w:cs="Times New Roman"/>
          <w:sz w:val="18"/>
          <w:szCs w:val="21"/>
        </w:rPr>
        <w:t xml:space="preserve"> FDR correction. PC, Participation Coefficient; DC, Degree Centrality; Ne, Nodal Efficiency; SPL, Shortest Path Length; BC, Betweenness Centrality. CC, Clustering coefficient, DAN, dorsal attention network; DMN, default mode network; FPN, frontoparietal network; SMN, somatomotor network; VAN, ventral attention network; VN, visual network.</w:t>
      </w:r>
    </w:p>
    <w:p w14:paraId="06577011" w14:textId="77777777" w:rsidR="00A557C6" w:rsidRDefault="00000000">
      <w:pPr>
        <w:widowControl/>
        <w:jc w:val="left"/>
        <w:rPr>
          <w:rFonts w:ascii="Times New Roman" w:hAnsi="Times New Roman" w:cs="Times New Roman"/>
          <w:sz w:val="18"/>
          <w:szCs w:val="21"/>
        </w:rPr>
      </w:pPr>
      <w:r>
        <w:rPr>
          <w:rFonts w:ascii="Times New Roman" w:hAnsi="Times New Roman" w:cs="Times New Roman"/>
          <w:sz w:val="18"/>
          <w:szCs w:val="21"/>
        </w:rPr>
        <w:br w:type="page"/>
      </w:r>
    </w:p>
    <w:p w14:paraId="6372FF76" w14:textId="77777777" w:rsidR="00A557C6" w:rsidRDefault="00000000">
      <w:pPr>
        <w:spacing w:line="360" w:lineRule="auto"/>
        <w:jc w:val="center"/>
        <w:rPr>
          <w:rFonts w:ascii="Times New Roman" w:hAnsi="Times New Roman" w:cs="Times New Roman"/>
          <w:sz w:val="18"/>
          <w:szCs w:val="21"/>
        </w:rPr>
      </w:pPr>
      <w:r>
        <w:rPr>
          <w:rFonts w:ascii="Times New Roman" w:hAnsi="Times New Roman" w:cs="Times New Roman"/>
          <w:noProof/>
          <w:sz w:val="18"/>
          <w:szCs w:val="21"/>
        </w:rPr>
        <w:lastRenderedPageBreak/>
        <w:drawing>
          <wp:inline distT="0" distB="0" distL="0" distR="0" wp14:anchorId="4D8D9BDE" wp14:editId="4CA18038">
            <wp:extent cx="4006850" cy="3515360"/>
            <wp:effectExtent l="0" t="0" r="6350" b="2540"/>
            <wp:docPr id="2946519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51930" name="图片 1"/>
                    <pic:cNvPicPr>
                      <a:picLocks noChangeAspect="1"/>
                    </pic:cNvPicPr>
                  </pic:nvPicPr>
                  <pic:blipFill>
                    <a:blip r:embed="rId5"/>
                    <a:stretch>
                      <a:fillRect/>
                    </a:stretch>
                  </pic:blipFill>
                  <pic:spPr>
                    <a:xfrm>
                      <a:off x="0" y="0"/>
                      <a:ext cx="4018936" cy="3525884"/>
                    </a:xfrm>
                    <a:prstGeom prst="rect">
                      <a:avLst/>
                    </a:prstGeom>
                  </pic:spPr>
                </pic:pic>
              </a:graphicData>
            </a:graphic>
          </wp:inline>
        </w:drawing>
      </w:r>
    </w:p>
    <w:p w14:paraId="4DBF300D" w14:textId="77777777" w:rsidR="00A557C6" w:rsidRDefault="00000000">
      <w:pPr>
        <w:spacing w:line="360" w:lineRule="auto"/>
        <w:rPr>
          <w:rFonts w:ascii="Times New Roman" w:hAnsi="Times New Roman" w:cs="Times New Roman"/>
          <w:sz w:val="18"/>
          <w:szCs w:val="21"/>
        </w:rPr>
      </w:pPr>
      <w:r>
        <w:rPr>
          <w:rFonts w:ascii="Times New Roman" w:hAnsi="Times New Roman" w:cs="Times New Roman"/>
          <w:b/>
          <w:bCs/>
          <w:sz w:val="18"/>
          <w:szCs w:val="21"/>
        </w:rPr>
        <w:t xml:space="preserve">Figure S2. Changes in the betweenness centrality of </w:t>
      </w:r>
      <w:r>
        <w:rPr>
          <w:rFonts w:ascii="Times New Roman" w:hAnsi="Times New Roman" w:cs="Times New Roman" w:hint="eastAsia"/>
          <w:b/>
          <w:bCs/>
          <w:sz w:val="18"/>
          <w:szCs w:val="21"/>
        </w:rPr>
        <w:t>DMN</w:t>
      </w:r>
      <w:r>
        <w:rPr>
          <w:rFonts w:ascii="Times New Roman" w:hAnsi="Times New Roman" w:cs="Times New Roman"/>
          <w:b/>
          <w:bCs/>
          <w:sz w:val="18"/>
          <w:szCs w:val="21"/>
        </w:rPr>
        <w:t xml:space="preserve"> regions before and after </w:t>
      </w:r>
      <w:r>
        <w:rPr>
          <w:rFonts w:ascii="Times New Roman" w:hAnsi="Times New Roman" w:cs="Times New Roman" w:hint="eastAsia"/>
          <w:b/>
          <w:bCs/>
          <w:sz w:val="18"/>
          <w:szCs w:val="21"/>
        </w:rPr>
        <w:t>dc</w:t>
      </w:r>
      <w:r>
        <w:rPr>
          <w:rFonts w:ascii="Times New Roman" w:hAnsi="Times New Roman" w:cs="Times New Roman"/>
          <w:b/>
          <w:bCs/>
          <w:sz w:val="18"/>
          <w:szCs w:val="21"/>
        </w:rPr>
        <w:t xml:space="preserve">LVA. </w:t>
      </w:r>
      <w:r>
        <w:rPr>
          <w:rFonts w:ascii="Times New Roman" w:hAnsi="Times New Roman" w:cs="Times New Roman"/>
          <w:sz w:val="18"/>
          <w:szCs w:val="21"/>
        </w:rPr>
        <w:t>L-PHG, Left parahippocampal gyrus</w:t>
      </w:r>
      <w:r>
        <w:rPr>
          <w:rFonts w:ascii="Times New Roman" w:hAnsi="Times New Roman" w:cs="Times New Roman" w:hint="eastAsia"/>
          <w:sz w:val="18"/>
          <w:szCs w:val="21"/>
        </w:rPr>
        <w:t>,</w:t>
      </w:r>
      <w:r>
        <w:rPr>
          <w:rFonts w:ascii="Times New Roman" w:hAnsi="Times New Roman" w:cs="Times New Roman"/>
          <w:sz w:val="18"/>
          <w:szCs w:val="21"/>
        </w:rPr>
        <w:t xml:space="preserve"> BC, betweenness centrality. In the paired violin plot, the left side represents data before treatment, and the right side represents data after treatment. The median change before and after treatment is connected by a black dashed line. Individual-level data is connected by gray lines.</w:t>
      </w:r>
    </w:p>
    <w:p w14:paraId="3AA348ED" w14:textId="77777777" w:rsidR="00A557C6" w:rsidRDefault="00A557C6">
      <w:pPr>
        <w:spacing w:line="360" w:lineRule="auto"/>
        <w:rPr>
          <w:rFonts w:ascii="Times New Roman" w:hAnsi="Times New Roman" w:cs="Times New Roman"/>
          <w:sz w:val="18"/>
          <w:szCs w:val="21"/>
        </w:rPr>
      </w:pPr>
    </w:p>
    <w:sectPr w:rsidR="00A55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4C"/>
    <w:rsid w:val="0000568F"/>
    <w:rsid w:val="000058B3"/>
    <w:rsid w:val="00012952"/>
    <w:rsid w:val="00032AD0"/>
    <w:rsid w:val="0005606E"/>
    <w:rsid w:val="00056CA9"/>
    <w:rsid w:val="00077B7A"/>
    <w:rsid w:val="00082246"/>
    <w:rsid w:val="000A7E36"/>
    <w:rsid w:val="000B2F04"/>
    <w:rsid w:val="000E1FB4"/>
    <w:rsid w:val="00130A28"/>
    <w:rsid w:val="00133621"/>
    <w:rsid w:val="00164CEA"/>
    <w:rsid w:val="00184A54"/>
    <w:rsid w:val="00192691"/>
    <w:rsid w:val="001A4979"/>
    <w:rsid w:val="001C2A2D"/>
    <w:rsid w:val="001C7414"/>
    <w:rsid w:val="00214001"/>
    <w:rsid w:val="00246CE5"/>
    <w:rsid w:val="00267E0C"/>
    <w:rsid w:val="00283130"/>
    <w:rsid w:val="00286837"/>
    <w:rsid w:val="00295E57"/>
    <w:rsid w:val="002B1653"/>
    <w:rsid w:val="002B21B3"/>
    <w:rsid w:val="0030174B"/>
    <w:rsid w:val="003107B8"/>
    <w:rsid w:val="00324AD7"/>
    <w:rsid w:val="003318F4"/>
    <w:rsid w:val="00331F5F"/>
    <w:rsid w:val="00334FE3"/>
    <w:rsid w:val="003E46D6"/>
    <w:rsid w:val="00400C62"/>
    <w:rsid w:val="00404885"/>
    <w:rsid w:val="0040507E"/>
    <w:rsid w:val="004053B9"/>
    <w:rsid w:val="0041487E"/>
    <w:rsid w:val="00423A5E"/>
    <w:rsid w:val="00435F68"/>
    <w:rsid w:val="004364BA"/>
    <w:rsid w:val="00437931"/>
    <w:rsid w:val="00456EB8"/>
    <w:rsid w:val="004640ED"/>
    <w:rsid w:val="00482075"/>
    <w:rsid w:val="0049027F"/>
    <w:rsid w:val="004960B6"/>
    <w:rsid w:val="004D6FB1"/>
    <w:rsid w:val="004E148E"/>
    <w:rsid w:val="004F26F8"/>
    <w:rsid w:val="00512CB3"/>
    <w:rsid w:val="00526B6F"/>
    <w:rsid w:val="00527BA1"/>
    <w:rsid w:val="005511AC"/>
    <w:rsid w:val="00560D55"/>
    <w:rsid w:val="00581286"/>
    <w:rsid w:val="005929A8"/>
    <w:rsid w:val="00592DB0"/>
    <w:rsid w:val="00597C3C"/>
    <w:rsid w:val="005A1E99"/>
    <w:rsid w:val="005A3275"/>
    <w:rsid w:val="005D54B2"/>
    <w:rsid w:val="006204A9"/>
    <w:rsid w:val="006230D0"/>
    <w:rsid w:val="00640843"/>
    <w:rsid w:val="0068760F"/>
    <w:rsid w:val="006C1F66"/>
    <w:rsid w:val="006C35FC"/>
    <w:rsid w:val="006C6FDE"/>
    <w:rsid w:val="006E044C"/>
    <w:rsid w:val="006F0951"/>
    <w:rsid w:val="0071532F"/>
    <w:rsid w:val="00742BCF"/>
    <w:rsid w:val="00743FBA"/>
    <w:rsid w:val="00744704"/>
    <w:rsid w:val="007460C7"/>
    <w:rsid w:val="0076274F"/>
    <w:rsid w:val="00763EC5"/>
    <w:rsid w:val="007656D9"/>
    <w:rsid w:val="007A7204"/>
    <w:rsid w:val="007D7F35"/>
    <w:rsid w:val="007E6FBA"/>
    <w:rsid w:val="007F1F12"/>
    <w:rsid w:val="00815B04"/>
    <w:rsid w:val="00815F76"/>
    <w:rsid w:val="0083246D"/>
    <w:rsid w:val="008A0EF4"/>
    <w:rsid w:val="008B23DD"/>
    <w:rsid w:val="008B695B"/>
    <w:rsid w:val="008C3CB5"/>
    <w:rsid w:val="008E084E"/>
    <w:rsid w:val="00900B47"/>
    <w:rsid w:val="00917DAA"/>
    <w:rsid w:val="00933661"/>
    <w:rsid w:val="00952462"/>
    <w:rsid w:val="00954CA7"/>
    <w:rsid w:val="009617D7"/>
    <w:rsid w:val="00973A5F"/>
    <w:rsid w:val="009E6ECD"/>
    <w:rsid w:val="00A02023"/>
    <w:rsid w:val="00A13D3F"/>
    <w:rsid w:val="00A17679"/>
    <w:rsid w:val="00A212D5"/>
    <w:rsid w:val="00A252E6"/>
    <w:rsid w:val="00A33BC2"/>
    <w:rsid w:val="00A3728B"/>
    <w:rsid w:val="00A41018"/>
    <w:rsid w:val="00A4497A"/>
    <w:rsid w:val="00A557C6"/>
    <w:rsid w:val="00A712BE"/>
    <w:rsid w:val="00AC18D0"/>
    <w:rsid w:val="00AC2F89"/>
    <w:rsid w:val="00AD3CE5"/>
    <w:rsid w:val="00AE7CD8"/>
    <w:rsid w:val="00B01753"/>
    <w:rsid w:val="00B43FD2"/>
    <w:rsid w:val="00B47456"/>
    <w:rsid w:val="00B53294"/>
    <w:rsid w:val="00B533FF"/>
    <w:rsid w:val="00B609DC"/>
    <w:rsid w:val="00BC2C60"/>
    <w:rsid w:val="00BD2E8A"/>
    <w:rsid w:val="00BD53FA"/>
    <w:rsid w:val="00BE18F2"/>
    <w:rsid w:val="00BF59F8"/>
    <w:rsid w:val="00C040CE"/>
    <w:rsid w:val="00C11A8A"/>
    <w:rsid w:val="00C21885"/>
    <w:rsid w:val="00C42CDA"/>
    <w:rsid w:val="00C5669A"/>
    <w:rsid w:val="00C63928"/>
    <w:rsid w:val="00C67FAA"/>
    <w:rsid w:val="00C729C7"/>
    <w:rsid w:val="00CA747A"/>
    <w:rsid w:val="00CC229B"/>
    <w:rsid w:val="00CC5A59"/>
    <w:rsid w:val="00CD03CE"/>
    <w:rsid w:val="00CF1AB8"/>
    <w:rsid w:val="00CF1F6A"/>
    <w:rsid w:val="00D1594C"/>
    <w:rsid w:val="00D55250"/>
    <w:rsid w:val="00D61E1C"/>
    <w:rsid w:val="00D65D04"/>
    <w:rsid w:val="00D758F4"/>
    <w:rsid w:val="00D97C9B"/>
    <w:rsid w:val="00DA6485"/>
    <w:rsid w:val="00DB1556"/>
    <w:rsid w:val="00DF07AD"/>
    <w:rsid w:val="00DF598C"/>
    <w:rsid w:val="00DF7D78"/>
    <w:rsid w:val="00E16D9B"/>
    <w:rsid w:val="00E23433"/>
    <w:rsid w:val="00E32A43"/>
    <w:rsid w:val="00E408A0"/>
    <w:rsid w:val="00E40D1A"/>
    <w:rsid w:val="00E5300A"/>
    <w:rsid w:val="00E80143"/>
    <w:rsid w:val="00EC6639"/>
    <w:rsid w:val="00ED43A9"/>
    <w:rsid w:val="00F02587"/>
    <w:rsid w:val="00F67BBC"/>
    <w:rsid w:val="00F730E4"/>
    <w:rsid w:val="00F87B8D"/>
    <w:rsid w:val="00F90CE7"/>
    <w:rsid w:val="00FB08E4"/>
    <w:rsid w:val="00FC5AF6"/>
    <w:rsid w:val="00FD0885"/>
    <w:rsid w:val="00FD5ED5"/>
    <w:rsid w:val="00FF467B"/>
    <w:rsid w:val="00FF5933"/>
    <w:rsid w:val="04912B63"/>
    <w:rsid w:val="6EA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6F35B0"/>
  <w15:docId w15:val="{1FEE3C67-A2B7-774C-9B4F-58ACE8BC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link w:val="40"/>
    <w:uiPriority w:val="9"/>
    <w:qFormat/>
    <w:pPr>
      <w:widowControl/>
      <w:spacing w:before="100" w:beforeAutospacing="1" w:after="100" w:afterAutospacing="1"/>
      <w:jc w:val="left"/>
      <w:outlineLvl w:val="3"/>
    </w:pPr>
    <w:rPr>
      <w:rFonts w:ascii="宋体" w:eastAsia="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Pr>
      <w:b/>
      <w:bCs/>
    </w:rPr>
  </w:style>
  <w:style w:type="character" w:styleId="a7">
    <w:name w:val="annotation reference"/>
    <w:basedOn w:val="a0"/>
    <w:uiPriority w:val="99"/>
    <w:semiHidden/>
    <w:unhideWhenUsed/>
    <w:rPr>
      <w:sz w:val="21"/>
      <w:szCs w:val="21"/>
    </w:rPr>
  </w:style>
  <w:style w:type="character" w:customStyle="1" w:styleId="40">
    <w:name w:val="标题 4 字符"/>
    <w:basedOn w:val="a0"/>
    <w:link w:val="4"/>
    <w:uiPriority w:val="9"/>
    <w:qFormat/>
    <w:rPr>
      <w:rFonts w:ascii="宋体" w:eastAsia="宋体" w:hAnsi="宋体" w:cs="宋体"/>
      <w:b/>
      <w:bCs/>
      <w:kern w:val="0"/>
      <w:sz w:val="24"/>
      <w14:ligatures w14:val="none"/>
    </w:rPr>
  </w:style>
  <w:style w:type="character" w:customStyle="1" w:styleId="a4">
    <w:name w:val="批注文字 字符"/>
    <w:basedOn w:val="a0"/>
    <w:link w:val="a3"/>
    <w:uiPriority w:val="99"/>
    <w:qFormat/>
    <w:rPr>
      <w14:ligatures w14:val="none"/>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psy</dc:creator>
  <cp:lastModifiedBy>x psy</cp:lastModifiedBy>
  <cp:revision>2</cp:revision>
  <dcterms:created xsi:type="dcterms:W3CDTF">2025-09-10T14:17:00Z</dcterms:created>
  <dcterms:modified xsi:type="dcterms:W3CDTF">2025-09-10T14:17:00Z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eyJoZGlkIjoiZTUyMDgxZTU1NzcxZmQ5YmU1NTBlZmMxY2NhOTAwYWYiLCJ1c2VySWQiOiIxNjg4MTU4NTg4In0=</vt:lpwstr>
  </property>
  <property fmtid="{D5CDD505-2E9C-101B-9397-08002B2CF9AE}" pid="3" name="KSOProductBuildVer">
    <vt:lpwstr>2052-12.1.0.21541</vt:lpwstr>
  </property>
  <property fmtid="{D5CDD505-2E9C-101B-9397-08002B2CF9AE}" pid="4" name="ICV">
    <vt:lpwstr>0D733F254268478298A6EEC510BCCF4A_12</vt:lpwstr>
  </property>
</Properties>
</file>