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2B27" w14:textId="2D214CCA" w:rsidR="41917486" w:rsidRDefault="41917486" w:rsidP="0E7EEEF0">
      <w:pPr>
        <w:spacing w:after="0" w:line="276" w:lineRule="auto"/>
        <w:ind w:right="-30"/>
        <w:jc w:val="both"/>
        <w:rPr>
          <w:rFonts w:ascii="Roboto" w:eastAsia="Roboto" w:hAnsi="Roboto" w:cs="Roboto"/>
          <w:lang w:val="en-US"/>
        </w:rPr>
      </w:pPr>
      <w:r w:rsidRPr="0E7EEEF0">
        <w:rPr>
          <w:rFonts w:ascii="Roboto" w:eastAsia="Roboto" w:hAnsi="Roboto" w:cs="Roboto"/>
          <w:b/>
          <w:bCs/>
          <w:lang w:val="en-US"/>
        </w:rPr>
        <w:t xml:space="preserve">Supplementary Figure S1: Genomic profile of the commercial mock microbial community (MSA-1002TM, ATCC) obtained from </w:t>
      </w:r>
      <w:proofErr w:type="spellStart"/>
      <w:r w:rsidRPr="0E7EEEF0">
        <w:rPr>
          <w:rFonts w:ascii="Roboto" w:eastAsia="Roboto" w:hAnsi="Roboto" w:cs="Roboto"/>
          <w:b/>
          <w:bCs/>
          <w:lang w:val="en-US"/>
        </w:rPr>
        <w:t>Femto</w:t>
      </w:r>
      <w:proofErr w:type="spellEnd"/>
      <w:r w:rsidRPr="0E7EEEF0">
        <w:rPr>
          <w:rFonts w:ascii="Roboto" w:eastAsia="Roboto" w:hAnsi="Roboto" w:cs="Roboto"/>
          <w:b/>
          <w:bCs/>
          <w:lang w:val="en-US"/>
        </w:rPr>
        <w:t xml:space="preserve"> Pulse System with Genomic DNA 165 kb Kit. </w:t>
      </w:r>
      <w:r w:rsidRPr="0E7EEEF0">
        <w:rPr>
          <w:rFonts w:ascii="Roboto" w:eastAsia="Roboto" w:hAnsi="Roboto" w:cs="Roboto"/>
          <w:lang w:val="en-US"/>
        </w:rPr>
        <w:t>(</w:t>
      </w:r>
      <w:r w:rsidRPr="0E7EEEF0">
        <w:rPr>
          <w:rFonts w:ascii="Roboto" w:eastAsia="Roboto" w:hAnsi="Roboto" w:cs="Roboto"/>
          <w:b/>
          <w:bCs/>
          <w:lang w:val="en-US"/>
        </w:rPr>
        <w:t>A</w:t>
      </w:r>
      <w:r w:rsidRPr="0E7EEEF0">
        <w:rPr>
          <w:rFonts w:ascii="Roboto" w:eastAsia="Roboto" w:hAnsi="Roboto" w:cs="Roboto"/>
          <w:lang w:val="en-US"/>
        </w:rPr>
        <w:t xml:space="preserve">) The </w:t>
      </w:r>
      <w:proofErr w:type="spellStart"/>
      <w:r w:rsidRPr="0E7EEEF0">
        <w:rPr>
          <w:rFonts w:ascii="Roboto" w:eastAsia="Roboto" w:hAnsi="Roboto" w:cs="Roboto"/>
          <w:lang w:val="en-US"/>
        </w:rPr>
        <w:t>Femto</w:t>
      </w:r>
      <w:proofErr w:type="spellEnd"/>
      <w:r w:rsidRPr="0E7EEEF0">
        <w:rPr>
          <w:rFonts w:ascii="Roboto" w:eastAsia="Roboto" w:hAnsi="Roboto" w:cs="Roboto"/>
          <w:lang w:val="en-US"/>
        </w:rPr>
        <w:t xml:space="preserve"> Pulse measurement of No-fragmented mock genomes showed a smear from 1 </w:t>
      </w:r>
      <w:proofErr w:type="spellStart"/>
      <w:r w:rsidRPr="0E7EEEF0">
        <w:rPr>
          <w:rFonts w:ascii="Roboto" w:eastAsia="Roboto" w:hAnsi="Roboto" w:cs="Roboto"/>
          <w:lang w:val="en-US"/>
        </w:rPr>
        <w:t>kbp</w:t>
      </w:r>
      <w:proofErr w:type="spellEnd"/>
      <w:r w:rsidRPr="0E7EEEF0">
        <w:rPr>
          <w:rFonts w:ascii="Roboto" w:eastAsia="Roboto" w:hAnsi="Roboto" w:cs="Roboto"/>
          <w:lang w:val="en-US"/>
        </w:rPr>
        <w:t xml:space="preserve"> to 2Mbp. (</w:t>
      </w:r>
      <w:r w:rsidRPr="0E7EEEF0">
        <w:rPr>
          <w:rFonts w:ascii="Roboto" w:eastAsia="Roboto" w:hAnsi="Roboto" w:cs="Roboto"/>
          <w:b/>
          <w:bCs/>
          <w:lang w:val="en-US"/>
        </w:rPr>
        <w:t>B</w:t>
      </w:r>
      <w:r w:rsidRPr="0E7EEEF0">
        <w:rPr>
          <w:rFonts w:ascii="Roboto" w:eastAsia="Roboto" w:hAnsi="Roboto" w:cs="Roboto"/>
          <w:lang w:val="en-US"/>
        </w:rPr>
        <w:t xml:space="preserve">) </w:t>
      </w:r>
      <w:proofErr w:type="spellStart"/>
      <w:r w:rsidRPr="0E7EEEF0">
        <w:rPr>
          <w:rFonts w:ascii="Roboto" w:eastAsia="Roboto" w:hAnsi="Roboto" w:cs="Roboto"/>
          <w:lang w:val="en-US"/>
        </w:rPr>
        <w:t>Femto</w:t>
      </w:r>
      <w:proofErr w:type="spellEnd"/>
      <w:r w:rsidRPr="0E7EEEF0">
        <w:rPr>
          <w:rFonts w:ascii="Roboto" w:eastAsia="Roboto" w:hAnsi="Roboto" w:cs="Roboto"/>
          <w:lang w:val="en-US"/>
        </w:rPr>
        <w:t xml:space="preserve"> Pulse profile of mock genomes after shearing by using Megaruptor®3 displayed 99% of the fragments between 1-30 kb, with a </w:t>
      </w:r>
      <w:r w:rsidR="5780C29F" w:rsidRPr="0E7EEEF0">
        <w:rPr>
          <w:rFonts w:ascii="Roboto" w:eastAsia="Roboto" w:hAnsi="Roboto" w:cs="Roboto"/>
          <w:lang w:val="en-US"/>
        </w:rPr>
        <w:t>peak of</w:t>
      </w:r>
      <w:r w:rsidRPr="0E7EEEF0">
        <w:rPr>
          <w:rFonts w:ascii="Roboto" w:eastAsia="Roboto" w:hAnsi="Roboto" w:cs="Roboto"/>
          <w:lang w:val="en-US"/>
        </w:rPr>
        <w:t xml:space="preserve"> about 12 </w:t>
      </w:r>
      <w:proofErr w:type="spellStart"/>
      <w:r w:rsidRPr="0E7EEEF0">
        <w:rPr>
          <w:rFonts w:ascii="Roboto" w:eastAsia="Roboto" w:hAnsi="Roboto" w:cs="Roboto"/>
          <w:lang w:val="en-US"/>
        </w:rPr>
        <w:t>kbp</w:t>
      </w:r>
      <w:proofErr w:type="spellEnd"/>
      <w:r w:rsidRPr="0E7EEEF0">
        <w:rPr>
          <w:rFonts w:ascii="Roboto" w:eastAsia="Roboto" w:hAnsi="Roboto" w:cs="Roboto"/>
          <w:lang w:val="en-US"/>
        </w:rPr>
        <w:t>.</w:t>
      </w:r>
    </w:p>
    <w:p w14:paraId="7CABBE26" w14:textId="77777777" w:rsidR="004103B0" w:rsidRDefault="004103B0" w:rsidP="0E7EEEF0">
      <w:pPr>
        <w:spacing w:after="0" w:line="276" w:lineRule="auto"/>
        <w:ind w:right="-30"/>
        <w:jc w:val="both"/>
        <w:rPr>
          <w:rFonts w:ascii="Roboto" w:eastAsia="Roboto" w:hAnsi="Roboto" w:cs="Roboto"/>
          <w:lang w:val="en-US"/>
        </w:rPr>
      </w:pPr>
    </w:p>
    <w:p w14:paraId="12B942A6" w14:textId="36311BA9" w:rsidR="004103B0" w:rsidRPr="00F87015" w:rsidRDefault="004103B0" w:rsidP="004103B0">
      <w:pPr>
        <w:spacing w:after="0" w:line="276" w:lineRule="auto"/>
        <w:ind w:right="-30"/>
        <w:jc w:val="both"/>
        <w:rPr>
          <w:rFonts w:ascii="Roboto" w:eastAsia="Roboto" w:hAnsi="Roboto" w:cs="Roboto"/>
          <w:color w:val="EE0000"/>
          <w:lang w:val="en-US"/>
        </w:rPr>
      </w:pPr>
      <w:r w:rsidRPr="00F87015">
        <w:rPr>
          <w:rFonts w:ascii="Roboto" w:eastAsia="Roboto" w:hAnsi="Roboto" w:cs="Roboto"/>
          <w:b/>
          <w:bCs/>
          <w:color w:val="EE0000"/>
          <w:lang w:val="en-US"/>
        </w:rPr>
        <w:t xml:space="preserve">Supplementary Figure S2: MASH distances between obtained MAGs and corresponding reference genome. </w:t>
      </w:r>
      <w:r w:rsidR="008474A6" w:rsidRPr="00F87015">
        <w:rPr>
          <w:rFonts w:ascii="Roboto" w:eastAsia="Roboto" w:hAnsi="Roboto" w:cs="Roboto"/>
          <w:color w:val="EE0000"/>
          <w:lang w:val="en-US"/>
        </w:rPr>
        <w:t xml:space="preserve">MASH-based 15,000 sketches of MAGs and corresponding </w:t>
      </w:r>
      <w:r w:rsidR="003E2151" w:rsidRPr="00F87015">
        <w:rPr>
          <w:rFonts w:ascii="Roboto" w:eastAsia="Roboto" w:hAnsi="Roboto" w:cs="Roboto"/>
          <w:color w:val="EE0000"/>
          <w:lang w:val="en-US"/>
        </w:rPr>
        <w:t>reference genome were compared to infer an approximation of the ANI (Average Nucleotide Index)</w:t>
      </w:r>
      <w:r w:rsidR="007D7B4A" w:rsidRPr="00F87015">
        <w:rPr>
          <w:rFonts w:ascii="Roboto" w:eastAsia="Roboto" w:hAnsi="Roboto" w:cs="Roboto"/>
          <w:color w:val="EE0000"/>
          <w:lang w:val="en-US"/>
        </w:rPr>
        <w:t xml:space="preserve"> distance.</w:t>
      </w:r>
      <w:r w:rsidR="007315EA" w:rsidRPr="00F87015">
        <w:rPr>
          <w:rFonts w:ascii="Roboto" w:eastAsia="Roboto" w:hAnsi="Roboto" w:cs="Roboto"/>
          <w:color w:val="EE0000"/>
          <w:lang w:val="en-US"/>
        </w:rPr>
        <w:t xml:space="preserve"> For each reference genome, the observed distances to the obtained MAGs were shown as a scatterplot.</w:t>
      </w:r>
      <w:r w:rsidR="00F45767" w:rsidRPr="00F87015">
        <w:rPr>
          <w:rFonts w:ascii="Roboto" w:eastAsia="Roboto" w:hAnsi="Roboto" w:cs="Roboto"/>
          <w:color w:val="EE0000"/>
          <w:lang w:val="en-US"/>
        </w:rPr>
        <w:t xml:space="preserve"> The combination of sequencing technique and assembly methods and the observed MASH distance as percentage were shown on the x and y axis, respectively.</w:t>
      </w:r>
      <w:r w:rsidR="007938C4" w:rsidRPr="00F87015">
        <w:rPr>
          <w:rFonts w:ascii="Roboto" w:eastAsia="Roboto" w:hAnsi="Roboto" w:cs="Roboto"/>
          <w:color w:val="EE0000"/>
          <w:lang w:val="en-US"/>
        </w:rPr>
        <w:t xml:space="preserve"> The dots are </w:t>
      </w:r>
      <w:proofErr w:type="spellStart"/>
      <w:r w:rsidR="007938C4" w:rsidRPr="00F87015">
        <w:rPr>
          <w:rFonts w:ascii="Roboto" w:eastAsia="Roboto" w:hAnsi="Roboto" w:cs="Roboto"/>
          <w:color w:val="EE0000"/>
          <w:lang w:val="en-US"/>
        </w:rPr>
        <w:t>coloured</w:t>
      </w:r>
      <w:proofErr w:type="spellEnd"/>
      <w:r w:rsidR="007938C4" w:rsidRPr="00F87015">
        <w:rPr>
          <w:rFonts w:ascii="Roboto" w:eastAsia="Roboto" w:hAnsi="Roboto" w:cs="Roboto"/>
          <w:color w:val="EE0000"/>
          <w:lang w:val="en-US"/>
        </w:rPr>
        <w:t xml:space="preserve"> according to the quality of the MAGs.</w:t>
      </w:r>
    </w:p>
    <w:p w14:paraId="27A133A1" w14:textId="77777777" w:rsidR="004103B0" w:rsidRPr="00F87015" w:rsidRDefault="004103B0" w:rsidP="0E7EEEF0">
      <w:pPr>
        <w:spacing w:after="0" w:line="276" w:lineRule="auto"/>
        <w:ind w:right="-30"/>
        <w:jc w:val="both"/>
        <w:rPr>
          <w:rFonts w:ascii="Roboto" w:eastAsia="Roboto" w:hAnsi="Roboto" w:cs="Roboto"/>
          <w:color w:val="EE0000"/>
          <w:lang w:val="en-US"/>
        </w:rPr>
      </w:pPr>
    </w:p>
    <w:p w14:paraId="4E2B43E1" w14:textId="78138206" w:rsidR="00102621" w:rsidRPr="00F87015" w:rsidRDefault="00102621" w:rsidP="00102621">
      <w:pPr>
        <w:spacing w:after="0" w:line="276" w:lineRule="auto"/>
        <w:ind w:right="-30"/>
        <w:jc w:val="both"/>
        <w:rPr>
          <w:rFonts w:ascii="Roboto" w:eastAsia="Roboto" w:hAnsi="Roboto" w:cs="Roboto"/>
          <w:color w:val="EE0000"/>
          <w:lang w:val="en-US"/>
        </w:rPr>
      </w:pPr>
      <w:r w:rsidRPr="00F87015">
        <w:rPr>
          <w:rFonts w:ascii="Roboto" w:eastAsia="Roboto" w:hAnsi="Roboto" w:cs="Roboto"/>
          <w:b/>
          <w:bCs/>
          <w:color w:val="EE0000"/>
          <w:lang w:val="en-US"/>
        </w:rPr>
        <w:t>Supplementary Figure S3</w:t>
      </w:r>
      <w:r w:rsidR="00875799" w:rsidRPr="00F87015">
        <w:rPr>
          <w:rFonts w:ascii="Roboto" w:eastAsia="Roboto" w:hAnsi="Roboto" w:cs="Roboto"/>
          <w:b/>
          <w:bCs/>
          <w:color w:val="EE0000"/>
          <w:lang w:val="en-US"/>
        </w:rPr>
        <w:t xml:space="preserve">: Relative Abundances of Mock community species. </w:t>
      </w:r>
      <w:r w:rsidR="008A6547" w:rsidRPr="00F87015">
        <w:rPr>
          <w:rFonts w:ascii="Roboto" w:eastAsia="Roboto" w:hAnsi="Roboto" w:cs="Roboto"/>
          <w:color w:val="EE0000"/>
          <w:lang w:val="en-US"/>
        </w:rPr>
        <w:t xml:space="preserve">The relative species abundances in mock </w:t>
      </w:r>
      <w:r w:rsidR="00523B07" w:rsidRPr="00F87015">
        <w:rPr>
          <w:rFonts w:ascii="Roboto" w:eastAsia="Roboto" w:hAnsi="Roboto" w:cs="Roboto"/>
          <w:color w:val="EE0000"/>
          <w:lang w:val="en-US"/>
        </w:rPr>
        <w:t xml:space="preserve">mixture and estimated in MAGs are shown as stacked </w:t>
      </w:r>
      <w:proofErr w:type="spellStart"/>
      <w:r w:rsidR="00523B07" w:rsidRPr="00F87015">
        <w:rPr>
          <w:rFonts w:ascii="Roboto" w:eastAsia="Roboto" w:hAnsi="Roboto" w:cs="Roboto"/>
          <w:color w:val="EE0000"/>
          <w:lang w:val="en-US"/>
        </w:rPr>
        <w:t>barplot</w:t>
      </w:r>
      <w:r w:rsidR="007A03F5" w:rsidRPr="00F87015">
        <w:rPr>
          <w:rFonts w:ascii="Roboto" w:eastAsia="Roboto" w:hAnsi="Roboto" w:cs="Roboto"/>
          <w:color w:val="EE0000"/>
          <w:lang w:val="en-US"/>
        </w:rPr>
        <w:t>s</w:t>
      </w:r>
      <w:proofErr w:type="spellEnd"/>
      <w:r w:rsidR="00523B07" w:rsidRPr="00F87015">
        <w:rPr>
          <w:rFonts w:ascii="Roboto" w:eastAsia="Roboto" w:hAnsi="Roboto" w:cs="Roboto"/>
          <w:color w:val="EE0000"/>
          <w:lang w:val="en-US"/>
        </w:rPr>
        <w:t xml:space="preserve">. </w:t>
      </w:r>
    </w:p>
    <w:p w14:paraId="28B1FD19" w14:textId="77777777" w:rsidR="00102621" w:rsidRDefault="00102621" w:rsidP="0E7EEEF0">
      <w:pPr>
        <w:spacing w:after="0" w:line="276" w:lineRule="auto"/>
        <w:ind w:right="-30"/>
        <w:jc w:val="both"/>
        <w:rPr>
          <w:rFonts w:ascii="Roboto" w:eastAsia="Roboto" w:hAnsi="Roboto" w:cs="Roboto"/>
          <w:lang w:val="en-US"/>
        </w:rPr>
      </w:pPr>
    </w:p>
    <w:p w14:paraId="09991DDD" w14:textId="3E9EA1C1" w:rsidR="0E7EEEF0" w:rsidRDefault="0E7EEEF0" w:rsidP="0E7EEEF0">
      <w:pPr>
        <w:spacing w:after="0" w:line="276" w:lineRule="auto"/>
        <w:ind w:right="-30"/>
        <w:jc w:val="both"/>
        <w:rPr>
          <w:rFonts w:ascii="Roboto" w:eastAsia="Roboto" w:hAnsi="Roboto" w:cs="Roboto"/>
          <w:b/>
          <w:bCs/>
          <w:lang w:val="en-US"/>
        </w:rPr>
      </w:pPr>
    </w:p>
    <w:p w14:paraId="59198B93" w14:textId="286462D8" w:rsidR="0E7EEEF0" w:rsidRDefault="664380BC" w:rsidP="00802E80">
      <w:pPr>
        <w:spacing w:after="0" w:line="276" w:lineRule="auto"/>
        <w:ind w:right="-30"/>
        <w:jc w:val="both"/>
        <w:rPr>
          <w:rFonts w:ascii="Roboto" w:eastAsia="Roboto" w:hAnsi="Roboto" w:cs="Roboto"/>
          <w:lang w:val="en-US"/>
        </w:rPr>
      </w:pPr>
      <w:r w:rsidRPr="0E7EEEF0">
        <w:rPr>
          <w:rFonts w:ascii="Roboto" w:eastAsia="Roboto" w:hAnsi="Roboto" w:cs="Roboto"/>
          <w:b/>
          <w:bCs/>
          <w:lang w:val="en-US"/>
        </w:rPr>
        <w:t>Supplementary Table S1: Taxonomic composition and genomic characteristics of the Mock ATCC 20 Strain Even Mix (MSA-1002TM, ATCC®, USA).</w:t>
      </w:r>
      <w:r w:rsidRPr="0E7EEEF0">
        <w:rPr>
          <w:rFonts w:ascii="Roboto" w:eastAsia="Roboto" w:hAnsi="Roboto" w:cs="Roboto"/>
          <w:lang w:val="en-US"/>
        </w:rPr>
        <w:t xml:space="preserve"> Per each strain, the species scientific name and the genome size</w:t>
      </w:r>
      <w:r w:rsidR="003F1950">
        <w:rPr>
          <w:rFonts w:ascii="Roboto" w:eastAsia="Roboto" w:hAnsi="Roboto" w:cs="Roboto"/>
          <w:lang w:val="en-US"/>
        </w:rPr>
        <w:t xml:space="preserve"> </w:t>
      </w:r>
      <w:r w:rsidR="003F1950" w:rsidRPr="00D46FA8">
        <w:rPr>
          <w:rFonts w:ascii="Roboto" w:eastAsia="Roboto" w:hAnsi="Roboto" w:cs="Roboto"/>
          <w:color w:val="EE0000"/>
          <w:lang w:val="en-US"/>
        </w:rPr>
        <w:t>and the estimated relative abundance</w:t>
      </w:r>
      <w:r w:rsidRPr="0E7EEEF0">
        <w:rPr>
          <w:rFonts w:ascii="Roboto" w:eastAsia="Roboto" w:hAnsi="Roboto" w:cs="Roboto"/>
          <w:lang w:val="en-US"/>
        </w:rPr>
        <w:t xml:space="preserve"> are listed. The last version of the Product Sheet was available on the ATCC website in 2022.</w:t>
      </w:r>
    </w:p>
    <w:p w14:paraId="2D1837F1" w14:textId="77777777" w:rsidR="00802E80" w:rsidRPr="00473A5A" w:rsidRDefault="00802E80" w:rsidP="00802E80">
      <w:pPr>
        <w:spacing w:after="0" w:line="276" w:lineRule="auto"/>
        <w:ind w:right="-30"/>
        <w:jc w:val="both"/>
        <w:rPr>
          <w:rFonts w:ascii="Roboto" w:eastAsia="Roboto" w:hAnsi="Roboto" w:cs="Roboto"/>
          <w:lang w:val="en-US"/>
        </w:rPr>
      </w:pPr>
    </w:p>
    <w:p w14:paraId="4B82461B" w14:textId="7551ABB7" w:rsidR="00CC1CF7" w:rsidRPr="00CC1CF7" w:rsidRDefault="001E44E7" w:rsidP="00802E80">
      <w:pPr>
        <w:jc w:val="both"/>
        <w:rPr>
          <w:rFonts w:ascii="Roboto" w:eastAsia="Roboto" w:hAnsi="Roboto" w:cs="Roboto"/>
          <w:lang w:val="en-GB"/>
        </w:rPr>
      </w:pPr>
      <w:r w:rsidRPr="0E7EEEF0">
        <w:rPr>
          <w:rFonts w:ascii="Roboto" w:eastAsia="Roboto" w:hAnsi="Roboto" w:cs="Roboto"/>
          <w:b/>
          <w:bCs/>
          <w:lang w:val="en-GB"/>
        </w:rPr>
        <w:t xml:space="preserve">Supplementary </w:t>
      </w:r>
      <w:r w:rsidR="7C3CA81D" w:rsidRPr="0E7EEEF0">
        <w:rPr>
          <w:rFonts w:ascii="Roboto" w:eastAsia="Roboto" w:hAnsi="Roboto" w:cs="Roboto"/>
          <w:b/>
          <w:bCs/>
          <w:lang w:val="en-GB"/>
        </w:rPr>
        <w:t>T</w:t>
      </w:r>
      <w:r w:rsidRPr="0E7EEEF0">
        <w:rPr>
          <w:rFonts w:ascii="Roboto" w:eastAsia="Roboto" w:hAnsi="Roboto" w:cs="Roboto"/>
          <w:b/>
          <w:bCs/>
          <w:lang w:val="en-GB"/>
        </w:rPr>
        <w:t>able S2</w:t>
      </w:r>
      <w:r w:rsidR="00EB66D9" w:rsidRPr="0E7EEEF0">
        <w:rPr>
          <w:rFonts w:ascii="Roboto" w:eastAsia="Roboto" w:hAnsi="Roboto" w:cs="Roboto"/>
          <w:b/>
          <w:bCs/>
          <w:lang w:val="en-GB"/>
        </w:rPr>
        <w:t xml:space="preserve">: </w:t>
      </w:r>
      <w:r w:rsidR="52D19C2F" w:rsidRPr="0E7EEEF0">
        <w:rPr>
          <w:rFonts w:ascii="Roboto" w:eastAsia="Roboto" w:hAnsi="Roboto" w:cs="Roboto"/>
          <w:b/>
          <w:bCs/>
          <w:lang w:val="en-GB"/>
        </w:rPr>
        <w:t>M</w:t>
      </w:r>
      <w:r w:rsidR="00EB66D9" w:rsidRPr="0E7EEEF0">
        <w:rPr>
          <w:rFonts w:ascii="Roboto" w:eastAsia="Roboto" w:hAnsi="Roboto" w:cs="Roboto"/>
          <w:b/>
          <w:bCs/>
          <w:lang w:val="en-GB"/>
        </w:rPr>
        <w:t>apping</w:t>
      </w:r>
      <w:r w:rsidR="72A56104" w:rsidRPr="0E7EEEF0">
        <w:rPr>
          <w:rFonts w:ascii="Roboto" w:eastAsia="Roboto" w:hAnsi="Roboto" w:cs="Roboto"/>
          <w:b/>
          <w:bCs/>
          <w:lang w:val="en-GB"/>
        </w:rPr>
        <w:t xml:space="preserve"> results</w:t>
      </w:r>
      <w:r w:rsidR="00EB66D9" w:rsidRPr="0E7EEEF0">
        <w:rPr>
          <w:rFonts w:ascii="Roboto" w:eastAsia="Roboto" w:hAnsi="Roboto" w:cs="Roboto"/>
          <w:b/>
          <w:bCs/>
          <w:lang w:val="en-GB"/>
        </w:rPr>
        <w:t xml:space="preserve"> for Illumina, Nanopore and PacBio reads against mock reference genomes. </w:t>
      </w:r>
      <w:r w:rsidR="00EB66D9" w:rsidRPr="0E7EEEF0">
        <w:rPr>
          <w:rFonts w:ascii="Roboto" w:eastAsia="Roboto" w:hAnsi="Roboto" w:cs="Roboto"/>
          <w:lang w:val="en-GB"/>
        </w:rPr>
        <w:t>Each row represent</w:t>
      </w:r>
      <w:r w:rsidR="00F63C26" w:rsidRPr="0E7EEEF0">
        <w:rPr>
          <w:rFonts w:ascii="Roboto" w:eastAsia="Roboto" w:hAnsi="Roboto" w:cs="Roboto"/>
          <w:lang w:val="en-GB"/>
        </w:rPr>
        <w:t>s</w:t>
      </w:r>
      <w:r w:rsidR="00EB66D9" w:rsidRPr="0E7EEEF0">
        <w:rPr>
          <w:rFonts w:ascii="Roboto" w:eastAsia="Roboto" w:hAnsi="Roboto" w:cs="Roboto"/>
          <w:lang w:val="en-GB"/>
        </w:rPr>
        <w:t xml:space="preserve"> a contig belonging to its reference genome. This table reports number of mapped reads</w:t>
      </w:r>
      <w:r w:rsidR="235FE9D9" w:rsidRPr="0E7EEEF0">
        <w:rPr>
          <w:rFonts w:ascii="Roboto" w:eastAsia="Roboto" w:hAnsi="Roboto" w:cs="Roboto"/>
          <w:lang w:val="en-GB"/>
        </w:rPr>
        <w:t xml:space="preserve"> (</w:t>
      </w:r>
      <w:r w:rsidR="235FE9D9" w:rsidRPr="0E7EEEF0">
        <w:rPr>
          <w:rFonts w:ascii="Roboto" w:eastAsia="Roboto" w:hAnsi="Roboto" w:cs="Roboto"/>
          <w:i/>
          <w:iCs/>
          <w:lang w:val="en-GB"/>
        </w:rPr>
        <w:t>n. reads</w:t>
      </w:r>
      <w:r w:rsidR="235FE9D9" w:rsidRPr="0E7EEEF0">
        <w:rPr>
          <w:rFonts w:ascii="Roboto" w:eastAsia="Roboto" w:hAnsi="Roboto" w:cs="Roboto"/>
          <w:lang w:val="en-GB"/>
        </w:rPr>
        <w:t>)</w:t>
      </w:r>
      <w:r w:rsidR="00EB66D9" w:rsidRPr="0E7EEEF0">
        <w:rPr>
          <w:rFonts w:ascii="Roboto" w:eastAsia="Roboto" w:hAnsi="Roboto" w:cs="Roboto"/>
          <w:lang w:val="en-GB"/>
        </w:rPr>
        <w:t>, covered bases</w:t>
      </w:r>
      <w:r w:rsidR="350744F0" w:rsidRPr="0E7EEEF0">
        <w:rPr>
          <w:rFonts w:ascii="Roboto" w:eastAsia="Roboto" w:hAnsi="Roboto" w:cs="Roboto"/>
          <w:lang w:val="en-GB"/>
        </w:rPr>
        <w:t xml:space="preserve"> (</w:t>
      </w:r>
      <w:proofErr w:type="spellStart"/>
      <w:r w:rsidR="350744F0" w:rsidRPr="0E7EEEF0">
        <w:rPr>
          <w:rFonts w:ascii="Roboto" w:eastAsia="Roboto" w:hAnsi="Roboto" w:cs="Roboto"/>
          <w:i/>
          <w:iCs/>
          <w:lang w:val="en-GB"/>
        </w:rPr>
        <w:t>cov</w:t>
      </w:r>
      <w:proofErr w:type="spellEnd"/>
      <w:r w:rsidR="350744F0" w:rsidRPr="0E7EEEF0">
        <w:rPr>
          <w:rFonts w:ascii="Roboto" w:eastAsia="Roboto" w:hAnsi="Roboto" w:cs="Roboto"/>
          <w:i/>
          <w:iCs/>
          <w:lang w:val="en-GB"/>
        </w:rPr>
        <w:t>. bases</w:t>
      </w:r>
      <w:r w:rsidR="350744F0" w:rsidRPr="0E7EEEF0">
        <w:rPr>
          <w:rFonts w:ascii="Roboto" w:eastAsia="Roboto" w:hAnsi="Roboto" w:cs="Roboto"/>
          <w:lang w:val="en-GB"/>
        </w:rPr>
        <w:t>)</w:t>
      </w:r>
      <w:r w:rsidR="00EB66D9" w:rsidRPr="0E7EEEF0">
        <w:rPr>
          <w:rFonts w:ascii="Roboto" w:eastAsia="Roboto" w:hAnsi="Roboto" w:cs="Roboto"/>
          <w:lang w:val="en-GB"/>
        </w:rPr>
        <w:t>, coverage</w:t>
      </w:r>
      <w:r w:rsidR="544EB753" w:rsidRPr="0E7EEEF0">
        <w:rPr>
          <w:rFonts w:ascii="Roboto" w:eastAsia="Roboto" w:hAnsi="Roboto" w:cs="Roboto"/>
          <w:lang w:val="en-GB"/>
        </w:rPr>
        <w:t xml:space="preserve"> </w:t>
      </w:r>
      <w:r w:rsidR="0597606E" w:rsidRPr="0E7EEEF0">
        <w:rPr>
          <w:rFonts w:ascii="Roboto" w:eastAsia="Roboto" w:hAnsi="Roboto" w:cs="Roboto"/>
          <w:lang w:val="en-GB"/>
        </w:rPr>
        <w:t>percentages (</w:t>
      </w:r>
      <w:r w:rsidR="0378E42A" w:rsidRPr="0E7EEEF0">
        <w:rPr>
          <w:rFonts w:ascii="Roboto" w:eastAsia="Roboto" w:hAnsi="Roboto" w:cs="Roboto"/>
          <w:i/>
          <w:iCs/>
          <w:lang w:val="en-GB"/>
        </w:rPr>
        <w:t>coverage</w:t>
      </w:r>
      <w:r w:rsidR="0378E42A" w:rsidRPr="0E7EEEF0">
        <w:rPr>
          <w:rFonts w:ascii="Roboto" w:eastAsia="Roboto" w:hAnsi="Roboto" w:cs="Roboto"/>
          <w:lang w:val="en-GB"/>
        </w:rPr>
        <w:t>)</w:t>
      </w:r>
      <w:r w:rsidR="00EB66D9" w:rsidRPr="0E7EEEF0">
        <w:rPr>
          <w:rFonts w:ascii="Roboto" w:eastAsia="Roboto" w:hAnsi="Roboto" w:cs="Roboto"/>
          <w:lang w:val="en-GB"/>
        </w:rPr>
        <w:t>, mean depth</w:t>
      </w:r>
      <w:r w:rsidR="7D7BD9D9" w:rsidRPr="0E7EEEF0">
        <w:rPr>
          <w:rFonts w:ascii="Roboto" w:eastAsia="Roboto" w:hAnsi="Roboto" w:cs="Roboto"/>
          <w:lang w:val="en-GB"/>
        </w:rPr>
        <w:t xml:space="preserve"> </w:t>
      </w:r>
      <w:r w:rsidR="7D7BD9D9" w:rsidRPr="0E7EEEF0">
        <w:rPr>
          <w:rFonts w:ascii="Roboto" w:eastAsia="Roboto" w:hAnsi="Roboto" w:cs="Roboto"/>
          <w:i/>
          <w:iCs/>
          <w:lang w:val="en-GB"/>
        </w:rPr>
        <w:t>(</w:t>
      </w:r>
      <w:proofErr w:type="spellStart"/>
      <w:r w:rsidR="7D7BD9D9" w:rsidRPr="0E7EEEF0">
        <w:rPr>
          <w:rFonts w:ascii="Roboto" w:eastAsia="Roboto" w:hAnsi="Roboto" w:cs="Roboto"/>
          <w:i/>
          <w:iCs/>
          <w:lang w:val="en-GB"/>
        </w:rPr>
        <w:t>meandepth</w:t>
      </w:r>
      <w:proofErr w:type="spellEnd"/>
      <w:r w:rsidR="7D7BD9D9" w:rsidRPr="0E7EEEF0">
        <w:rPr>
          <w:rFonts w:ascii="Roboto" w:eastAsia="Roboto" w:hAnsi="Roboto" w:cs="Roboto"/>
          <w:lang w:val="en-GB"/>
        </w:rPr>
        <w:t>)</w:t>
      </w:r>
      <w:r w:rsidR="00EB66D9" w:rsidRPr="0E7EEEF0">
        <w:rPr>
          <w:rFonts w:ascii="Roboto" w:eastAsia="Roboto" w:hAnsi="Roboto" w:cs="Roboto"/>
          <w:lang w:val="en-GB"/>
        </w:rPr>
        <w:t>, mean base quality</w:t>
      </w:r>
      <w:r w:rsidR="113853C0" w:rsidRPr="0E7EEEF0">
        <w:rPr>
          <w:rFonts w:ascii="Roboto" w:eastAsia="Roboto" w:hAnsi="Roboto" w:cs="Roboto"/>
          <w:lang w:val="en-GB"/>
        </w:rPr>
        <w:t xml:space="preserve"> </w:t>
      </w:r>
      <w:r w:rsidR="113853C0" w:rsidRPr="0E7EEEF0">
        <w:rPr>
          <w:rFonts w:ascii="Roboto" w:eastAsia="Roboto" w:hAnsi="Roboto" w:cs="Roboto"/>
          <w:i/>
          <w:iCs/>
          <w:lang w:val="en-GB"/>
        </w:rPr>
        <w:t>(</w:t>
      </w:r>
      <w:proofErr w:type="spellStart"/>
      <w:r w:rsidR="113853C0" w:rsidRPr="0E7EEEF0">
        <w:rPr>
          <w:rFonts w:ascii="Roboto" w:eastAsia="Roboto" w:hAnsi="Roboto" w:cs="Roboto"/>
          <w:i/>
          <w:iCs/>
          <w:lang w:val="en-GB"/>
        </w:rPr>
        <w:t>meanbaseq</w:t>
      </w:r>
      <w:proofErr w:type="spellEnd"/>
      <w:r w:rsidR="113853C0" w:rsidRPr="0E7EEEF0">
        <w:rPr>
          <w:rFonts w:ascii="Roboto" w:eastAsia="Roboto" w:hAnsi="Roboto" w:cs="Roboto"/>
          <w:lang w:val="en-GB"/>
        </w:rPr>
        <w:t>)</w:t>
      </w:r>
      <w:r w:rsidR="00EB66D9" w:rsidRPr="0E7EEEF0">
        <w:rPr>
          <w:rFonts w:ascii="Roboto" w:eastAsia="Roboto" w:hAnsi="Roboto" w:cs="Roboto"/>
          <w:lang w:val="en-GB"/>
        </w:rPr>
        <w:t>, mean map quality</w:t>
      </w:r>
      <w:r w:rsidR="0855E20C" w:rsidRPr="0E7EEEF0">
        <w:rPr>
          <w:rFonts w:ascii="Roboto" w:eastAsia="Roboto" w:hAnsi="Roboto" w:cs="Roboto"/>
          <w:lang w:val="en-GB"/>
        </w:rPr>
        <w:t xml:space="preserve"> (</w:t>
      </w:r>
      <w:proofErr w:type="spellStart"/>
      <w:r w:rsidR="0855E20C" w:rsidRPr="0E7EEEF0">
        <w:rPr>
          <w:rFonts w:ascii="Roboto" w:eastAsia="Roboto" w:hAnsi="Roboto" w:cs="Roboto"/>
          <w:i/>
          <w:iCs/>
          <w:lang w:val="en-GB"/>
        </w:rPr>
        <w:t>meanmapq</w:t>
      </w:r>
      <w:proofErr w:type="spellEnd"/>
      <w:r w:rsidR="0855E20C" w:rsidRPr="0E7EEEF0">
        <w:rPr>
          <w:rFonts w:ascii="Roboto" w:eastAsia="Roboto" w:hAnsi="Roboto" w:cs="Roboto"/>
          <w:lang w:val="en-GB"/>
        </w:rPr>
        <w:t>)</w:t>
      </w:r>
      <w:r w:rsidR="00EB66D9" w:rsidRPr="0E7EEEF0">
        <w:rPr>
          <w:rFonts w:ascii="Roboto" w:eastAsia="Roboto" w:hAnsi="Roboto" w:cs="Roboto"/>
          <w:lang w:val="en-GB"/>
        </w:rPr>
        <w:t xml:space="preserve">, Read Per Kilobase per </w:t>
      </w:r>
      <w:proofErr w:type="spellStart"/>
      <w:r w:rsidR="00EB66D9" w:rsidRPr="0E7EEEF0">
        <w:rPr>
          <w:rFonts w:ascii="Roboto" w:eastAsia="Roboto" w:hAnsi="Roboto" w:cs="Roboto"/>
          <w:lang w:val="en-GB"/>
        </w:rPr>
        <w:t>Milion</w:t>
      </w:r>
      <w:proofErr w:type="spellEnd"/>
      <w:r w:rsidR="69E6F2A6" w:rsidRPr="0E7EEEF0">
        <w:rPr>
          <w:rFonts w:ascii="Roboto" w:eastAsia="Roboto" w:hAnsi="Roboto" w:cs="Roboto"/>
          <w:lang w:val="en-GB"/>
        </w:rPr>
        <w:t xml:space="preserve"> (RPKM)</w:t>
      </w:r>
      <w:r w:rsidR="00EB66D9" w:rsidRPr="0E7EEEF0">
        <w:rPr>
          <w:rFonts w:ascii="Roboto" w:eastAsia="Roboto" w:hAnsi="Roboto" w:cs="Roboto"/>
          <w:lang w:val="en-GB"/>
        </w:rPr>
        <w:t>.</w:t>
      </w:r>
    </w:p>
    <w:p w14:paraId="1F526352" w14:textId="4FBF32AC" w:rsidR="00802E80" w:rsidRPr="006C32C6" w:rsidRDefault="00DA8F6E" w:rsidP="00802E80">
      <w:pPr>
        <w:jc w:val="both"/>
        <w:rPr>
          <w:rFonts w:ascii="Roboto" w:eastAsia="Roboto" w:hAnsi="Roboto" w:cs="Roboto"/>
          <w:b/>
          <w:bCs/>
          <w:lang w:val="en-GB"/>
        </w:rPr>
      </w:pPr>
      <w:r w:rsidRPr="0E7EEEF0">
        <w:rPr>
          <w:rFonts w:ascii="Roboto" w:eastAsia="Roboto" w:hAnsi="Roboto" w:cs="Roboto"/>
          <w:b/>
          <w:bCs/>
          <w:lang w:val="en-GB"/>
        </w:rPr>
        <w:t>Supplementary Table S3</w:t>
      </w:r>
      <w:r w:rsidR="42951BE4" w:rsidRPr="0E7EEEF0">
        <w:rPr>
          <w:rFonts w:ascii="Roboto" w:eastAsia="Roboto" w:hAnsi="Roboto" w:cs="Roboto"/>
          <w:b/>
          <w:bCs/>
          <w:lang w:val="en-GB"/>
        </w:rPr>
        <w:t>:</w:t>
      </w:r>
      <w:r w:rsidR="779F3574" w:rsidRPr="0E7EEEF0">
        <w:rPr>
          <w:rFonts w:ascii="Roboto" w:eastAsia="Roboto" w:hAnsi="Roboto" w:cs="Roboto"/>
          <w:b/>
          <w:bCs/>
          <w:lang w:val="en-GB"/>
        </w:rPr>
        <w:t xml:space="preserve">  </w:t>
      </w:r>
      <w:r w:rsidR="17416979" w:rsidRPr="0E7EEEF0">
        <w:rPr>
          <w:rFonts w:ascii="Roboto" w:eastAsia="Roboto" w:hAnsi="Roboto" w:cs="Roboto"/>
          <w:b/>
          <w:bCs/>
          <w:lang w:val="en-GB"/>
        </w:rPr>
        <w:t xml:space="preserve">Mapping results </w:t>
      </w:r>
      <w:r w:rsidR="779F3574" w:rsidRPr="0E7EEEF0">
        <w:rPr>
          <w:rFonts w:ascii="Roboto" w:eastAsia="Roboto" w:hAnsi="Roboto" w:cs="Roboto"/>
          <w:b/>
          <w:bCs/>
          <w:lang w:val="en-GB"/>
        </w:rPr>
        <w:t xml:space="preserve">for Illumina, Nanopore and PacBio contigs obtained by related meta-assemblers against mock reference genomes. </w:t>
      </w:r>
      <w:r w:rsidR="779F3574" w:rsidRPr="0E7EEEF0">
        <w:rPr>
          <w:rFonts w:ascii="Roboto" w:eastAsia="Roboto" w:hAnsi="Roboto" w:cs="Roboto"/>
          <w:lang w:val="en-GB"/>
        </w:rPr>
        <w:t xml:space="preserve">Each row represents a reference genome. For each </w:t>
      </w:r>
      <w:r w:rsidR="47AE3159" w:rsidRPr="0E7EEEF0">
        <w:rPr>
          <w:rFonts w:ascii="Roboto" w:eastAsia="Roboto" w:hAnsi="Roboto" w:cs="Roboto"/>
          <w:lang w:val="en-GB"/>
        </w:rPr>
        <w:t>combination</w:t>
      </w:r>
      <w:r w:rsidR="779F3574" w:rsidRPr="0E7EEEF0">
        <w:rPr>
          <w:rFonts w:ascii="Roboto" w:eastAsia="Roboto" w:hAnsi="Roboto" w:cs="Roboto"/>
          <w:lang w:val="en-GB"/>
        </w:rPr>
        <w:t xml:space="preserve"> of sequencing technology and meta-assembler</w:t>
      </w:r>
      <w:r w:rsidR="5322923B" w:rsidRPr="0E7EEEF0">
        <w:rPr>
          <w:rFonts w:ascii="Roboto" w:eastAsia="Roboto" w:hAnsi="Roboto" w:cs="Roboto"/>
          <w:lang w:val="en-GB"/>
        </w:rPr>
        <w:t>,</w:t>
      </w:r>
      <w:r w:rsidR="779F3574" w:rsidRPr="0E7EEEF0">
        <w:rPr>
          <w:rFonts w:ascii="Roboto" w:eastAsia="Roboto" w:hAnsi="Roboto" w:cs="Roboto"/>
          <w:lang w:val="en-GB"/>
        </w:rPr>
        <w:t xml:space="preserve"> this table reports the number of mapped </w:t>
      </w:r>
      <w:r w:rsidR="47AE3159" w:rsidRPr="0E7EEEF0">
        <w:rPr>
          <w:rFonts w:ascii="Roboto" w:eastAsia="Roboto" w:hAnsi="Roboto" w:cs="Roboto"/>
          <w:lang w:val="en-GB"/>
        </w:rPr>
        <w:t>contigs</w:t>
      </w:r>
      <w:r w:rsidR="28DE1F3B" w:rsidRPr="0E7EEEF0">
        <w:rPr>
          <w:rFonts w:ascii="Roboto" w:eastAsia="Roboto" w:hAnsi="Roboto" w:cs="Roboto"/>
          <w:lang w:val="en-GB"/>
        </w:rPr>
        <w:t xml:space="preserve"> (</w:t>
      </w:r>
      <w:r w:rsidR="28DE1F3B" w:rsidRPr="0E7EEEF0">
        <w:rPr>
          <w:rFonts w:ascii="Roboto" w:eastAsia="Roboto" w:hAnsi="Roboto" w:cs="Roboto"/>
          <w:i/>
          <w:iCs/>
          <w:lang w:val="en-GB"/>
        </w:rPr>
        <w:t>Fragments</w:t>
      </w:r>
      <w:r w:rsidR="28DE1F3B" w:rsidRPr="0E7EEEF0">
        <w:rPr>
          <w:rFonts w:ascii="Roboto" w:eastAsia="Roboto" w:hAnsi="Roboto" w:cs="Roboto"/>
          <w:lang w:val="en-GB"/>
        </w:rPr>
        <w:t>)</w:t>
      </w:r>
      <w:r w:rsidR="330800AC" w:rsidRPr="0E7EEEF0">
        <w:rPr>
          <w:rFonts w:ascii="Roboto" w:eastAsia="Roboto" w:hAnsi="Roboto" w:cs="Roboto"/>
          <w:lang w:val="en-GB"/>
        </w:rPr>
        <w:t xml:space="preserve"> and</w:t>
      </w:r>
      <w:r w:rsidR="57FDE2D3" w:rsidRPr="0E7EEEF0">
        <w:rPr>
          <w:rFonts w:ascii="Roboto" w:eastAsia="Roboto" w:hAnsi="Roboto" w:cs="Roboto"/>
          <w:lang w:val="en-GB"/>
        </w:rPr>
        <w:t xml:space="preserve"> the</w:t>
      </w:r>
      <w:r w:rsidR="779F3574" w:rsidRPr="0E7EEEF0">
        <w:rPr>
          <w:rFonts w:ascii="Roboto" w:eastAsia="Roboto" w:hAnsi="Roboto" w:cs="Roboto"/>
          <w:lang w:val="en-GB"/>
        </w:rPr>
        <w:t xml:space="preserve"> covered bases</w:t>
      </w:r>
      <w:r w:rsidR="47AE3159" w:rsidRPr="0E7EEEF0">
        <w:rPr>
          <w:rFonts w:ascii="Roboto" w:eastAsia="Roboto" w:hAnsi="Roboto" w:cs="Roboto"/>
          <w:lang w:val="en-GB"/>
        </w:rPr>
        <w:t xml:space="preserve"> percentage</w:t>
      </w:r>
      <w:r w:rsidR="59EAE5AD" w:rsidRPr="0E7EEEF0">
        <w:rPr>
          <w:rFonts w:ascii="Roboto" w:eastAsia="Roboto" w:hAnsi="Roboto" w:cs="Roboto"/>
          <w:lang w:val="en-GB"/>
        </w:rPr>
        <w:t xml:space="preserve"> (</w:t>
      </w:r>
      <w:r w:rsidR="59EAE5AD" w:rsidRPr="0E7EEEF0">
        <w:rPr>
          <w:rFonts w:ascii="Roboto" w:eastAsia="Roboto" w:hAnsi="Roboto" w:cs="Roboto"/>
          <w:i/>
          <w:iCs/>
          <w:lang w:val="en-GB"/>
        </w:rPr>
        <w:t>Coverage</w:t>
      </w:r>
      <w:r w:rsidR="59EAE5AD" w:rsidRPr="0E7EEEF0">
        <w:rPr>
          <w:rFonts w:ascii="Roboto" w:eastAsia="Roboto" w:hAnsi="Roboto" w:cs="Roboto"/>
          <w:lang w:val="en-GB"/>
        </w:rPr>
        <w:t>)</w:t>
      </w:r>
      <w:r w:rsidR="779F3574" w:rsidRPr="0E7EEEF0">
        <w:rPr>
          <w:rFonts w:ascii="Roboto" w:eastAsia="Roboto" w:hAnsi="Roboto" w:cs="Roboto"/>
          <w:lang w:val="en-GB"/>
        </w:rPr>
        <w:t>.</w:t>
      </w:r>
    </w:p>
    <w:p w14:paraId="594BB480" w14:textId="7507C407" w:rsidR="0E7EEEF0" w:rsidRPr="00473A5A" w:rsidRDefault="00DA8F6E" w:rsidP="0E7EEEF0">
      <w:pPr>
        <w:rPr>
          <w:rFonts w:ascii="Roboto" w:eastAsia="Roboto" w:hAnsi="Roboto" w:cs="Roboto"/>
          <w:b/>
          <w:bCs/>
          <w:i/>
          <w:iCs/>
          <w:lang w:val="en-GB"/>
        </w:rPr>
      </w:pPr>
      <w:r w:rsidRPr="006C32C6">
        <w:rPr>
          <w:rFonts w:ascii="Roboto" w:eastAsia="Roboto" w:hAnsi="Roboto" w:cs="Roboto"/>
          <w:b/>
          <w:bCs/>
          <w:lang w:val="en-GB"/>
        </w:rPr>
        <w:t>Supplementary Table S4</w:t>
      </w:r>
      <w:r w:rsidR="47AE3159" w:rsidRPr="006C32C6">
        <w:rPr>
          <w:rFonts w:ascii="Roboto" w:eastAsia="Roboto" w:hAnsi="Roboto" w:cs="Roboto"/>
          <w:b/>
          <w:bCs/>
          <w:lang w:val="en-GB"/>
        </w:rPr>
        <w:t>:</w:t>
      </w:r>
      <w:r w:rsidR="47AE3159" w:rsidRPr="0E7EEEF0">
        <w:rPr>
          <w:rFonts w:ascii="Roboto" w:eastAsia="Roboto" w:hAnsi="Roboto" w:cs="Roboto"/>
          <w:lang w:val="en-GB"/>
        </w:rPr>
        <w:t xml:space="preserve"> </w:t>
      </w:r>
      <w:r w:rsidR="634AA562" w:rsidRPr="0E7EEEF0">
        <w:rPr>
          <w:rFonts w:ascii="Roboto" w:eastAsia="Roboto" w:hAnsi="Roboto" w:cs="Roboto"/>
          <w:b/>
          <w:bCs/>
          <w:lang w:val="en-GB"/>
        </w:rPr>
        <w:t>Results of</w:t>
      </w:r>
      <w:r w:rsidR="47AE3159" w:rsidRPr="0E7EEEF0">
        <w:rPr>
          <w:rFonts w:ascii="Roboto" w:eastAsia="Roboto" w:hAnsi="Roboto" w:cs="Roboto"/>
          <w:b/>
          <w:bCs/>
          <w:lang w:val="en-GB"/>
        </w:rPr>
        <w:t xml:space="preserve"> </w:t>
      </w:r>
      <w:proofErr w:type="spellStart"/>
      <w:r w:rsidR="47AE3159" w:rsidRPr="0E7EEEF0">
        <w:rPr>
          <w:rFonts w:ascii="Roboto" w:eastAsia="Roboto" w:hAnsi="Roboto" w:cs="Roboto"/>
          <w:b/>
          <w:bCs/>
          <w:lang w:val="en-GB"/>
        </w:rPr>
        <w:t>kMetaShot</w:t>
      </w:r>
      <w:proofErr w:type="spellEnd"/>
      <w:r w:rsidR="47AE3159" w:rsidRPr="0E7EEEF0">
        <w:rPr>
          <w:rFonts w:ascii="Roboto" w:eastAsia="Roboto" w:hAnsi="Roboto" w:cs="Roboto"/>
          <w:b/>
          <w:bCs/>
          <w:lang w:val="en-GB"/>
        </w:rPr>
        <w:t xml:space="preserve"> classification</w:t>
      </w:r>
      <w:r w:rsidR="177EE0EA" w:rsidRPr="0E7EEEF0">
        <w:rPr>
          <w:rFonts w:ascii="Roboto" w:eastAsia="Roboto" w:hAnsi="Roboto" w:cs="Roboto"/>
          <w:b/>
          <w:bCs/>
          <w:lang w:val="en-GB"/>
        </w:rPr>
        <w:t xml:space="preserve"> of </w:t>
      </w:r>
      <w:r w:rsidR="0E7EEEF0" w:rsidRPr="0E7EEEF0">
        <w:rPr>
          <w:rFonts w:ascii="Roboto" w:eastAsia="Roboto" w:hAnsi="Roboto" w:cs="Roboto"/>
          <w:b/>
          <w:bCs/>
          <w:lang w:val="en-GB"/>
        </w:rPr>
        <w:t>each MAG</w:t>
      </w:r>
      <w:r w:rsidR="69AD3B4C" w:rsidRPr="0E7EEEF0">
        <w:rPr>
          <w:rFonts w:ascii="Roboto" w:eastAsia="Roboto" w:hAnsi="Roboto" w:cs="Roboto"/>
          <w:lang w:val="en-GB"/>
        </w:rPr>
        <w:t>.</w:t>
      </w:r>
      <w:r w:rsidR="0E7EEEF0" w:rsidRPr="0E7EEEF0">
        <w:rPr>
          <w:rFonts w:ascii="Roboto" w:eastAsia="Roboto" w:hAnsi="Roboto" w:cs="Roboto"/>
          <w:lang w:val="en-GB"/>
        </w:rPr>
        <w:t xml:space="preserve"> </w:t>
      </w:r>
      <w:r w:rsidR="1DCE04D6" w:rsidRPr="0E7EEEF0">
        <w:rPr>
          <w:rFonts w:ascii="Roboto" w:eastAsia="Roboto" w:hAnsi="Roboto" w:cs="Roboto"/>
          <w:lang w:val="en-GB"/>
        </w:rPr>
        <w:t>T</w:t>
      </w:r>
      <w:r w:rsidR="0E7EEEF0" w:rsidRPr="0E7EEEF0">
        <w:rPr>
          <w:rFonts w:ascii="Roboto" w:eastAsia="Roboto" w:hAnsi="Roboto" w:cs="Roboto"/>
          <w:color w:val="000000" w:themeColor="text1"/>
          <w:lang w:val="en-GB"/>
        </w:rPr>
        <w:t xml:space="preserve">he dereplication results of MAGs and reference genomes obtained using </w:t>
      </w:r>
      <w:proofErr w:type="spellStart"/>
      <w:r w:rsidR="0E7EEEF0" w:rsidRPr="0E7EEEF0">
        <w:rPr>
          <w:rFonts w:ascii="Roboto" w:eastAsia="Roboto" w:hAnsi="Roboto" w:cs="Roboto"/>
          <w:color w:val="000000" w:themeColor="text1"/>
          <w:lang w:val="en-GB"/>
        </w:rPr>
        <w:t>dRep</w:t>
      </w:r>
      <w:proofErr w:type="spellEnd"/>
      <w:r w:rsidR="0E7EEEF0" w:rsidRPr="0E7EEEF0">
        <w:rPr>
          <w:rFonts w:ascii="Roboto" w:eastAsia="Roboto" w:hAnsi="Roboto" w:cs="Roboto"/>
          <w:color w:val="000000" w:themeColor="text1"/>
          <w:lang w:val="en-GB"/>
        </w:rPr>
        <w:t xml:space="preserve"> </w:t>
      </w:r>
      <w:r w:rsidR="79FDBED3" w:rsidRPr="0E7EEEF0">
        <w:rPr>
          <w:rFonts w:ascii="Roboto" w:eastAsia="Roboto" w:hAnsi="Roboto" w:cs="Roboto"/>
          <w:lang w:val="en-GB"/>
        </w:rPr>
        <w:t>are also</w:t>
      </w:r>
      <w:r w:rsidR="598C67E4" w:rsidRPr="0E7EEEF0">
        <w:rPr>
          <w:rFonts w:ascii="Roboto" w:eastAsia="Roboto" w:hAnsi="Roboto" w:cs="Roboto"/>
          <w:lang w:val="en-GB"/>
        </w:rPr>
        <w:t xml:space="preserve"> </w:t>
      </w:r>
      <w:r w:rsidR="228FCE37" w:rsidRPr="0E7EEEF0">
        <w:rPr>
          <w:rFonts w:ascii="Roboto" w:eastAsia="Roboto" w:hAnsi="Roboto" w:cs="Roboto"/>
          <w:lang w:val="en-GB"/>
        </w:rPr>
        <w:t>reported in</w:t>
      </w:r>
      <w:r w:rsidR="0E7EEEF0" w:rsidRPr="0E7EEEF0">
        <w:rPr>
          <w:rFonts w:ascii="Roboto" w:eastAsia="Roboto" w:hAnsi="Roboto" w:cs="Roboto"/>
          <w:lang w:val="en-GB"/>
        </w:rPr>
        <w:t xml:space="preserve"> the columns named </w:t>
      </w:r>
      <w:proofErr w:type="spellStart"/>
      <w:r w:rsidR="0E7EEEF0" w:rsidRPr="0E7EEEF0">
        <w:rPr>
          <w:rFonts w:ascii="Roboto" w:eastAsia="Roboto" w:hAnsi="Roboto" w:cs="Roboto"/>
          <w:i/>
          <w:iCs/>
          <w:lang w:val="en-GB"/>
        </w:rPr>
        <w:t>primary_cluster</w:t>
      </w:r>
      <w:proofErr w:type="spellEnd"/>
      <w:r w:rsidR="0E7EEEF0" w:rsidRPr="0E7EEEF0">
        <w:rPr>
          <w:rFonts w:ascii="Roboto" w:eastAsia="Roboto" w:hAnsi="Roboto" w:cs="Roboto"/>
          <w:i/>
          <w:iCs/>
          <w:lang w:val="en-GB"/>
        </w:rPr>
        <w:t xml:space="preserve">, </w:t>
      </w:r>
      <w:proofErr w:type="spellStart"/>
      <w:r w:rsidR="0E7EEEF0" w:rsidRPr="0E7EEEF0">
        <w:rPr>
          <w:rFonts w:ascii="Roboto" w:eastAsia="Roboto" w:hAnsi="Roboto" w:cs="Roboto"/>
          <w:i/>
          <w:iCs/>
          <w:lang w:val="en-GB"/>
        </w:rPr>
        <w:t>secondary_cluster</w:t>
      </w:r>
      <w:proofErr w:type="spellEnd"/>
      <w:r w:rsidR="0E7EEEF0" w:rsidRPr="0E7EEEF0">
        <w:rPr>
          <w:rFonts w:ascii="Roboto" w:eastAsia="Roboto" w:hAnsi="Roboto" w:cs="Roboto"/>
          <w:i/>
          <w:iCs/>
          <w:lang w:val="en-GB"/>
        </w:rPr>
        <w:t xml:space="preserve"> and Representative Genome.</w:t>
      </w:r>
    </w:p>
    <w:p w14:paraId="4ED735AE" w14:textId="45F82EB0" w:rsidR="2C422DF8" w:rsidRPr="006C32C6" w:rsidRDefault="5FBD2D09" w:rsidP="00473A5A">
      <w:pPr>
        <w:jc w:val="both"/>
        <w:rPr>
          <w:rFonts w:ascii="Roboto" w:eastAsia="Roboto" w:hAnsi="Roboto" w:cs="Roboto"/>
          <w:b/>
          <w:bCs/>
          <w:lang w:val="en-GB"/>
        </w:rPr>
      </w:pPr>
      <w:r w:rsidRPr="0E7EEEF0">
        <w:rPr>
          <w:rFonts w:ascii="Roboto" w:eastAsia="Roboto" w:hAnsi="Roboto" w:cs="Roboto"/>
          <w:b/>
          <w:bCs/>
          <w:lang w:val="en-GB"/>
        </w:rPr>
        <w:lastRenderedPageBreak/>
        <w:t>Supplementary Table S5</w:t>
      </w:r>
      <w:r w:rsidR="00AD5CFA" w:rsidRPr="0E7EEEF0">
        <w:rPr>
          <w:rFonts w:ascii="Roboto" w:eastAsia="Roboto" w:hAnsi="Roboto" w:cs="Roboto"/>
          <w:b/>
          <w:bCs/>
          <w:lang w:val="en-GB"/>
        </w:rPr>
        <w:t>:</w:t>
      </w:r>
      <w:r w:rsidR="002C008C" w:rsidRPr="0E7EEEF0">
        <w:rPr>
          <w:rFonts w:ascii="Roboto" w:eastAsia="Roboto" w:hAnsi="Roboto" w:cs="Roboto"/>
          <w:lang w:val="en-GB"/>
        </w:rPr>
        <w:t xml:space="preserve"> </w:t>
      </w:r>
      <w:r w:rsidR="00C5143C" w:rsidRPr="0E7EEEF0">
        <w:rPr>
          <w:rFonts w:ascii="Roboto" w:eastAsia="Roboto" w:hAnsi="Roboto" w:cs="Roboto"/>
          <w:b/>
          <w:bCs/>
          <w:lang w:val="en-GB"/>
        </w:rPr>
        <w:t>Q</w:t>
      </w:r>
      <w:r w:rsidR="7EF6A080" w:rsidRPr="0E7EEEF0">
        <w:rPr>
          <w:rFonts w:ascii="Roboto" w:eastAsia="Roboto" w:hAnsi="Roboto" w:cs="Roboto"/>
          <w:b/>
          <w:bCs/>
          <w:lang w:val="en-GB"/>
        </w:rPr>
        <w:t xml:space="preserve">uality check </w:t>
      </w:r>
      <w:r w:rsidR="4011BE4C" w:rsidRPr="0E7EEEF0">
        <w:rPr>
          <w:rFonts w:ascii="Roboto" w:eastAsia="Roboto" w:hAnsi="Roboto" w:cs="Roboto"/>
          <w:b/>
          <w:bCs/>
          <w:lang w:val="en-GB"/>
        </w:rPr>
        <w:t>of MAGs</w:t>
      </w:r>
      <w:r w:rsidR="7EF6A080" w:rsidRPr="0E7EEEF0">
        <w:rPr>
          <w:rFonts w:ascii="Roboto" w:eastAsia="Roboto" w:hAnsi="Roboto" w:cs="Roboto"/>
          <w:b/>
          <w:bCs/>
          <w:lang w:val="en-GB"/>
        </w:rPr>
        <w:t>.</w:t>
      </w:r>
      <w:r w:rsidR="7EF6A080" w:rsidRPr="0E7EEEF0">
        <w:rPr>
          <w:rFonts w:ascii="Roboto" w:eastAsia="Roboto" w:hAnsi="Roboto" w:cs="Roboto"/>
          <w:lang w:val="en-GB"/>
        </w:rPr>
        <w:t xml:space="preserve"> </w:t>
      </w:r>
      <w:r w:rsidR="002C008C" w:rsidRPr="0E7EEEF0">
        <w:rPr>
          <w:rFonts w:ascii="Roboto" w:eastAsia="Roboto" w:hAnsi="Roboto" w:cs="Roboto"/>
          <w:lang w:val="en-GB"/>
        </w:rPr>
        <w:t xml:space="preserve">Completeness and contamination </w:t>
      </w:r>
      <w:r w:rsidR="270C6F5B" w:rsidRPr="0E7EEEF0">
        <w:rPr>
          <w:rFonts w:ascii="Roboto" w:eastAsia="Roboto" w:hAnsi="Roboto" w:cs="Roboto"/>
          <w:lang w:val="en-GB"/>
        </w:rPr>
        <w:t>percentages for</w:t>
      </w:r>
      <w:r w:rsidR="002C008C" w:rsidRPr="0E7EEEF0">
        <w:rPr>
          <w:rFonts w:ascii="Roboto" w:eastAsia="Roboto" w:hAnsi="Roboto" w:cs="Roboto"/>
          <w:lang w:val="en-GB"/>
        </w:rPr>
        <w:t xml:space="preserve"> each bin/</w:t>
      </w:r>
      <w:r w:rsidR="386CDBAF" w:rsidRPr="0E7EEEF0">
        <w:rPr>
          <w:rFonts w:ascii="Roboto" w:eastAsia="Roboto" w:hAnsi="Roboto" w:cs="Roboto"/>
          <w:lang w:val="en-GB"/>
        </w:rPr>
        <w:t>MAG, assessed</w:t>
      </w:r>
      <w:r w:rsidR="002C008C" w:rsidRPr="0E7EEEF0">
        <w:rPr>
          <w:rFonts w:ascii="Roboto" w:eastAsia="Roboto" w:hAnsi="Roboto" w:cs="Roboto"/>
          <w:lang w:val="en-GB"/>
        </w:rPr>
        <w:t xml:space="preserve"> with </w:t>
      </w:r>
      <w:proofErr w:type="spellStart"/>
      <w:r w:rsidR="002C008C" w:rsidRPr="0E7EEEF0">
        <w:rPr>
          <w:rFonts w:ascii="Roboto" w:eastAsia="Roboto" w:hAnsi="Roboto" w:cs="Roboto"/>
          <w:lang w:val="en-GB"/>
        </w:rPr>
        <w:t>CheckM</w:t>
      </w:r>
      <w:proofErr w:type="spellEnd"/>
      <w:r w:rsidR="22366956" w:rsidRPr="0E7EEEF0">
        <w:rPr>
          <w:rFonts w:ascii="Roboto" w:eastAsia="Roboto" w:hAnsi="Roboto" w:cs="Roboto"/>
          <w:lang w:val="en-GB"/>
        </w:rPr>
        <w:t>, are reported</w:t>
      </w:r>
      <w:r w:rsidR="002C008C" w:rsidRPr="0E7EEEF0">
        <w:rPr>
          <w:rFonts w:ascii="Roboto" w:eastAsia="Roboto" w:hAnsi="Roboto" w:cs="Roboto"/>
          <w:lang w:val="en-GB"/>
        </w:rPr>
        <w:t>. Also, MAG</w:t>
      </w:r>
      <w:r w:rsidR="0ECB6F84" w:rsidRPr="0E7EEEF0">
        <w:rPr>
          <w:rFonts w:ascii="Roboto" w:eastAsia="Roboto" w:hAnsi="Roboto" w:cs="Roboto"/>
          <w:lang w:val="en-GB"/>
        </w:rPr>
        <w:t>-</w:t>
      </w:r>
      <w:r w:rsidR="002C008C" w:rsidRPr="0E7EEEF0">
        <w:rPr>
          <w:rFonts w:ascii="Roboto" w:eastAsia="Roboto" w:hAnsi="Roboto" w:cs="Roboto"/>
          <w:lang w:val="en-GB"/>
        </w:rPr>
        <w:t xml:space="preserve">specific N50 and GC% </w:t>
      </w:r>
      <w:r w:rsidR="7E196C40" w:rsidRPr="0E7EEEF0">
        <w:rPr>
          <w:rFonts w:ascii="Roboto" w:eastAsia="Roboto" w:hAnsi="Roboto" w:cs="Roboto"/>
          <w:lang w:val="en-GB"/>
        </w:rPr>
        <w:t xml:space="preserve">are </w:t>
      </w:r>
      <w:r w:rsidR="002C008C" w:rsidRPr="0E7EEEF0">
        <w:rPr>
          <w:rFonts w:ascii="Roboto" w:eastAsia="Roboto" w:hAnsi="Roboto" w:cs="Roboto"/>
          <w:lang w:val="en-GB"/>
        </w:rPr>
        <w:t xml:space="preserve">also computed. Furthermore, total length of each MAG is compared with the length of the expected genome relying on </w:t>
      </w:r>
      <w:proofErr w:type="spellStart"/>
      <w:r w:rsidR="002C008C" w:rsidRPr="0E7EEEF0">
        <w:rPr>
          <w:rFonts w:ascii="Roboto" w:eastAsia="Roboto" w:hAnsi="Roboto" w:cs="Roboto"/>
          <w:lang w:val="en-GB"/>
        </w:rPr>
        <w:t>kMetaShot</w:t>
      </w:r>
      <w:proofErr w:type="spellEnd"/>
      <w:r w:rsidR="002C008C" w:rsidRPr="0E7EEEF0">
        <w:rPr>
          <w:rFonts w:ascii="Roboto" w:eastAsia="Roboto" w:hAnsi="Roboto" w:cs="Roboto"/>
          <w:lang w:val="en-GB"/>
        </w:rPr>
        <w:t xml:space="preserve"> classification and expressed in percentage in the last column</w:t>
      </w:r>
      <w:r w:rsidR="47F67027" w:rsidRPr="0E7EEEF0">
        <w:rPr>
          <w:rFonts w:ascii="Roboto" w:eastAsia="Roboto" w:hAnsi="Roboto" w:cs="Roboto"/>
          <w:lang w:val="en-GB"/>
        </w:rPr>
        <w:t xml:space="preserve"> (</w:t>
      </w:r>
      <w:r w:rsidR="002C008C" w:rsidRPr="0E7EEEF0">
        <w:rPr>
          <w:rFonts w:ascii="Roboto" w:eastAsia="Roboto" w:hAnsi="Roboto" w:cs="Roboto"/>
          <w:i/>
          <w:iCs/>
          <w:lang w:val="en-GB"/>
        </w:rPr>
        <w:t>% covered</w:t>
      </w:r>
      <w:r w:rsidR="2E688EB8" w:rsidRPr="0E7EEEF0">
        <w:rPr>
          <w:rFonts w:ascii="Roboto" w:eastAsia="Roboto" w:hAnsi="Roboto" w:cs="Roboto"/>
          <w:lang w:val="en-GB"/>
        </w:rPr>
        <w:t>)</w:t>
      </w:r>
      <w:r w:rsidR="002C008C" w:rsidRPr="0E7EEEF0">
        <w:rPr>
          <w:rFonts w:ascii="Roboto" w:eastAsia="Roboto" w:hAnsi="Roboto" w:cs="Roboto"/>
          <w:lang w:val="en-GB"/>
        </w:rPr>
        <w:t>.</w:t>
      </w:r>
    </w:p>
    <w:p w14:paraId="7B317B5D" w14:textId="4F160D4B" w:rsidR="2C422DF8" w:rsidRPr="006C32C6" w:rsidRDefault="5FBD2D09" w:rsidP="0E7EEEF0">
      <w:pPr>
        <w:jc w:val="both"/>
        <w:rPr>
          <w:rFonts w:ascii="Roboto" w:eastAsia="Roboto" w:hAnsi="Roboto" w:cs="Roboto"/>
          <w:b/>
          <w:bCs/>
          <w:lang w:val="en-GB"/>
        </w:rPr>
      </w:pPr>
      <w:r w:rsidRPr="006C32C6">
        <w:rPr>
          <w:rFonts w:ascii="Roboto" w:eastAsia="Roboto" w:hAnsi="Roboto" w:cs="Roboto"/>
          <w:b/>
          <w:bCs/>
          <w:lang w:val="en-GB"/>
        </w:rPr>
        <w:t>Supplementary Table S6</w:t>
      </w:r>
      <w:r w:rsidR="002C008C" w:rsidRPr="006C32C6">
        <w:rPr>
          <w:rFonts w:ascii="Roboto" w:eastAsia="Roboto" w:hAnsi="Roboto" w:cs="Roboto"/>
          <w:b/>
          <w:bCs/>
          <w:lang w:val="en-GB"/>
        </w:rPr>
        <w:t xml:space="preserve">: </w:t>
      </w:r>
      <w:r w:rsidR="006827D4" w:rsidRPr="0E7EEEF0">
        <w:rPr>
          <w:rFonts w:ascii="Roboto" w:eastAsia="Roboto" w:hAnsi="Roboto" w:cs="Roboto"/>
          <w:b/>
          <w:bCs/>
          <w:lang w:val="en-GB"/>
        </w:rPr>
        <w:t xml:space="preserve">Number of aminoacidic specific tRNA genes annotated </w:t>
      </w:r>
      <w:r w:rsidR="1776351E" w:rsidRPr="0E7EEEF0">
        <w:rPr>
          <w:rFonts w:ascii="Roboto" w:eastAsia="Roboto" w:hAnsi="Roboto" w:cs="Roboto"/>
          <w:b/>
          <w:bCs/>
          <w:lang w:val="en-GB"/>
        </w:rPr>
        <w:t>for MAG</w:t>
      </w:r>
      <w:r w:rsidR="006827D4" w:rsidRPr="0E7EEEF0">
        <w:rPr>
          <w:rFonts w:ascii="Roboto" w:eastAsia="Roboto" w:hAnsi="Roboto" w:cs="Roboto"/>
          <w:b/>
          <w:bCs/>
          <w:lang w:val="en-GB"/>
        </w:rPr>
        <w:t xml:space="preserve"> and reference genomes</w:t>
      </w:r>
      <w:r w:rsidR="6AAC90DE" w:rsidRPr="0E7EEEF0">
        <w:rPr>
          <w:rFonts w:ascii="Roboto" w:eastAsia="Roboto" w:hAnsi="Roboto" w:cs="Roboto"/>
          <w:b/>
          <w:bCs/>
          <w:lang w:val="en-GB"/>
        </w:rPr>
        <w:t xml:space="preserve"> (in red)</w:t>
      </w:r>
      <w:r w:rsidR="006827D4" w:rsidRPr="0E7EEEF0">
        <w:rPr>
          <w:rFonts w:ascii="Roboto" w:eastAsia="Roboto" w:hAnsi="Roboto" w:cs="Roboto"/>
          <w:b/>
          <w:bCs/>
          <w:lang w:val="en-GB"/>
        </w:rPr>
        <w:t>.</w:t>
      </w:r>
    </w:p>
    <w:sectPr w:rsidR="2C422DF8" w:rsidRPr="006C3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E7"/>
    <w:rsid w:val="000C663E"/>
    <w:rsid w:val="00102621"/>
    <w:rsid w:val="0010376A"/>
    <w:rsid w:val="00177923"/>
    <w:rsid w:val="001E44E7"/>
    <w:rsid w:val="002C008C"/>
    <w:rsid w:val="003E2151"/>
    <w:rsid w:val="003F1950"/>
    <w:rsid w:val="004103B0"/>
    <w:rsid w:val="00473A5A"/>
    <w:rsid w:val="004B5D7A"/>
    <w:rsid w:val="00523B07"/>
    <w:rsid w:val="00544503"/>
    <w:rsid w:val="005741D8"/>
    <w:rsid w:val="006827D4"/>
    <w:rsid w:val="006C32C6"/>
    <w:rsid w:val="0072C9D9"/>
    <w:rsid w:val="007315EA"/>
    <w:rsid w:val="007938C4"/>
    <w:rsid w:val="007A03F5"/>
    <w:rsid w:val="007A7C99"/>
    <w:rsid w:val="007D7B4A"/>
    <w:rsid w:val="007F2132"/>
    <w:rsid w:val="00802E80"/>
    <w:rsid w:val="008474A6"/>
    <w:rsid w:val="00875799"/>
    <w:rsid w:val="008A6228"/>
    <w:rsid w:val="008A6547"/>
    <w:rsid w:val="008C2391"/>
    <w:rsid w:val="008C4701"/>
    <w:rsid w:val="009644ED"/>
    <w:rsid w:val="00AD5CFA"/>
    <w:rsid w:val="00BE42B2"/>
    <w:rsid w:val="00C046CC"/>
    <w:rsid w:val="00C328D2"/>
    <w:rsid w:val="00C5139E"/>
    <w:rsid w:val="00C5143C"/>
    <w:rsid w:val="00CA30FE"/>
    <w:rsid w:val="00CC1CF7"/>
    <w:rsid w:val="00D46FA8"/>
    <w:rsid w:val="00DA8F6E"/>
    <w:rsid w:val="00E25981"/>
    <w:rsid w:val="00EB66D9"/>
    <w:rsid w:val="00F45767"/>
    <w:rsid w:val="00F63C26"/>
    <w:rsid w:val="00F87015"/>
    <w:rsid w:val="0378E42A"/>
    <w:rsid w:val="049A6E27"/>
    <w:rsid w:val="04C3E6A6"/>
    <w:rsid w:val="0597606E"/>
    <w:rsid w:val="08102099"/>
    <w:rsid w:val="0855E20C"/>
    <w:rsid w:val="0931E9B9"/>
    <w:rsid w:val="0ACB8B73"/>
    <w:rsid w:val="0BB90658"/>
    <w:rsid w:val="0DD9FD7C"/>
    <w:rsid w:val="0DEE7BBC"/>
    <w:rsid w:val="0E7EEEF0"/>
    <w:rsid w:val="0ECB6F84"/>
    <w:rsid w:val="113853C0"/>
    <w:rsid w:val="11FD5BEC"/>
    <w:rsid w:val="13264A5B"/>
    <w:rsid w:val="13364DE6"/>
    <w:rsid w:val="14CD32AC"/>
    <w:rsid w:val="14D0EA0B"/>
    <w:rsid w:val="15054AD8"/>
    <w:rsid w:val="16814200"/>
    <w:rsid w:val="17416979"/>
    <w:rsid w:val="1776351E"/>
    <w:rsid w:val="177EE0EA"/>
    <w:rsid w:val="18CD70BC"/>
    <w:rsid w:val="1D544815"/>
    <w:rsid w:val="1DCE04D6"/>
    <w:rsid w:val="1E4A42D2"/>
    <w:rsid w:val="200A2A41"/>
    <w:rsid w:val="22366956"/>
    <w:rsid w:val="228FCE37"/>
    <w:rsid w:val="235FE9D9"/>
    <w:rsid w:val="23D400C2"/>
    <w:rsid w:val="26572033"/>
    <w:rsid w:val="27069299"/>
    <w:rsid w:val="270C6F5B"/>
    <w:rsid w:val="271D0626"/>
    <w:rsid w:val="28DE1F3B"/>
    <w:rsid w:val="2BA0E0BF"/>
    <w:rsid w:val="2C422DF8"/>
    <w:rsid w:val="2E688EB8"/>
    <w:rsid w:val="330800AC"/>
    <w:rsid w:val="3372F361"/>
    <w:rsid w:val="349648E8"/>
    <w:rsid w:val="350744F0"/>
    <w:rsid w:val="386CDBAF"/>
    <w:rsid w:val="3A86FC28"/>
    <w:rsid w:val="3DB1D594"/>
    <w:rsid w:val="3E6B79AD"/>
    <w:rsid w:val="4011BE4C"/>
    <w:rsid w:val="41917486"/>
    <w:rsid w:val="42951BE4"/>
    <w:rsid w:val="44A24AEA"/>
    <w:rsid w:val="47AE3159"/>
    <w:rsid w:val="47F67027"/>
    <w:rsid w:val="4B061696"/>
    <w:rsid w:val="4BAECF44"/>
    <w:rsid w:val="4FF8F717"/>
    <w:rsid w:val="52CA6282"/>
    <w:rsid w:val="52D19C2F"/>
    <w:rsid w:val="5322923B"/>
    <w:rsid w:val="544EB753"/>
    <w:rsid w:val="5598793C"/>
    <w:rsid w:val="571F5CA8"/>
    <w:rsid w:val="577EA987"/>
    <w:rsid w:val="5780C29F"/>
    <w:rsid w:val="57FDE2D3"/>
    <w:rsid w:val="598C67E4"/>
    <w:rsid w:val="59EAE5AD"/>
    <w:rsid w:val="5BF122EE"/>
    <w:rsid w:val="5EE8056E"/>
    <w:rsid w:val="5FBD2D09"/>
    <w:rsid w:val="60523FAD"/>
    <w:rsid w:val="61BD4FD2"/>
    <w:rsid w:val="634AA562"/>
    <w:rsid w:val="63A74A2F"/>
    <w:rsid w:val="64D2AFE5"/>
    <w:rsid w:val="664380BC"/>
    <w:rsid w:val="69AD3B4C"/>
    <w:rsid w:val="69E6F2A6"/>
    <w:rsid w:val="6AAC90DE"/>
    <w:rsid w:val="6B2DE5FD"/>
    <w:rsid w:val="6DCDE699"/>
    <w:rsid w:val="70DECC14"/>
    <w:rsid w:val="72A56104"/>
    <w:rsid w:val="75A11089"/>
    <w:rsid w:val="77285EAD"/>
    <w:rsid w:val="779F3574"/>
    <w:rsid w:val="79FDBED3"/>
    <w:rsid w:val="7AE6E29B"/>
    <w:rsid w:val="7AEE1EDD"/>
    <w:rsid w:val="7C257B74"/>
    <w:rsid w:val="7C262867"/>
    <w:rsid w:val="7C3CA81D"/>
    <w:rsid w:val="7C79C64B"/>
    <w:rsid w:val="7CC026EC"/>
    <w:rsid w:val="7D7BD9D9"/>
    <w:rsid w:val="7E196C40"/>
    <w:rsid w:val="7EF6A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D87FC"/>
  <w15:chartTrackingRefBased/>
  <w15:docId w15:val="{BADE39F2-7B0A-CE4F-AFF8-ABA3C67C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4E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B6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B58D1E-5758-9147-A29D-E87D9E3B63F6}">
  <we:reference id="wa200001482" version="1.0.5.0" store="en-US" storeType="OMEX"/>
  <we:alternateReferences>
    <we:reference id="wa200001482" version="1.0.5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Notario</dc:creator>
  <cp:keywords/>
  <dc:description/>
  <cp:lastModifiedBy>Bruno Fosso</cp:lastModifiedBy>
  <cp:revision>37</cp:revision>
  <dcterms:created xsi:type="dcterms:W3CDTF">2025-05-06T10:49:00Z</dcterms:created>
  <dcterms:modified xsi:type="dcterms:W3CDTF">2025-12-04T11:35:00Z</dcterms:modified>
</cp:coreProperties>
</file>