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81926">
      <w:pPr>
        <w:spacing w:line="240" w:lineRule="auto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default" w:eastAsia="宋体"/>
          <w:b/>
          <w:bCs/>
          <w:lang w:val="en-US" w:eastAsia="zh-CN"/>
        </w:rPr>
        <w:t>Appendix 1</w:t>
      </w:r>
      <w:r>
        <w:rPr>
          <w:rFonts w:hint="eastAsia"/>
          <w:lang w:val="en-US" w:eastAsia="zh-CN"/>
        </w:rPr>
        <w:t xml:space="preserve">. </w:t>
      </w:r>
      <w:r>
        <w:rPr>
          <w:rFonts w:hint="default" w:eastAsia="宋体"/>
          <w:lang w:val="en-US" w:eastAsia="zh-CN"/>
        </w:rPr>
        <w:t xml:space="preserve">List of </w:t>
      </w:r>
      <w:r>
        <w:rPr>
          <w:rFonts w:hint="eastAsia"/>
          <w:lang w:val="en-US" w:eastAsia="zh-CN"/>
        </w:rPr>
        <w:t>4</w:t>
      </w:r>
      <w:r>
        <w:rPr>
          <w:rFonts w:hint="default" w:eastAsia="宋体"/>
          <w:lang w:val="en-US" w:eastAsia="zh-CN"/>
        </w:rPr>
        <w:t xml:space="preserve"> multi-center hospitals</w:t>
      </w:r>
    </w:p>
    <w:tbl>
      <w:tblPr>
        <w:tblStyle w:val="14"/>
        <w:tblW w:w="84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7481"/>
      </w:tblGrid>
      <w:tr w14:paraId="1A31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568E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Number</w:t>
            </w:r>
          </w:p>
        </w:tc>
        <w:tc>
          <w:tcPr>
            <w:tcW w:w="74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B90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Institutes</w:t>
            </w:r>
          </w:p>
        </w:tc>
      </w:tr>
      <w:tr w14:paraId="0875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A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7C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Putuo Hospital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Style w:val="25"/>
                <w:rFonts w:eastAsia="宋体"/>
                <w:b w:val="0"/>
                <w:lang w:val="en-US" w:eastAsia="zh-CN" w:bidi="ar"/>
              </w:rPr>
              <w:t xml:space="preserve"> Shanghai University of Traditional Chinese Medicine</w:t>
            </w:r>
          </w:p>
        </w:tc>
      </w:tr>
      <w:tr w14:paraId="59F7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1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33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Shanghai Eye and ENT Hospital, Fudan University</w:t>
            </w:r>
          </w:p>
        </w:tc>
      </w:tr>
      <w:tr w14:paraId="2556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F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52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Shanghai Ninth People’s Hospital</w:t>
            </w:r>
          </w:p>
        </w:tc>
      </w:tr>
      <w:tr w14:paraId="5804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8EE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1E0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Xin Hua Hospital Affiliated to Shanghai Jiao Tong University School of Medicine</w:t>
            </w:r>
          </w:p>
        </w:tc>
      </w:tr>
    </w:tbl>
    <w:p w14:paraId="1DC230DE">
      <w:pPr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</w:p>
    <w:p w14:paraId="2E0F2284">
      <w:pPr>
        <w:rPr>
          <w:rFonts w:hint="default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  <w:lang w:val="en-US"/>
        </w:rPr>
      </w:pPr>
      <w:r>
        <w:rPr>
          <w:rFonts w:hint="eastAsia"/>
          <w:b/>
          <w:bCs/>
          <w:lang w:val="en-US" w:eastAsia="zh-CN"/>
        </w:rPr>
        <w:t>Appendix 2</w:t>
      </w:r>
      <w:r>
        <w:rPr>
          <w:rFonts w:hint="eastAsia"/>
          <w:lang w:val="en-US" w:eastAsia="zh-CN"/>
        </w:rPr>
        <w:t xml:space="preserve">. 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</w:rPr>
        <w:t>Univariate analysis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/>
          <w:color w:val="000000"/>
          <w:kern w:val="0"/>
          <w:sz w:val="24"/>
          <w:szCs w:val="24"/>
          <w:lang w:val="en-US" w:eastAsia="zh-CN" w:bidi="ar"/>
        </w:rPr>
        <w:t>of</w:t>
      </w:r>
      <w:r>
        <w:rPr>
          <w:rFonts w:hint="eastAsia" w:cs="Times New Roman"/>
          <w:b w:val="0"/>
          <w:bCs w:val="0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/>
          <w:color w:val="000000"/>
          <w:kern w:val="0"/>
          <w:sz w:val="24"/>
          <w:szCs w:val="24"/>
          <w:lang w:val="en-US" w:eastAsia="zh-CN" w:bidi="ar"/>
        </w:rPr>
        <w:t>hearing recovery outcomes</w:t>
      </w:r>
      <w:r>
        <w:rPr>
          <w:rFonts w:hint="eastAsia" w:cs="Times New Roman"/>
          <w:b w:val="0"/>
          <w:bCs w:val="0"/>
          <w:snapToGrid/>
          <w:color w:val="000000"/>
          <w:kern w:val="0"/>
          <w:sz w:val="24"/>
          <w:szCs w:val="24"/>
          <w:lang w:val="en-US" w:eastAsia="zh-CN" w:bidi="ar"/>
        </w:rPr>
        <w:t>.</w:t>
      </w:r>
    </w:p>
    <w:tbl>
      <w:tblPr>
        <w:tblStyle w:val="1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981"/>
        <w:gridCol w:w="2814"/>
        <w:gridCol w:w="981"/>
        <w:gridCol w:w="2814"/>
        <w:gridCol w:w="981"/>
        <w:gridCol w:w="3098"/>
      </w:tblGrid>
      <w:tr w14:paraId="07F0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5CDBF811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>Variables</w:t>
            </w:r>
          </w:p>
        </w:tc>
        <w:tc>
          <w:tcPr>
            <w:tcW w:w="1215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686A72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Slight recovery</w:t>
            </w:r>
          </w:p>
        </w:tc>
        <w:tc>
          <w:tcPr>
            <w:tcW w:w="1215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1C9BC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Partial recovery</w:t>
            </w:r>
          </w:p>
        </w:tc>
        <w:tc>
          <w:tcPr>
            <w:tcW w:w="1306" w:type="pct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D6795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Complete recovery</w:t>
            </w:r>
          </w:p>
        </w:tc>
      </w:tr>
      <w:tr w14:paraId="6EE2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8E5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ADF309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</w:t>
            </w:r>
          </w:p>
        </w:tc>
        <w:tc>
          <w:tcPr>
            <w:tcW w:w="901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B4761C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95%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314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137B0C6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</w:t>
            </w:r>
          </w:p>
        </w:tc>
        <w:tc>
          <w:tcPr>
            <w:tcW w:w="901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89E5ED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95%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314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62B2562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/>
                <w:iCs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</w:t>
            </w:r>
          </w:p>
        </w:tc>
        <w:tc>
          <w:tcPr>
            <w:tcW w:w="992" w:type="pct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3700439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95%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5456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DAEA9">
            <w:pPr>
              <w:bidi w:val="0"/>
              <w:ind w:firstLine="0" w:firstLineChars="0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Age</w:t>
            </w: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(y)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27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8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0.99(0.98-1)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4D5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4B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0.986(0.976-0.995)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05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6B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0.97(0.959-0.981)</w:t>
            </w:r>
          </w:p>
        </w:tc>
      </w:tr>
      <w:tr w14:paraId="6D14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5F4C3">
            <w:pPr>
              <w:bidi w:val="0"/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 xml:space="preserve">Time from symptom onset of </w:t>
            </w:r>
          </w:p>
          <w:p w14:paraId="21E90508">
            <w:pPr>
              <w:bidi w:val="0"/>
              <w:ind w:firstLine="0" w:firstLineChars="0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SSNHL to treatment (days)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8E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F9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0.925(0.895-0.957)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2D1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11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0.956(0.925-0.988)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F1D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97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0.915(0.881-0.951)</w:t>
            </w:r>
          </w:p>
        </w:tc>
      </w:tr>
      <w:tr w14:paraId="1FA0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1523F4">
            <w:pPr>
              <w:bidi w:val="0"/>
              <w:ind w:firstLine="0" w:firstLineChars="0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I</w:t>
            </w: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nitial PTA</w:t>
            </w: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(dB)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7D4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1DD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1.011(1.005-1.017)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CD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A4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1.019(1.012-1.025)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7B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6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0.964(0.956-0.971)</w:t>
            </w:r>
          </w:p>
        </w:tc>
      </w:tr>
      <w:tr w14:paraId="5882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D1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Sex</w:t>
            </w:r>
            <w:r>
              <w:rPr>
                <w:rFonts w:hint="eastAsia" w:cs="Times New Roman"/>
                <w:b w:val="0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(male)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7E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2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1(0.746-1.34)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3E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BD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0.897(0.672-1.196)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82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E5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1.275(0.918-1.77)</w:t>
            </w:r>
          </w:p>
        </w:tc>
      </w:tr>
      <w:tr w14:paraId="1BA3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99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Side</w:t>
            </w:r>
            <w:r>
              <w:rPr>
                <w:rFonts w:hint="eastAsia"/>
                <w:b w:val="0"/>
                <w:color w:val="auto"/>
                <w:highlight w:val="none"/>
                <w:lang w:val="en-US" w:eastAsia="zh-CN"/>
              </w:rPr>
              <w:t>(no)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78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03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0.845(0.631-1.133)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684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47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0.839(0.629-1.119)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BA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A2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1.172(0.843-1.628)</w:t>
            </w:r>
          </w:p>
        </w:tc>
      </w:tr>
      <w:tr w14:paraId="7BB9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8C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auto"/>
                <w:highlight w:val="none"/>
                <w:lang w:val="en-US" w:eastAsia="zh-CN"/>
              </w:rPr>
              <w:t>Vertigo</w:t>
            </w:r>
            <w:r>
              <w:rPr>
                <w:rFonts w:hint="eastAsia"/>
                <w:b w:val="0"/>
                <w:color w:val="auto"/>
                <w:highlight w:val="none"/>
                <w:lang w:val="en-US" w:eastAsia="zh-CN"/>
              </w:rPr>
              <w:t>(no)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BC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BC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1.103(0.816-1.492)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8DC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4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0.929(0.689-1.254)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80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30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0.409(0.277-0.603)</w:t>
            </w:r>
          </w:p>
        </w:tc>
      </w:tr>
      <w:tr w14:paraId="2992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1C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Tinnitus</w:t>
            </w:r>
            <w:r>
              <w:rPr>
                <w:rFonts w:hint="eastAsia"/>
                <w:b w:val="0"/>
                <w:color w:val="auto"/>
                <w:highlight w:val="none"/>
                <w:lang w:val="en-US" w:eastAsia="zh-CN"/>
              </w:rPr>
              <w:t>(no)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2E7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32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1.217(0.908-1.632)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54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DC7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0.988(0.741-1.318)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D7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0.734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F8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1.058(0.763-1.468)</w:t>
            </w:r>
          </w:p>
        </w:tc>
      </w:tr>
      <w:tr w14:paraId="6825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64E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b w:val="0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lassification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EC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D3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35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96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3D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36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E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A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highlight w:val="none"/>
                <w:lang w:val="en-US" w:eastAsia="zh-CN"/>
              </w:rPr>
              <w:t>Low-frequency decline type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63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4A8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0.377(0.105-1.346)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042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74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0.586(0.229-1.498)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F1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19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1.021(0.447-2.333)</w:t>
            </w:r>
          </w:p>
        </w:tc>
      </w:tr>
      <w:tr w14:paraId="5647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96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/>
                <w:b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color w:val="auto"/>
                <w:highlight w:val="none"/>
                <w:lang w:val="en-US" w:eastAsia="zh-CN"/>
              </w:rPr>
              <w:t>High-frequency decline type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758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BF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1.166(0.581-2.339)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1D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F0D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1.399(0.767-2.552)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12F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127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1.034(0.535-1.999)</w:t>
            </w:r>
          </w:p>
        </w:tc>
      </w:tr>
      <w:tr w14:paraId="3069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DF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/>
                <w:b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color w:val="auto"/>
                <w:highlight w:val="none"/>
                <w:lang w:val="en-US" w:eastAsia="zh-CN"/>
              </w:rPr>
              <w:t>Flat decline type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43A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6D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0.942(0.66-1.344)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086B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9D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1.013(0.741-1.384)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03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76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1.132(0.826-1.551)</w:t>
            </w:r>
          </w:p>
        </w:tc>
      </w:tr>
      <w:tr w14:paraId="5CEE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1778D">
            <w:pPr>
              <w:bidi w:val="0"/>
              <w:ind w:firstLine="0" w:firstLineChars="0"/>
              <w:rPr>
                <w:rFonts w:hint="default"/>
                <w:b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color w:val="auto"/>
                <w:highlight w:val="none"/>
                <w:lang w:val="en-US" w:eastAsia="zh-CN"/>
              </w:rPr>
              <w:t>Degree of hearing loss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2E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96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98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36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95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61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E6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7A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Mild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7A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1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0.071(0.016-0.302)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C8D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76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0.073(0.017-0.311)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6D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A2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12.718(6.873-23.532)</w:t>
            </w:r>
          </w:p>
        </w:tc>
      </w:tr>
      <w:tr w14:paraId="27BB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18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Moderate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F1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B9A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0.477(0.263-0.865)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66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8B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0.077(0.023-0.256)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F7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C2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6.121(3.34-11.219)</w:t>
            </w:r>
          </w:p>
        </w:tc>
      </w:tr>
      <w:tr w14:paraId="3531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E39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Moderate to severe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D4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3C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0.755(0.466-1.224)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AA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D8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0.306(0.164-0.571)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9C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4BA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3.346(1.796-6.233)</w:t>
            </w:r>
          </w:p>
        </w:tc>
      </w:tr>
      <w:tr w14:paraId="4D64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B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Severe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C90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03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0.836(0.557-1.255)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4A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7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0.845(0.562-1.271)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9DB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24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2.352(1.301-4.253)</w:t>
            </w:r>
          </w:p>
        </w:tc>
      </w:tr>
      <w:tr w14:paraId="3659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9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Extremely severe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50F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66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1.039(0.677-1.595)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15A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83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2.257(1.53-3.329)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E1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EB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3.857(2.15-6.919)</w:t>
            </w:r>
          </w:p>
        </w:tc>
      </w:tr>
      <w:tr w14:paraId="67F7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B469F">
            <w:pPr>
              <w:bidi w:val="0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HBO course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C2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3D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C5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DC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12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E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9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A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1-10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57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E9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1.684(1.144-2.478)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06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1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1.407(0.962-2.06)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0C9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FC1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1(0.694-1.441)</w:t>
            </w:r>
          </w:p>
        </w:tc>
      </w:tr>
      <w:tr w14:paraId="22C9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D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11-20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C7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0E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2.731(1.775-4.2)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6F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6A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3.123(2.064-4.725)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360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32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0.376(0.215-0.657)</w:t>
            </w:r>
          </w:p>
        </w:tc>
      </w:tr>
      <w:tr w14:paraId="507D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6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006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＞21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66C5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2C5D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3.352(1.697-6.622)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5224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90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1C9F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3.141(1.603-6.155)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4049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5204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0.25(0.071-0.88)</w:t>
            </w:r>
          </w:p>
        </w:tc>
      </w:tr>
    </w:tbl>
    <w:p w14:paraId="38DE1BB5">
      <w:pPr>
        <w:rPr>
          <w:rFonts w:hint="default" w:ascii="Times New Roman" w:hAnsi="Times New Roman" w:eastAsia="微软雅黑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191B1F"/>
          <w:spacing w:val="0"/>
          <w:sz w:val="24"/>
          <w:szCs w:val="24"/>
          <w:shd w:val="clear" w:fill="FFFFFF"/>
        </w:rPr>
        <w:t xml:space="preserve">Appendix </w:t>
      </w:r>
      <w:r>
        <w:rPr>
          <w:rFonts w:hint="eastAsia" w:eastAsia="微软雅黑" w:cs="Times New Roman"/>
          <w:b/>
          <w:bCs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3. 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</w:rPr>
        <w:t>Univariate analysis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191B1F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/>
          <w:color w:val="000000"/>
          <w:kern w:val="0"/>
          <w:sz w:val="24"/>
          <w:szCs w:val="24"/>
          <w:lang w:val="en-US" w:eastAsia="zh-CN" w:bidi="ar"/>
        </w:rPr>
        <w:t>of</w:t>
      </w:r>
      <w:r>
        <w:rPr>
          <w:rFonts w:hint="eastAsia" w:cs="Times New Roman"/>
          <w:b w:val="0"/>
          <w:bCs w:val="0"/>
          <w:snapToGrid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napToGrid/>
          <w:color w:val="000000"/>
          <w:kern w:val="0"/>
          <w:sz w:val="24"/>
          <w:szCs w:val="24"/>
          <w:lang w:val="en-US" w:eastAsia="zh-CN" w:bidi="ar"/>
        </w:rPr>
        <w:t>90 days follow-up of hearing recovery outcomes</w:t>
      </w:r>
      <w:r>
        <w:rPr>
          <w:rFonts w:hint="eastAsia" w:cs="Times New Roman"/>
          <w:b w:val="0"/>
          <w:bCs w:val="0"/>
          <w:snapToGrid/>
          <w:color w:val="000000"/>
          <w:kern w:val="0"/>
          <w:sz w:val="24"/>
          <w:szCs w:val="24"/>
          <w:lang w:val="en-US" w:eastAsia="zh-CN" w:bidi="ar"/>
        </w:rPr>
        <w:t>.</w:t>
      </w: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  <w:gridCol w:w="1256"/>
        <w:gridCol w:w="2707"/>
        <w:gridCol w:w="1015"/>
        <w:gridCol w:w="2850"/>
        <w:gridCol w:w="1159"/>
        <w:gridCol w:w="3147"/>
      </w:tblGrid>
      <w:tr w14:paraId="32CD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480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1AC29305">
            <w:pPr>
              <w:bidi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>Variables</w:t>
            </w:r>
          </w:p>
        </w:tc>
        <w:tc>
          <w:tcPr>
            <w:tcW w:w="396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49F996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Slight recovery</w:t>
            </w:r>
          </w:p>
        </w:tc>
        <w:tc>
          <w:tcPr>
            <w:tcW w:w="386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09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Partial recovery</w:t>
            </w:r>
          </w:p>
        </w:tc>
        <w:tc>
          <w:tcPr>
            <w:tcW w:w="430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40B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Complete recovery</w:t>
            </w:r>
          </w:p>
        </w:tc>
      </w:tr>
      <w:tr w14:paraId="4D76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48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240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</w:tcPr>
          <w:p w14:paraId="086292A0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</w:t>
            </w:r>
          </w:p>
        </w:tc>
        <w:tc>
          <w:tcPr>
            <w:tcW w:w="270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</w:tcPr>
          <w:p w14:paraId="5FB1543D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bottom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95%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</w:tcPr>
          <w:p w14:paraId="46A968BA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P</w:t>
            </w:r>
          </w:p>
        </w:tc>
        <w:tc>
          <w:tcPr>
            <w:tcW w:w="285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</w:tcPr>
          <w:p w14:paraId="45AF49F3"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bottom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95%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59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</w:tcPr>
          <w:p w14:paraId="039F540D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bottom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/>
                <w:iCs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</w:t>
            </w:r>
          </w:p>
        </w:tc>
        <w:tc>
          <w:tcPr>
            <w:tcW w:w="314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bottom"/>
          </w:tcPr>
          <w:p w14:paraId="25713261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bottom"/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95%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6875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4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345AE">
            <w:pPr>
              <w:bidi w:val="0"/>
              <w:ind w:firstLine="0" w:firstLineChars="0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Age</w:t>
            </w: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(y)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6D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BD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0.991(0.981-1.001)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B1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608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0.991(0.98-1.001)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90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F4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0.971(0.96-0.982)</w:t>
            </w:r>
          </w:p>
        </w:tc>
      </w:tr>
      <w:tr w14:paraId="2A4F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C4374">
            <w:pPr>
              <w:bidi w:val="0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Time from symptom onset of SSNHL to treatment (days)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0D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D6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0.941(0.913-0.969)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E2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E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0.968(0.941-0.996)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06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19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0.923(0.891-0.956)</w:t>
            </w:r>
          </w:p>
        </w:tc>
      </w:tr>
      <w:tr w14:paraId="2979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E60BB9">
            <w:pPr>
              <w:bidi w:val="0"/>
              <w:ind w:firstLine="0" w:firstLineChars="0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initial PTA</w:t>
            </w: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(dB)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D6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A0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1.009(1.003-1.016)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8C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E8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1.018(1.011-1.025)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F5A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35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0.962(0.955-0.969)</w:t>
            </w:r>
          </w:p>
        </w:tc>
      </w:tr>
      <w:tr w14:paraId="1728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36155">
            <w:pPr>
              <w:bidi w:val="0"/>
              <w:ind w:firstLine="0" w:firstLineChars="0"/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Sex</w:t>
            </w: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(male)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D475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0.927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70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0.986(0.73-1.332)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BD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3F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0.867(0.64-1.175)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08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0.237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0F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1.222(0.876-1.705)</w:t>
            </w:r>
          </w:p>
        </w:tc>
      </w:tr>
      <w:tr w14:paraId="3F99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CC892">
            <w:pPr>
              <w:bidi w:val="0"/>
              <w:ind w:firstLine="0" w:firstLineChars="0"/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Side</w:t>
            </w: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(no)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27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18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0.852(0.631-1.151)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FE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140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0.873(0.645-1.183)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94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25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1.154(0.826-1.612)</w:t>
            </w:r>
          </w:p>
        </w:tc>
      </w:tr>
      <w:tr w14:paraId="6FAB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52336">
            <w:pPr>
              <w:bidi w:val="0"/>
              <w:ind w:firstLine="0" w:firstLineChars="0"/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Vertigo</w:t>
            </w: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(no)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70A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0.674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9ED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1.068(0.785-1.455)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7A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4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0.882(0.644-1.209)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1B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F2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0.38(0.256-0.564)</w:t>
            </w:r>
          </w:p>
        </w:tc>
      </w:tr>
      <w:tr w14:paraId="3FC4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3455C">
            <w:pPr>
              <w:bidi w:val="0"/>
              <w:ind w:firstLine="0" w:firstLineChars="0"/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Tinnitus</w:t>
            </w: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(no)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2E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E1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1.159(0.858-1.566)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5F5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86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0.914(0.675-1.238)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4D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0.822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B4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0.963(0.691-1.342)</w:t>
            </w:r>
          </w:p>
        </w:tc>
      </w:tr>
      <w:tr w14:paraId="7676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16E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C</w:t>
            </w: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lassification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9F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4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5C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0C1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02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5A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D8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C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color w:val="auto"/>
                <w:highlight w:val="none"/>
                <w:lang w:val="en-US" w:eastAsia="zh-CN"/>
              </w:rPr>
              <w:t>Low-frequency decline type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A4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A4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0.566(0.19-1.688)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4FE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285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0.563(0.189-1.678)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48A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10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0.566(0.19-1.688)</w:t>
            </w:r>
          </w:p>
        </w:tc>
      </w:tr>
      <w:tr w14:paraId="5628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50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theme="minorBidi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highlight w:val="none"/>
                <w:lang w:val="en-US" w:eastAsia="zh-CN"/>
              </w:rPr>
              <w:t>High-frequency decline type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50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0.808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32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1.081(0.576-2.031)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E31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8C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0.768(0.387-1.525)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D3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0.808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AF5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1.081(0.576-2.031)</w:t>
            </w:r>
          </w:p>
        </w:tc>
      </w:tr>
      <w:tr w14:paraId="0777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67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theme="minorBidi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color w:val="auto"/>
                <w:highlight w:val="none"/>
                <w:lang w:val="en-US" w:eastAsia="zh-CN"/>
              </w:rPr>
              <w:t>Flat decline type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C8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F3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1.114(0.806-1.539)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4E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0.723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05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1.061(0.766-1.469)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5A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32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1.114(0.806-1.539)</w:t>
            </w:r>
          </w:p>
        </w:tc>
      </w:tr>
      <w:tr w14:paraId="1474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B4166">
            <w:pPr>
              <w:bidi w:val="0"/>
              <w:ind w:firstLine="0" w:firstLineChars="0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Degree of hearing loss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CE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75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B56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D0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6F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BF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67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38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Mild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CB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7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0.081(0.019-0.35)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32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33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0.086(0.02-0.371)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1E5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06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14.233(7.492-27.038)</w:t>
            </w:r>
          </w:p>
        </w:tc>
      </w:tr>
      <w:tr w14:paraId="1F3C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7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Moderate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C15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63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0.519(0.282-0.955)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6CD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30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0.087(0.026-0.29)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9DE8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685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6.522(3.501-12.152)</w:t>
            </w:r>
          </w:p>
        </w:tc>
      </w:tr>
      <w:tr w14:paraId="5F9B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9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Moderate to severe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B53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CF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0.782(0.475-1.285)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75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94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0.313(0.164-0.599)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12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80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3.48(1.845-6.563)</w:t>
            </w:r>
          </w:p>
        </w:tc>
      </w:tr>
      <w:tr w14:paraId="20E1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47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Severe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05B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B2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0.838(0.555-1.266)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CF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77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0.749(0.488-1.149)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90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5C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2.38(1.309-4.325)</w:t>
            </w:r>
          </w:p>
        </w:tc>
      </w:tr>
      <w:tr w14:paraId="1C90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C1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b w:val="0"/>
                <w:color w:val="000000"/>
                <w:highlight w:val="none"/>
                <w:lang w:val="en-US" w:eastAsia="zh-CN"/>
              </w:rPr>
              <w:t>Extremely severe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4AF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B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1.07(0.691-1.657)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081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DE5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2.007(1.336-3.016)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F93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694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3.885(2.143-7.042)</w:t>
            </w:r>
          </w:p>
        </w:tc>
      </w:tr>
      <w:tr w14:paraId="1703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08369">
            <w:pPr>
              <w:bidi w:val="0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HBO course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BE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6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C6D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3F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F8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9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2E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488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1-10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3B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68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1.328(0.893-1.976)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64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0.584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CD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1.12(0.746-1.68)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79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0B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0.799(0.549-1.164)</w:t>
            </w:r>
          </w:p>
        </w:tc>
      </w:tr>
      <w:tr w14:paraId="0298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4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11-20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D1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BCA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2.035(1.308-3.167)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64C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7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2.385(1.539-3.694)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31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695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0.284(0.16-0.504)</w:t>
            </w:r>
          </w:p>
        </w:tc>
      </w:tr>
      <w:tr w14:paraId="530C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4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B09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b w:val="0"/>
                <w:color w:val="000000"/>
                <w:highlight w:val="none"/>
                <w:lang w:val="en-US" w:eastAsia="zh-CN"/>
              </w:rPr>
              <w:t>＞21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EC08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D76C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2.641(1.33-5.245)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4D29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5533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2.687(1.352-5.341)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B9E3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</w:t>
            </w:r>
          </w:p>
        </w:tc>
        <w:tc>
          <w:tcPr>
            <w:tcW w:w="314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48B6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0.195(0.055-0.69)</w:t>
            </w:r>
          </w:p>
        </w:tc>
      </w:tr>
    </w:tbl>
    <w:p w14:paraId="152BA095">
      <w:pPr>
        <w:spacing w:line="240" w:lineRule="auto"/>
        <w:ind w:firstLine="0" w:firstLineChars="0"/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8AEC9"/>
    <w:multiLevelType w:val="multilevel"/>
    <w:tmpl w:val="8908AEC9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DC47FC"/>
    <w:rsid w:val="02365EC9"/>
    <w:rsid w:val="05EF3F4F"/>
    <w:rsid w:val="07265CA8"/>
    <w:rsid w:val="08D44EE3"/>
    <w:rsid w:val="09F74B6A"/>
    <w:rsid w:val="0B1F6750"/>
    <w:rsid w:val="0B6916F5"/>
    <w:rsid w:val="0D5C6258"/>
    <w:rsid w:val="0E7479E9"/>
    <w:rsid w:val="0EC6642D"/>
    <w:rsid w:val="0F885795"/>
    <w:rsid w:val="10C72515"/>
    <w:rsid w:val="14FC1C4C"/>
    <w:rsid w:val="16323646"/>
    <w:rsid w:val="16BA4105"/>
    <w:rsid w:val="18C33745"/>
    <w:rsid w:val="19245EFF"/>
    <w:rsid w:val="1C1E64AF"/>
    <w:rsid w:val="1C6E2317"/>
    <w:rsid w:val="1CEE3304"/>
    <w:rsid w:val="1D1F1D81"/>
    <w:rsid w:val="1D8D276F"/>
    <w:rsid w:val="1EE86942"/>
    <w:rsid w:val="1F4C1055"/>
    <w:rsid w:val="1F5C21FD"/>
    <w:rsid w:val="210B5E71"/>
    <w:rsid w:val="216830DB"/>
    <w:rsid w:val="21D249F9"/>
    <w:rsid w:val="224513FB"/>
    <w:rsid w:val="264F0617"/>
    <w:rsid w:val="28EB2C53"/>
    <w:rsid w:val="297F2118"/>
    <w:rsid w:val="2E352597"/>
    <w:rsid w:val="2F6A001E"/>
    <w:rsid w:val="35030C9C"/>
    <w:rsid w:val="355D635D"/>
    <w:rsid w:val="36FB77C2"/>
    <w:rsid w:val="37DC2334"/>
    <w:rsid w:val="38271FD7"/>
    <w:rsid w:val="38BC7060"/>
    <w:rsid w:val="3BFC52F7"/>
    <w:rsid w:val="3D0801C5"/>
    <w:rsid w:val="3D9A5AF7"/>
    <w:rsid w:val="3F3512C1"/>
    <w:rsid w:val="3F5A2709"/>
    <w:rsid w:val="3F906AC9"/>
    <w:rsid w:val="42CF7D5A"/>
    <w:rsid w:val="436275FE"/>
    <w:rsid w:val="440712B7"/>
    <w:rsid w:val="444F046F"/>
    <w:rsid w:val="45655845"/>
    <w:rsid w:val="46CD4E75"/>
    <w:rsid w:val="484A6B8C"/>
    <w:rsid w:val="49045382"/>
    <w:rsid w:val="49156D83"/>
    <w:rsid w:val="49F27995"/>
    <w:rsid w:val="4AA30AF1"/>
    <w:rsid w:val="4AB87345"/>
    <w:rsid w:val="4C633D3F"/>
    <w:rsid w:val="4CC55DC1"/>
    <w:rsid w:val="502A1D14"/>
    <w:rsid w:val="536265F9"/>
    <w:rsid w:val="547748A2"/>
    <w:rsid w:val="57396CFC"/>
    <w:rsid w:val="57F764FA"/>
    <w:rsid w:val="587805B1"/>
    <w:rsid w:val="58CD1630"/>
    <w:rsid w:val="5911515E"/>
    <w:rsid w:val="5BB8122F"/>
    <w:rsid w:val="5C7B120D"/>
    <w:rsid w:val="5C9D0253"/>
    <w:rsid w:val="618C0823"/>
    <w:rsid w:val="62234CE4"/>
    <w:rsid w:val="62E567C3"/>
    <w:rsid w:val="63317749"/>
    <w:rsid w:val="6404589F"/>
    <w:rsid w:val="64405216"/>
    <w:rsid w:val="6B666FFD"/>
    <w:rsid w:val="6BB12CE4"/>
    <w:rsid w:val="6E1E7EE9"/>
    <w:rsid w:val="6E5E65A2"/>
    <w:rsid w:val="6FAD75D6"/>
    <w:rsid w:val="6FE86762"/>
    <w:rsid w:val="70C95090"/>
    <w:rsid w:val="72510968"/>
    <w:rsid w:val="73811C6B"/>
    <w:rsid w:val="7464572C"/>
    <w:rsid w:val="74C52CCA"/>
    <w:rsid w:val="74E43E3D"/>
    <w:rsid w:val="75071439"/>
    <w:rsid w:val="785B2360"/>
    <w:rsid w:val="78FB5758"/>
    <w:rsid w:val="79433099"/>
    <w:rsid w:val="7AEC5D56"/>
    <w:rsid w:val="7B4B5210"/>
    <w:rsid w:val="7CDE7747"/>
    <w:rsid w:val="7DC131ED"/>
    <w:rsid w:val="7F50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400" w:lineRule="exact"/>
      <w:ind w:firstLine="0" w:firstLineChars="0"/>
      <w:jc w:val="both"/>
    </w:pPr>
    <w:rPr>
      <w:rFonts w:ascii="Times New Roman" w:hAnsi="Times New Roman" w:eastAsia="宋体" w:cstheme="minorBidi"/>
      <w:snapToGrid/>
      <w:kern w:val="2"/>
      <w:sz w:val="24"/>
      <w:szCs w:val="24"/>
      <w:lang w:val="en-US" w:eastAsia="zh-CN" w:bidi="ar-SA"/>
    </w:rPr>
  </w:style>
  <w:style w:type="paragraph" w:styleId="2">
    <w:name w:val="heading 1"/>
    <w:link w:val="16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Times New Roman" w:hAnsi="Times New Roman" w:eastAsia="宋体" w:cstheme="minorBidi"/>
      <w:b/>
      <w:bCs/>
      <w:kern w:val="44"/>
      <w:sz w:val="24"/>
    </w:rPr>
  </w:style>
  <w:style w:type="paragraph" w:styleId="3">
    <w:name w:val="heading 2"/>
    <w:link w:val="20"/>
    <w:semiHidden/>
    <w:unhideWhenUsed/>
    <w:qFormat/>
    <w:uiPriority w:val="0"/>
    <w:pPr>
      <w:numPr>
        <w:ilvl w:val="1"/>
        <w:numId w:val="1"/>
      </w:numPr>
      <w:tabs>
        <w:tab w:val="left" w:pos="0"/>
      </w:tabs>
      <w:spacing w:before="50" w:after="50"/>
      <w:ind w:left="567" w:hanging="567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link w:val="22"/>
    <w:semiHidden/>
    <w:unhideWhenUsed/>
    <w:qFormat/>
    <w:uiPriority w:val="0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hint="default" w:ascii="Times New Roman" w:hAnsi="Times New Roman" w:eastAsia="宋体" w:cs="宋体"/>
      <w:b/>
      <w:bCs/>
      <w:kern w:val="0"/>
      <w:sz w:val="24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0" w:hanging="850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1" w:hanging="991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spacing w:line="400" w:lineRule="exact"/>
      <w:ind w:left="0" w:leftChars="0" w:firstLine="480" w:firstLineChars="200"/>
    </w:pPr>
  </w:style>
  <w:style w:type="paragraph" w:styleId="12">
    <w:name w:val="toc 1"/>
    <w:basedOn w:val="1"/>
    <w:next w:val="1"/>
    <w:qFormat/>
    <w:uiPriority w:val="0"/>
    <w:pPr>
      <w:spacing w:before="120" w:line="400" w:lineRule="exact"/>
      <w:ind w:leftChars="0"/>
      <w:jc w:val="left"/>
    </w:pPr>
    <w:rPr>
      <w:rFonts w:eastAsia="黑体"/>
    </w:rPr>
  </w:style>
  <w:style w:type="paragraph" w:styleId="13">
    <w:name w:val="toc 2"/>
    <w:basedOn w:val="1"/>
    <w:next w:val="1"/>
    <w:qFormat/>
    <w:uiPriority w:val="0"/>
    <w:pPr>
      <w:spacing w:line="400" w:lineRule="exact"/>
      <w:ind w:left="0" w:leftChars="0" w:firstLine="480" w:firstLineChars="200"/>
    </w:pPr>
  </w:style>
  <w:style w:type="character" w:customStyle="1" w:styleId="16">
    <w:name w:val="标题 1 字符"/>
    <w:link w:val="2"/>
    <w:autoRedefine/>
    <w:qFormat/>
    <w:uiPriority w:val="9"/>
    <w:rPr>
      <w:rFonts w:ascii="Times New Roman" w:hAnsi="Times New Roman" w:eastAsia="宋体"/>
      <w:b/>
      <w:bCs/>
      <w:kern w:val="44"/>
      <w:sz w:val="24"/>
    </w:rPr>
  </w:style>
  <w:style w:type="paragraph" w:customStyle="1" w:styleId="17">
    <w:name w:val="图"/>
    <w:basedOn w:val="1"/>
    <w:link w:val="21"/>
    <w:qFormat/>
    <w:uiPriority w:val="0"/>
    <w:pPr>
      <w:spacing w:before="120" w:after="240" w:line="240" w:lineRule="auto"/>
      <w:ind w:left="0" w:leftChars="0" w:firstLine="0" w:firstLineChars="0"/>
      <w:jc w:val="center"/>
    </w:pPr>
    <w:rPr>
      <w:rFonts w:hint="eastAsia" w:ascii="Times New Roman" w:hAnsi="Times New Roman" w:eastAsia="宋体"/>
      <w:sz w:val="22"/>
    </w:rPr>
  </w:style>
  <w:style w:type="paragraph" w:customStyle="1" w:styleId="18">
    <w:name w:val="表中文字"/>
    <w:basedOn w:val="1"/>
    <w:qFormat/>
    <w:uiPriority w:val="0"/>
    <w:pPr>
      <w:spacing w:before="60" w:after="60" w:line="240" w:lineRule="auto"/>
      <w:ind w:firstLine="0" w:firstLineChars="0"/>
    </w:pPr>
    <w:rPr>
      <w:rFonts w:hint="eastAsia" w:ascii="Times New Roman" w:hAnsi="Times New Roman"/>
      <w:sz w:val="22"/>
    </w:rPr>
  </w:style>
  <w:style w:type="paragraph" w:customStyle="1" w:styleId="19">
    <w:name w:val="注"/>
    <w:basedOn w:val="1"/>
    <w:qFormat/>
    <w:uiPriority w:val="0"/>
    <w:pPr>
      <w:spacing w:before="120" w:after="240" w:line="240" w:lineRule="auto"/>
      <w:ind w:firstLine="0" w:firstLineChars="0"/>
      <w:jc w:val="left"/>
    </w:pPr>
    <w:rPr>
      <w:rFonts w:hint="eastAsia" w:ascii="Times New Roman" w:hAnsi="Times New Roman" w:eastAsia="宋体"/>
      <w:sz w:val="21"/>
    </w:rPr>
  </w:style>
  <w:style w:type="character" w:customStyle="1" w:styleId="20">
    <w:name w:val="标题 2 字符"/>
    <w:link w:val="3"/>
    <w:qFormat/>
    <w:uiPriority w:val="9"/>
    <w:rPr>
      <w:rFonts w:ascii="Times New Roman" w:hAnsi="Times New Roman" w:eastAsia="宋体" w:cs="Times New Roman"/>
      <w:b/>
      <w:sz w:val="24"/>
    </w:rPr>
  </w:style>
  <w:style w:type="character" w:customStyle="1" w:styleId="21">
    <w:name w:val="图 Char"/>
    <w:link w:val="17"/>
    <w:qFormat/>
    <w:uiPriority w:val="0"/>
    <w:rPr>
      <w:rFonts w:hint="eastAsia" w:ascii="Times New Roman" w:hAnsi="Times New Roman" w:eastAsia="宋体"/>
      <w:sz w:val="22"/>
    </w:rPr>
  </w:style>
  <w:style w:type="character" w:customStyle="1" w:styleId="22">
    <w:name w:val="标题 3 Char"/>
    <w:link w:val="4"/>
    <w:qFormat/>
    <w:uiPriority w:val="9"/>
    <w:rPr>
      <w:rFonts w:hint="default" w:ascii="Times New Roman" w:hAnsi="Times New Roman" w:eastAsia="宋体" w:cs="宋体"/>
      <w:b/>
      <w:bCs/>
      <w:kern w:val="0"/>
      <w:sz w:val="24"/>
      <w:szCs w:val="27"/>
      <w:lang w:bidi="ar"/>
    </w:rPr>
  </w:style>
  <w:style w:type="character" w:customStyle="1" w:styleId="23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419</Words>
  <Characters>3399</Characters>
  <Lines>0</Lines>
  <Paragraphs>0</Paragraphs>
  <TotalTime>0</TotalTime>
  <ScaleCrop>false</ScaleCrop>
  <LinksUpToDate>false</LinksUpToDate>
  <CharactersWithSpaces>3506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2025-07-10T02:16:00Z</dcterms:created>
  <dc:creator>SYT</dc:creator>
  <cp:lastModifiedBy>SYT</cp:lastModifiedBy>
  <dcterms:modified xsi:type="dcterms:W3CDTF">2025-08-28T09:32:52Z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69AFD38E0EDE4EEAB4F9DAEA56E369D7_11</vt:lpwstr>
  </property>
  <property fmtid="{D5CDD505-2E9C-101B-9397-08002B2CF9AE}" pid="4" name="KSOTemplateDocerSaveRecord">
    <vt:lpwstr>eyJoZGlkIjoiZjJkZWMyMDM2M2VhOTA2NzYzODQ3NTg3MjdiMmRiOWMiLCJ1c2VySWQiOiIyMzcwNzQ5NjUifQ==</vt:lpwstr>
  </property>
</Properties>
</file>