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9B89FE" w14:textId="77777777" w:rsidR="00522938" w:rsidRPr="00522938" w:rsidRDefault="00522938" w:rsidP="00522938">
      <w:pPr>
        <w:rPr>
          <w:b/>
          <w:lang w:val="en-GB"/>
        </w:rPr>
      </w:pPr>
      <w:r w:rsidRPr="00522938">
        <w:rPr>
          <w:b/>
          <w:lang w:val="en-GB"/>
        </w:rPr>
        <w:t>SUPPLEMENTARY MATERIAL</w:t>
      </w:r>
    </w:p>
    <w:p w14:paraId="000984A2" w14:textId="77777777" w:rsidR="00522938" w:rsidRPr="00522938" w:rsidRDefault="00522938" w:rsidP="00522938">
      <w:pPr>
        <w:rPr>
          <w:b/>
          <w:lang w:val="en-GB"/>
        </w:rPr>
      </w:pPr>
      <w:r w:rsidRPr="00522938">
        <w:rPr>
          <w:b/>
          <w:lang w:val="en-GB"/>
        </w:rPr>
        <w:t>Detailed clinical histories of the five patients with polymicrobial VGEI and QFA analysis</w:t>
      </w:r>
    </w:p>
    <w:p w14:paraId="0831E68A" w14:textId="77777777" w:rsidR="00522938" w:rsidRPr="00522938" w:rsidRDefault="00522938" w:rsidP="00522938">
      <w:pPr>
        <w:rPr>
          <w:lang w:val="en-GB"/>
        </w:rPr>
      </w:pPr>
      <w:r w:rsidRPr="00522938">
        <w:rPr>
          <w:b/>
          <w:lang w:val="en-GB"/>
        </w:rPr>
        <w:t>Patient 1</w:t>
      </w:r>
      <w:r w:rsidRPr="00522938">
        <w:rPr>
          <w:lang w:val="en-GB"/>
        </w:rPr>
        <w:t xml:space="preserve">: A 60-year-old male intravenous drug user with chronic hepatitis C was transferred to the University Hospital Zurich (USZ) due to a VGEI involving his iliac-femoral obturator bypass. He presented with a persistent, chronically exuding wound in the right groin. The collagen-coated vascular graft, originally implanted in 2006 to address an infected false aneurysm, had been occluded since 2011 despite multiple revisions. On arrival at USZ, a CT scan revealed a prosthetic-cutaneous fistula and an abscess surrounding the bypass, necessitating </w:t>
      </w:r>
      <w:proofErr w:type="spellStart"/>
      <w:r w:rsidRPr="00522938">
        <w:rPr>
          <w:lang w:val="en-GB"/>
        </w:rPr>
        <w:t>explantation</w:t>
      </w:r>
      <w:proofErr w:type="spellEnd"/>
      <w:r w:rsidRPr="00522938">
        <w:rPr>
          <w:lang w:val="en-GB"/>
        </w:rPr>
        <w:t xml:space="preserve"> of the graft. Cultures from the pus around the surgical site and the explanted bypass identified </w:t>
      </w:r>
      <w:r w:rsidRPr="00522938">
        <w:rPr>
          <w:i/>
          <w:lang w:val="en-GB"/>
        </w:rPr>
        <w:t xml:space="preserve">Staphylococcus aureus </w:t>
      </w:r>
      <w:r w:rsidRPr="00522938">
        <w:rPr>
          <w:lang w:val="en-GB"/>
        </w:rPr>
        <w:t>and</w:t>
      </w:r>
      <w:r w:rsidRPr="00522938">
        <w:rPr>
          <w:i/>
          <w:lang w:val="en-GB"/>
        </w:rPr>
        <w:t xml:space="preserve"> Corynebacterium </w:t>
      </w:r>
      <w:proofErr w:type="spellStart"/>
      <w:r w:rsidRPr="00522938">
        <w:rPr>
          <w:i/>
          <w:lang w:val="en-GB"/>
        </w:rPr>
        <w:t>amycolatum</w:t>
      </w:r>
      <w:proofErr w:type="spellEnd"/>
      <w:r w:rsidRPr="00522938">
        <w:rPr>
          <w:i/>
          <w:lang w:val="en-GB"/>
        </w:rPr>
        <w:t xml:space="preserve"> </w:t>
      </w:r>
      <w:r w:rsidRPr="00522938">
        <w:rPr>
          <w:lang w:val="en-GB"/>
        </w:rPr>
        <w:t>(</w:t>
      </w:r>
      <w:r w:rsidRPr="00522938">
        <w:rPr>
          <w:b/>
          <w:lang w:val="en-GB"/>
        </w:rPr>
        <w:t>strain pair from patient 1</w:t>
      </w:r>
      <w:r w:rsidRPr="00522938">
        <w:rPr>
          <w:lang w:val="en-GB"/>
        </w:rPr>
        <w:t xml:space="preserve">). Due to good collateralization, it was not necessary to implant a new graft to ensure perfusion to the leg. The patient underwent a 20-day course of amoxicillin-clavulanic acid and was discharged without any signs of relapse or reinfection. Clinical and laboratory follow-up to date has confirmed the absence of recurrence. </w:t>
      </w:r>
      <w:r w:rsidRPr="00522938">
        <w:rPr>
          <w:b/>
          <w:lang w:val="en-GB"/>
        </w:rPr>
        <w:t>Supplementary Figure 2</w:t>
      </w:r>
      <w:r w:rsidRPr="00522938">
        <w:rPr>
          <w:lang w:val="en-GB"/>
        </w:rPr>
        <w:t xml:space="preserve"> </w:t>
      </w:r>
      <w:r w:rsidRPr="00522938">
        <w:rPr>
          <w:bCs/>
          <w:lang w:val="en-GB"/>
        </w:rPr>
        <w:t>provides a</w:t>
      </w:r>
      <w:r w:rsidRPr="00522938">
        <w:rPr>
          <w:b/>
          <w:lang w:val="en-GB"/>
        </w:rPr>
        <w:t xml:space="preserve"> </w:t>
      </w:r>
      <w:r w:rsidRPr="00522938">
        <w:rPr>
          <w:lang w:val="en-GB"/>
        </w:rPr>
        <w:t xml:space="preserve">graphical depiction of the patient’s clinical course. </w:t>
      </w:r>
    </w:p>
    <w:p w14:paraId="7D65EBA3" w14:textId="77777777" w:rsidR="00522938" w:rsidRPr="00522938" w:rsidRDefault="00522938" w:rsidP="00522938">
      <w:pPr>
        <w:rPr>
          <w:lang w:val="en-GB"/>
        </w:rPr>
      </w:pPr>
      <w:r w:rsidRPr="00522938">
        <w:rPr>
          <w:b/>
          <w:lang w:val="en-GB"/>
        </w:rPr>
        <w:tab/>
        <w:t>Patient 2:</w:t>
      </w:r>
      <w:r w:rsidRPr="00522938">
        <w:rPr>
          <w:lang w:val="en-GB"/>
        </w:rPr>
        <w:t xml:space="preserve"> In 2021, a 72-year-old male was hospitalized for a suspected relapse of VGEI, following a two-months history of recurrent fever, chills, and abdominal pain. His medical history included graft replacement due to chronic VGEI caused by </w:t>
      </w:r>
      <w:r w:rsidRPr="00522938">
        <w:rPr>
          <w:i/>
          <w:lang w:val="en-GB"/>
        </w:rPr>
        <w:t>Pseudomonas aeruginosa</w:t>
      </w:r>
      <w:r w:rsidRPr="00522938">
        <w:rPr>
          <w:lang w:val="en-GB"/>
        </w:rPr>
        <w:t xml:space="preserve">, with a residual ingrown vascular graft. Post replacement, targeted therapy for Pseudomonas was maintained for one year. Upon admission in 2021, blood cultures identified </w:t>
      </w:r>
      <w:r w:rsidRPr="00522938">
        <w:rPr>
          <w:i/>
          <w:lang w:val="en-GB"/>
        </w:rPr>
        <w:t>Pseudomonas aeruginosa</w:t>
      </w:r>
      <w:r w:rsidRPr="00522938">
        <w:rPr>
          <w:lang w:val="en-GB"/>
        </w:rPr>
        <w:t xml:space="preserve">, </w:t>
      </w:r>
      <w:r w:rsidRPr="00522938">
        <w:rPr>
          <w:i/>
          <w:lang w:val="en-GB"/>
        </w:rPr>
        <w:t>Escherichia coli</w:t>
      </w:r>
      <w:r w:rsidRPr="00522938">
        <w:rPr>
          <w:lang w:val="en-GB"/>
        </w:rPr>
        <w:t xml:space="preserve">, and </w:t>
      </w:r>
      <w:proofErr w:type="spellStart"/>
      <w:r w:rsidRPr="00522938">
        <w:rPr>
          <w:i/>
          <w:lang w:val="en-GB"/>
        </w:rPr>
        <w:t>Prevotella</w:t>
      </w:r>
      <w:proofErr w:type="spellEnd"/>
      <w:r w:rsidRPr="00522938">
        <w:rPr>
          <w:lang w:val="en-GB"/>
        </w:rPr>
        <w:t xml:space="preserve"> spp., prompting treatment with piperacillin/tazobactam. The infected abdominal graft was replaced with a bovine pericardial prosthesis. Cultures from the explanted graft yielded </w:t>
      </w:r>
      <w:r w:rsidRPr="00522938">
        <w:rPr>
          <w:i/>
          <w:lang w:val="en-GB"/>
        </w:rPr>
        <w:t>C. glabrata</w:t>
      </w:r>
      <w:r w:rsidRPr="00522938">
        <w:rPr>
          <w:lang w:val="en-GB"/>
        </w:rPr>
        <w:t xml:space="preserve"> and </w:t>
      </w:r>
      <w:r w:rsidRPr="00522938">
        <w:rPr>
          <w:i/>
          <w:lang w:val="en-GB"/>
        </w:rPr>
        <w:t>E. coli</w:t>
      </w:r>
      <w:r w:rsidRPr="00522938">
        <w:rPr>
          <w:lang w:val="en-GB"/>
        </w:rPr>
        <w:t xml:space="preserve"> (</w:t>
      </w:r>
      <w:r w:rsidRPr="00522938">
        <w:rPr>
          <w:b/>
          <w:lang w:val="en-GB"/>
        </w:rPr>
        <w:t>strain pair from patient 2</w:t>
      </w:r>
      <w:r w:rsidRPr="00522938">
        <w:rPr>
          <w:lang w:val="en-GB"/>
        </w:rPr>
        <w:t xml:space="preserve">). The patient’s hospital course was marked by multiple complications, including mesenteric ischemia necessitating hemicolectomy. Despite aggressive treatment, the patient succumbed after a prolonged and challenging 96-day course in intensive care. </w:t>
      </w:r>
      <w:r w:rsidRPr="00522938">
        <w:rPr>
          <w:b/>
          <w:lang w:val="en-GB"/>
        </w:rPr>
        <w:t>Supplementary Figure 3a</w:t>
      </w:r>
      <w:r w:rsidRPr="00522938">
        <w:rPr>
          <w:lang w:val="en-GB"/>
        </w:rPr>
        <w:t xml:space="preserve"> illustrates the patient’s clinical progression. </w:t>
      </w:r>
    </w:p>
    <w:p w14:paraId="4A0DB9DA" w14:textId="77777777" w:rsidR="00522938" w:rsidRPr="00522938" w:rsidRDefault="00522938" w:rsidP="00522938">
      <w:pPr>
        <w:rPr>
          <w:lang w:val="en-GB"/>
        </w:rPr>
      </w:pPr>
      <w:r w:rsidRPr="00522938">
        <w:rPr>
          <w:b/>
          <w:lang w:val="en-GB"/>
        </w:rPr>
        <w:tab/>
        <w:t>Patient 3:</w:t>
      </w:r>
      <w:r w:rsidRPr="00522938">
        <w:rPr>
          <w:lang w:val="en-GB"/>
        </w:rPr>
        <w:t xml:space="preserve"> A 53-year-old male with HIV/hepatitis C-coinfection and a history of intravenous drug use was hospitalized with swelling and bleeding in his right groin. He was diagnosed with a femoral artery aneurysm and underwent </w:t>
      </w:r>
      <w:proofErr w:type="spellStart"/>
      <w:r w:rsidRPr="00522938">
        <w:rPr>
          <w:lang w:val="en-GB"/>
        </w:rPr>
        <w:t>xenopericardial</w:t>
      </w:r>
      <w:proofErr w:type="spellEnd"/>
      <w:r w:rsidRPr="00522938">
        <w:rPr>
          <w:lang w:val="en-GB"/>
        </w:rPr>
        <w:t xml:space="preserve"> </w:t>
      </w:r>
      <w:proofErr w:type="spellStart"/>
      <w:r w:rsidRPr="00522938">
        <w:rPr>
          <w:lang w:val="en-GB"/>
        </w:rPr>
        <w:t>patchplasty</w:t>
      </w:r>
      <w:proofErr w:type="spellEnd"/>
      <w:r w:rsidRPr="00522938">
        <w:rPr>
          <w:lang w:val="en-GB"/>
        </w:rPr>
        <w:t xml:space="preserve">. Tissue and blood cultures grew Methicillin-resistant </w:t>
      </w:r>
      <w:r w:rsidRPr="00522938">
        <w:rPr>
          <w:i/>
          <w:lang w:val="en-GB"/>
        </w:rPr>
        <w:t>Staphylococcus aureus</w:t>
      </w:r>
      <w:r w:rsidRPr="00522938">
        <w:rPr>
          <w:lang w:val="en-GB"/>
        </w:rPr>
        <w:t xml:space="preserve"> (MRSA), prompting treatment with vancomycin, which was later switched to daptomycin and flucloxacillin due to persistent bacteraemia. Despite antimicrobial treatment, the inguinal wound dehisced, exposing the vascular graft. Subsequent debridement identified </w:t>
      </w:r>
      <w:r w:rsidRPr="00522938">
        <w:rPr>
          <w:i/>
          <w:lang w:val="en-GB"/>
        </w:rPr>
        <w:t>Klebsiella aerogenes</w:t>
      </w:r>
      <w:r w:rsidRPr="00522938">
        <w:rPr>
          <w:lang w:val="en-GB"/>
        </w:rPr>
        <w:t xml:space="preserve"> and </w:t>
      </w:r>
      <w:r w:rsidRPr="00522938">
        <w:rPr>
          <w:i/>
          <w:lang w:val="en-GB"/>
        </w:rPr>
        <w:t>Candida glabrata</w:t>
      </w:r>
      <w:r w:rsidRPr="00522938">
        <w:rPr>
          <w:lang w:val="en-GB"/>
        </w:rPr>
        <w:t xml:space="preserve"> (</w:t>
      </w:r>
      <w:r w:rsidRPr="00522938">
        <w:rPr>
          <w:b/>
          <w:lang w:val="en-GB"/>
        </w:rPr>
        <w:t>strain pair from patient 3</w:t>
      </w:r>
      <w:r w:rsidRPr="00522938">
        <w:rPr>
          <w:lang w:val="en-GB"/>
        </w:rPr>
        <w:t xml:space="preserve">). The wound was managed with closure using a sartorius muscle flap. The </w:t>
      </w:r>
      <w:r w:rsidRPr="00522938">
        <w:rPr>
          <w:lang w:val="en-GB"/>
        </w:rPr>
        <w:lastRenderedPageBreak/>
        <w:t xml:space="preserve">patient was discharged after six days and prescribed a 12-week regimen of trimethoprim/sulfamethoxazole, rifampicin, and </w:t>
      </w:r>
      <w:proofErr w:type="spellStart"/>
      <w:r w:rsidRPr="00522938">
        <w:rPr>
          <w:lang w:val="en-GB"/>
        </w:rPr>
        <w:t>isavuconazole</w:t>
      </w:r>
      <w:proofErr w:type="spellEnd"/>
      <w:r w:rsidRPr="00522938">
        <w:rPr>
          <w:lang w:val="en-GB"/>
        </w:rPr>
        <w:t>.</w:t>
      </w:r>
    </w:p>
    <w:p w14:paraId="0B9FCEB8" w14:textId="77777777" w:rsidR="00522938" w:rsidRPr="00522938" w:rsidRDefault="00522938" w:rsidP="00522938">
      <w:pPr>
        <w:rPr>
          <w:lang w:val="en-GB"/>
        </w:rPr>
      </w:pPr>
      <w:r w:rsidRPr="00522938">
        <w:rPr>
          <w:b/>
          <w:lang w:val="en-GB"/>
        </w:rPr>
        <w:tab/>
        <w:t>Patient 4</w:t>
      </w:r>
      <w:r w:rsidRPr="00522938">
        <w:rPr>
          <w:lang w:val="en-GB"/>
        </w:rPr>
        <w:t xml:space="preserve"> A 51-year-old male on </w:t>
      </w:r>
      <w:proofErr w:type="spellStart"/>
      <w:r w:rsidRPr="00522938">
        <w:rPr>
          <w:lang w:val="en-GB"/>
        </w:rPr>
        <w:t>hemodialysis</w:t>
      </w:r>
      <w:proofErr w:type="spellEnd"/>
      <w:r w:rsidRPr="00522938">
        <w:rPr>
          <w:lang w:val="en-GB"/>
        </w:rPr>
        <w:t xml:space="preserve"> was transferred to the hospital with elevated inflammatory markers (CRP 301 mg/L, Lc 21 G/L). Examination revealed an exposed polytetrafluoroethylene (PTFE) </w:t>
      </w:r>
      <w:proofErr w:type="spellStart"/>
      <w:r w:rsidRPr="00522938">
        <w:rPr>
          <w:lang w:val="en-GB"/>
        </w:rPr>
        <w:t>brachio</w:t>
      </w:r>
      <w:proofErr w:type="spellEnd"/>
      <w:r w:rsidRPr="00522938">
        <w:rPr>
          <w:lang w:val="en-GB"/>
        </w:rPr>
        <w:t xml:space="preserve">-axillary shunt, strongly suggestive of another infectious complication following two years of treatment with clindamycin and ciprofloxacin for previous infections caused by </w:t>
      </w:r>
      <w:r w:rsidRPr="00522938">
        <w:rPr>
          <w:i/>
          <w:lang w:val="en-GB"/>
        </w:rPr>
        <w:t>S. aureus</w:t>
      </w:r>
      <w:r w:rsidRPr="00522938">
        <w:rPr>
          <w:lang w:val="en-GB"/>
        </w:rPr>
        <w:t xml:space="preserve"> and </w:t>
      </w:r>
      <w:r w:rsidRPr="00522938">
        <w:rPr>
          <w:i/>
          <w:lang w:val="en-GB"/>
        </w:rPr>
        <w:t xml:space="preserve">Citrobacter </w:t>
      </w:r>
      <w:proofErr w:type="spellStart"/>
      <w:r w:rsidRPr="00522938">
        <w:rPr>
          <w:i/>
          <w:lang w:val="en-GB"/>
        </w:rPr>
        <w:t>freundii</w:t>
      </w:r>
      <w:proofErr w:type="spellEnd"/>
      <w:r w:rsidRPr="00522938">
        <w:rPr>
          <w:lang w:val="en-GB"/>
        </w:rPr>
        <w:t xml:space="preserve">. Emergency surgery was performed to remove the exposed shunt material, and the antimicrobial treatment was switched to vancomycin and meropenem. Cultures from the graft identified </w:t>
      </w:r>
      <w:r w:rsidRPr="00522938">
        <w:rPr>
          <w:i/>
          <w:lang w:val="en-GB"/>
        </w:rPr>
        <w:t>Enterococcus faecalis</w:t>
      </w:r>
      <w:r w:rsidRPr="00522938">
        <w:rPr>
          <w:lang w:val="en-GB"/>
        </w:rPr>
        <w:t xml:space="preserve"> and </w:t>
      </w:r>
      <w:r w:rsidRPr="00522938">
        <w:rPr>
          <w:i/>
          <w:lang w:val="en-GB"/>
        </w:rPr>
        <w:t xml:space="preserve">Corynebacterium </w:t>
      </w:r>
      <w:proofErr w:type="spellStart"/>
      <w:r w:rsidRPr="00522938">
        <w:rPr>
          <w:i/>
          <w:lang w:val="en-GB"/>
        </w:rPr>
        <w:t>amycolatum</w:t>
      </w:r>
      <w:proofErr w:type="spellEnd"/>
      <w:r w:rsidRPr="00522938">
        <w:rPr>
          <w:lang w:val="en-GB"/>
        </w:rPr>
        <w:t xml:space="preserve"> (</w:t>
      </w:r>
      <w:r w:rsidRPr="00522938">
        <w:rPr>
          <w:b/>
          <w:lang w:val="en-GB"/>
        </w:rPr>
        <w:t>strain pair from patient 4</w:t>
      </w:r>
      <w:r w:rsidRPr="00522938">
        <w:rPr>
          <w:lang w:val="en-GB"/>
        </w:rPr>
        <w:t xml:space="preserve">). Unfortunately, the patient developed uncontrollable gastric bleeding, resulting in death from haemorrhagic shock on the fourth day of hospitalization. </w:t>
      </w:r>
    </w:p>
    <w:p w14:paraId="0CCA1940" w14:textId="77777777" w:rsidR="00522938" w:rsidRPr="00522938" w:rsidRDefault="00522938" w:rsidP="00522938">
      <w:pPr>
        <w:rPr>
          <w:lang w:val="en-GB"/>
        </w:rPr>
      </w:pPr>
      <w:r w:rsidRPr="00522938">
        <w:rPr>
          <w:b/>
          <w:lang w:val="en-GB"/>
        </w:rPr>
        <w:tab/>
        <w:t>Patient 5:</w:t>
      </w:r>
      <w:r w:rsidRPr="00522938">
        <w:rPr>
          <w:lang w:val="en-GB"/>
        </w:rPr>
        <w:t xml:space="preserve"> A 73-year-old male underwent aortic graft implantation for a newly diagnosed thoracoabdominal aortic aneurysm. Postoperatively, he experienced haemorrhagic shock due to bleeding from the common iliac vein, necessitating an emergency relaparotomy. On the 10</w:t>
      </w:r>
      <w:r w:rsidRPr="00522938">
        <w:rPr>
          <w:vertAlign w:val="superscript"/>
          <w:lang w:val="en-GB"/>
        </w:rPr>
        <w:t>th</w:t>
      </w:r>
      <w:r w:rsidRPr="00522938">
        <w:rPr>
          <w:lang w:val="en-GB"/>
        </w:rPr>
        <w:t xml:space="preserve"> postoperative day, ischemic perforation of the sigmoid colon required hemicolectomy. During the procedure, a 2x5 cm peritoneal rupture was discovered, exposing the retroperitoneal vascular prosthesis indicating secondary VGEI. Cultures from abdominal and retroperitoneal swabs identified multi-resistant </w:t>
      </w:r>
      <w:r w:rsidRPr="00522938">
        <w:rPr>
          <w:i/>
          <w:lang w:val="en-GB"/>
        </w:rPr>
        <w:t>E. cloacae</w:t>
      </w:r>
      <w:r w:rsidRPr="00522938">
        <w:rPr>
          <w:lang w:val="en-GB"/>
        </w:rPr>
        <w:t xml:space="preserve"> </w:t>
      </w:r>
      <w:proofErr w:type="spellStart"/>
      <w:r w:rsidRPr="00522938">
        <w:rPr>
          <w:lang w:val="en-GB"/>
        </w:rPr>
        <w:t>AmpC</w:t>
      </w:r>
      <w:proofErr w:type="spellEnd"/>
      <w:r w:rsidRPr="00522938">
        <w:rPr>
          <w:lang w:val="en-GB"/>
        </w:rPr>
        <w:t xml:space="preserve"> and methicillin-resistant </w:t>
      </w:r>
      <w:r w:rsidRPr="00522938">
        <w:rPr>
          <w:i/>
          <w:lang w:val="en-GB"/>
        </w:rPr>
        <w:t>S. epidermidis</w:t>
      </w:r>
      <w:r w:rsidRPr="00522938">
        <w:rPr>
          <w:lang w:val="en-GB"/>
        </w:rPr>
        <w:t xml:space="preserve"> (</w:t>
      </w:r>
      <w:r w:rsidRPr="00522938">
        <w:rPr>
          <w:b/>
          <w:lang w:val="en-GB"/>
        </w:rPr>
        <w:t>strain pair from patient 5</w:t>
      </w:r>
      <w:r w:rsidRPr="00522938">
        <w:rPr>
          <w:lang w:val="en-GB"/>
        </w:rPr>
        <w:t>), prompting a change in antimicrobial therapy to daptomycin and ceftazidime/avibactam. Following discharge, the patient continued a six-month course of antimicrobial treatment, and no further infectious episodes have been reported.</w:t>
      </w:r>
    </w:p>
    <w:p w14:paraId="40376CC3" w14:textId="77777777" w:rsidR="00522938" w:rsidRPr="00522938" w:rsidRDefault="00522938" w:rsidP="00522938">
      <w:pPr>
        <w:rPr>
          <w:lang w:val="en-GB"/>
        </w:rPr>
      </w:pPr>
      <w:r w:rsidRPr="00522938">
        <w:rPr>
          <w:lang w:val="en-GB"/>
        </w:rPr>
        <w:br w:type="page"/>
      </w:r>
    </w:p>
    <w:p w14:paraId="29545DBE" w14:textId="77777777" w:rsidR="00522938" w:rsidRPr="00522938" w:rsidRDefault="00522938" w:rsidP="00522938">
      <w:pPr>
        <w:rPr>
          <w:b/>
          <w:lang w:val="en-GB"/>
        </w:rPr>
      </w:pPr>
      <w:r w:rsidRPr="00522938">
        <w:rPr>
          <w:b/>
          <w:lang w:val="en-GB"/>
        </w:rPr>
        <w:lastRenderedPageBreak/>
        <w:t>Supplementary Figure 1: Individual growth curves derived from time-lapse images</w:t>
      </w:r>
    </w:p>
    <w:p w14:paraId="249D00E4" w14:textId="77777777" w:rsidR="00522938" w:rsidRPr="00522938" w:rsidRDefault="00522938" w:rsidP="00522938">
      <w:pPr>
        <w:rPr>
          <w:b/>
          <w:lang w:val="en-GB"/>
        </w:rPr>
      </w:pPr>
      <w:r w:rsidRPr="00522938">
        <w:rPr>
          <w:b/>
          <w:lang w:val="en-GB"/>
        </w:rPr>
        <w:t>Panel A</w:t>
      </w:r>
    </w:p>
    <w:p w14:paraId="3637ED84" w14:textId="07B16033" w:rsidR="00522938" w:rsidRPr="00522938" w:rsidRDefault="00522938" w:rsidP="00522938">
      <w:pPr>
        <w:rPr>
          <w:lang w:val="en-GB"/>
        </w:rPr>
      </w:pPr>
      <w:r w:rsidRPr="00522938">
        <w:rPr>
          <w:lang w:val="en-GB"/>
        </w:rPr>
        <w:drawing>
          <wp:inline distT="0" distB="0" distL="0" distR="0" wp14:anchorId="4C67920A" wp14:editId="1BCEB90D">
            <wp:extent cx="5724525" cy="3838575"/>
            <wp:effectExtent l="0" t="0" r="9525" b="9525"/>
            <wp:docPr id="1054872837" name="Picture 12" descr="Ein Bild, das Screenshot, Rechteck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Ein Bild, das Screenshot, Rechteck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383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9FADC2" w14:textId="77777777" w:rsidR="00522938" w:rsidRPr="00522938" w:rsidRDefault="00522938" w:rsidP="00522938">
      <w:pPr>
        <w:rPr>
          <w:b/>
          <w:lang w:val="en-GB"/>
        </w:rPr>
      </w:pPr>
      <w:r w:rsidRPr="00522938">
        <w:rPr>
          <w:b/>
          <w:lang w:val="en-GB"/>
        </w:rPr>
        <w:t>Panel B</w:t>
      </w:r>
    </w:p>
    <w:p w14:paraId="7AD9A5EB" w14:textId="03BFD3B1" w:rsidR="00522938" w:rsidRPr="00522938" w:rsidRDefault="00522938" w:rsidP="00522938">
      <w:pPr>
        <w:rPr>
          <w:lang w:val="en-GB"/>
        </w:rPr>
      </w:pPr>
      <w:r w:rsidRPr="00522938">
        <w:rPr>
          <w:lang w:val="de-CH"/>
        </w:rPr>
        <w:drawing>
          <wp:inline distT="0" distB="0" distL="0" distR="0" wp14:anchorId="3C5A6DBD" wp14:editId="1AF352E5">
            <wp:extent cx="5731510" cy="3437255"/>
            <wp:effectExtent l="0" t="0" r="2540" b="0"/>
            <wp:docPr id="1851645344" name="Picture 11" descr="Ein Bild, das Text, Diagramm, Entwurf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Ein Bild, das Text, Diagramm, Entwurf enthält.&#10;&#10;Automatisch generierte Beschreibu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437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BF1C4A" w14:textId="77777777" w:rsidR="00522938" w:rsidRPr="00522938" w:rsidRDefault="00522938" w:rsidP="00522938">
      <w:pPr>
        <w:rPr>
          <w:lang w:val="en-GB"/>
        </w:rPr>
      </w:pPr>
    </w:p>
    <w:p w14:paraId="60ACF65B" w14:textId="77777777" w:rsidR="00522938" w:rsidRPr="00522938" w:rsidRDefault="00522938" w:rsidP="00522938">
      <w:pPr>
        <w:rPr>
          <w:lang w:val="en-GB"/>
        </w:rPr>
      </w:pPr>
      <w:r w:rsidRPr="00522938">
        <w:rPr>
          <w:b/>
          <w:lang w:val="en-GB"/>
        </w:rPr>
        <w:lastRenderedPageBreak/>
        <w:t>Panel A.</w:t>
      </w:r>
      <w:r w:rsidRPr="00522938">
        <w:rPr>
          <w:lang w:val="en-GB"/>
        </w:rPr>
        <w:t xml:space="preserve"> General QFA setup. Strain-couplets were drop-plated in a predefined pattern, with strains growing in a checkerboard-pattern at the top to create a co-culture of strain 1 and 2, while at the bottom strains grew in monoculture. The analysis excluded borders of each condition, including solely the spots within the yellow frames in further analysis.</w:t>
      </w:r>
    </w:p>
    <w:p w14:paraId="6673F917" w14:textId="77777777" w:rsidR="00522938" w:rsidRPr="00522938" w:rsidRDefault="00522938" w:rsidP="00522938">
      <w:pPr>
        <w:rPr>
          <w:lang w:val="en-GB"/>
        </w:rPr>
      </w:pPr>
      <w:r w:rsidRPr="00522938">
        <w:rPr>
          <w:b/>
          <w:lang w:val="en-GB"/>
        </w:rPr>
        <w:t>Panel B</w:t>
      </w:r>
      <w:r w:rsidRPr="00522938">
        <w:rPr>
          <w:lang w:val="en-GB"/>
        </w:rPr>
        <w:t xml:space="preserve">. Calculated growth curves per spot. </w:t>
      </w:r>
    </w:p>
    <w:p w14:paraId="0A27E71D" w14:textId="77777777" w:rsidR="00522938" w:rsidRPr="00522938" w:rsidRDefault="00522938" w:rsidP="00522938">
      <w:pPr>
        <w:rPr>
          <w:b/>
          <w:lang w:val="en-GB"/>
        </w:rPr>
      </w:pPr>
      <w:r w:rsidRPr="00522938">
        <w:rPr>
          <w:lang w:val="en-GB"/>
        </w:rPr>
        <w:br w:type="page"/>
      </w:r>
    </w:p>
    <w:p w14:paraId="37D9EB66" w14:textId="77777777" w:rsidR="00522938" w:rsidRPr="00522938" w:rsidRDefault="00522938" w:rsidP="00522938">
      <w:pPr>
        <w:rPr>
          <w:b/>
          <w:lang w:val="en-GB"/>
        </w:rPr>
      </w:pPr>
      <w:r w:rsidRPr="00522938">
        <w:rPr>
          <w:b/>
          <w:lang w:val="en-GB"/>
        </w:rPr>
        <w:lastRenderedPageBreak/>
        <w:t xml:space="preserve">Supplementary Figure 2: Clinical course of a VGEI due to </w:t>
      </w:r>
      <w:r w:rsidRPr="00522938">
        <w:rPr>
          <w:b/>
          <w:i/>
          <w:lang w:val="en-GB"/>
        </w:rPr>
        <w:t xml:space="preserve">S. aureus </w:t>
      </w:r>
      <w:r w:rsidRPr="00522938">
        <w:rPr>
          <w:b/>
          <w:lang w:val="en-GB"/>
        </w:rPr>
        <w:t>and</w:t>
      </w:r>
      <w:r w:rsidRPr="00522938">
        <w:rPr>
          <w:b/>
          <w:i/>
          <w:lang w:val="en-GB"/>
        </w:rPr>
        <w:t xml:space="preserve"> C. </w:t>
      </w:r>
      <w:proofErr w:type="spellStart"/>
      <w:r w:rsidRPr="00522938">
        <w:rPr>
          <w:b/>
          <w:i/>
          <w:lang w:val="en-GB"/>
        </w:rPr>
        <w:t>amycolatum</w:t>
      </w:r>
      <w:proofErr w:type="spellEnd"/>
      <w:r w:rsidRPr="00522938">
        <w:rPr>
          <w:b/>
          <w:i/>
          <w:lang w:val="en-GB"/>
        </w:rPr>
        <w:t xml:space="preserve"> </w:t>
      </w:r>
      <w:r w:rsidRPr="00522938">
        <w:rPr>
          <w:b/>
          <w:lang w:val="en-GB"/>
        </w:rPr>
        <w:t xml:space="preserve">(patient 1) </w:t>
      </w:r>
    </w:p>
    <w:p w14:paraId="3E2873CF" w14:textId="77777777" w:rsidR="00522938" w:rsidRPr="00522938" w:rsidRDefault="00522938" w:rsidP="00522938">
      <w:pPr>
        <w:rPr>
          <w:b/>
          <w:bCs/>
          <w:lang w:val="en-GB"/>
        </w:rPr>
      </w:pPr>
      <w:r w:rsidRPr="00522938">
        <w:rPr>
          <w:b/>
          <w:bCs/>
          <w:lang w:val="en-GB"/>
        </w:rPr>
        <w:t>2: Clinical course</w:t>
      </w:r>
    </w:p>
    <w:p w14:paraId="30EF982E" w14:textId="54D5F057" w:rsidR="00522938" w:rsidRPr="00522938" w:rsidRDefault="00522938" w:rsidP="00522938">
      <w:pPr>
        <w:rPr>
          <w:lang w:val="en-GB"/>
        </w:rPr>
      </w:pPr>
      <w:r w:rsidRPr="00522938">
        <w:rPr>
          <w:lang w:val="en-GB"/>
        </w:rPr>
        <w:drawing>
          <wp:inline distT="0" distB="0" distL="0" distR="0" wp14:anchorId="7430B8E9" wp14:editId="33FD69C0">
            <wp:extent cx="5731510" cy="2903855"/>
            <wp:effectExtent l="0" t="0" r="2540" b="0"/>
            <wp:docPr id="410398532" name="Picture 10" descr="A screen shot of a dia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398532" name="Picture 10" descr="A screen shot of a diagram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903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ADD73A" w14:textId="77777777" w:rsidR="00522938" w:rsidRPr="00522938" w:rsidRDefault="00522938" w:rsidP="00522938">
      <w:pPr>
        <w:rPr>
          <w:b/>
          <w:bCs/>
          <w:lang w:val="en-GB"/>
        </w:rPr>
      </w:pPr>
    </w:p>
    <w:p w14:paraId="1226C6F5" w14:textId="77777777" w:rsidR="00522938" w:rsidRPr="00522938" w:rsidRDefault="00522938" w:rsidP="00522938">
      <w:pPr>
        <w:rPr>
          <w:b/>
          <w:bCs/>
          <w:lang w:val="en-GB"/>
        </w:rPr>
      </w:pPr>
    </w:p>
    <w:p w14:paraId="74AB5448" w14:textId="77777777" w:rsidR="00522938" w:rsidRPr="00522938" w:rsidRDefault="00522938" w:rsidP="00522938">
      <w:pPr>
        <w:rPr>
          <w:b/>
          <w:bCs/>
          <w:lang w:val="en-GB"/>
        </w:rPr>
      </w:pPr>
      <w:r w:rsidRPr="00522938">
        <w:rPr>
          <w:b/>
          <w:bCs/>
          <w:lang w:val="en-GB"/>
        </w:rPr>
        <w:t xml:space="preserve">Figure legend: </w:t>
      </w:r>
      <w:r w:rsidRPr="00522938">
        <w:rPr>
          <w:lang w:val="en-GB"/>
        </w:rPr>
        <w:t>An overview of the clinical course, antimicrobial treatments, surgical interventions, and pathogen sampling relevant to the vascular graft/ endograft infection.</w:t>
      </w:r>
    </w:p>
    <w:p w14:paraId="6BCD3F98" w14:textId="77777777" w:rsidR="00522938" w:rsidRPr="00522938" w:rsidRDefault="00522938" w:rsidP="00522938">
      <w:pPr>
        <w:rPr>
          <w:lang w:val="en-GB"/>
        </w:rPr>
      </w:pPr>
      <w:r w:rsidRPr="00522938">
        <w:rPr>
          <w:lang w:val="en-GB"/>
        </w:rPr>
        <w:t>Abbreviations: NPWT, negative pressure wound therapy.</w:t>
      </w:r>
    </w:p>
    <w:p w14:paraId="3C0DAAB9" w14:textId="77777777" w:rsidR="00522938" w:rsidRPr="00522938" w:rsidRDefault="00522938" w:rsidP="00522938">
      <w:pPr>
        <w:rPr>
          <w:lang w:val="en-GB"/>
        </w:rPr>
      </w:pPr>
    </w:p>
    <w:p w14:paraId="735B4276" w14:textId="77777777" w:rsidR="00522938" w:rsidRPr="00522938" w:rsidRDefault="00522938" w:rsidP="00522938">
      <w:pPr>
        <w:rPr>
          <w:lang w:val="en-GB"/>
        </w:rPr>
      </w:pPr>
    </w:p>
    <w:p w14:paraId="0F119F1B" w14:textId="77777777" w:rsidR="00522938" w:rsidRPr="00522938" w:rsidRDefault="00522938" w:rsidP="00522938">
      <w:pPr>
        <w:rPr>
          <w:b/>
          <w:lang w:val="en-GB"/>
        </w:rPr>
      </w:pPr>
      <w:r w:rsidRPr="00522938">
        <w:rPr>
          <w:lang w:val="en-GB"/>
        </w:rPr>
        <w:br w:type="page"/>
      </w:r>
      <w:r w:rsidRPr="00522938">
        <w:rPr>
          <w:b/>
          <w:lang w:val="en-GB"/>
        </w:rPr>
        <w:lastRenderedPageBreak/>
        <w:t xml:space="preserve">Supplementary Figure 3: Clinical course of a VGEI due to </w:t>
      </w:r>
      <w:r w:rsidRPr="00522938">
        <w:rPr>
          <w:b/>
          <w:i/>
          <w:lang w:val="en-GB"/>
        </w:rPr>
        <w:t>E. coli</w:t>
      </w:r>
      <w:r w:rsidRPr="00522938">
        <w:rPr>
          <w:b/>
          <w:lang w:val="en-GB"/>
        </w:rPr>
        <w:t xml:space="preserve"> and </w:t>
      </w:r>
      <w:r w:rsidRPr="00522938">
        <w:rPr>
          <w:b/>
          <w:i/>
          <w:lang w:val="en-GB"/>
        </w:rPr>
        <w:t>C. glabrata</w:t>
      </w:r>
      <w:r w:rsidRPr="00522938">
        <w:rPr>
          <w:b/>
          <w:lang w:val="en-GB"/>
        </w:rPr>
        <w:t xml:space="preserve"> (Patient 2) </w:t>
      </w:r>
    </w:p>
    <w:p w14:paraId="32119A90" w14:textId="77777777" w:rsidR="00522938" w:rsidRPr="00522938" w:rsidRDefault="00522938" w:rsidP="00522938">
      <w:pPr>
        <w:rPr>
          <w:b/>
          <w:lang w:val="en-GB"/>
        </w:rPr>
      </w:pPr>
      <w:r w:rsidRPr="00522938">
        <w:rPr>
          <w:b/>
          <w:lang w:val="en-GB"/>
        </w:rPr>
        <w:t>3a: Clinical course</w:t>
      </w:r>
    </w:p>
    <w:p w14:paraId="6863524A" w14:textId="567E162E" w:rsidR="00522938" w:rsidRPr="00522938" w:rsidRDefault="00522938" w:rsidP="00522938">
      <w:pPr>
        <w:rPr>
          <w:b/>
          <w:lang w:val="en-GB"/>
        </w:rPr>
      </w:pPr>
      <w:r w:rsidRPr="00522938">
        <w:rPr>
          <w:b/>
          <w:lang w:val="en-GB"/>
        </w:rPr>
        <w:drawing>
          <wp:inline distT="0" distB="0" distL="0" distR="0" wp14:anchorId="0C32A6E7" wp14:editId="62DF84FB">
            <wp:extent cx="5731510" cy="3674745"/>
            <wp:effectExtent l="0" t="0" r="2540" b="1905"/>
            <wp:docPr id="1229637589" name="Picture 9" descr="A screenshot of a medical char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9637589" name="Picture 9" descr="A screenshot of a medical char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674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58C1C4" w14:textId="77777777" w:rsidR="00522938" w:rsidRPr="00522938" w:rsidRDefault="00522938" w:rsidP="00522938">
      <w:pPr>
        <w:rPr>
          <w:lang w:val="en-GB"/>
        </w:rPr>
      </w:pPr>
      <w:r w:rsidRPr="00522938">
        <w:rPr>
          <w:lang w:val="en-GB"/>
        </w:rPr>
        <w:t xml:space="preserve"> </w:t>
      </w:r>
    </w:p>
    <w:p w14:paraId="790E50B8" w14:textId="402A20EF" w:rsidR="00522938" w:rsidRPr="00522938" w:rsidRDefault="00522938" w:rsidP="00522938">
      <w:pPr>
        <w:rPr>
          <w:b/>
          <w:lang w:val="en-GB"/>
        </w:rPr>
      </w:pPr>
      <w:r w:rsidRPr="00522938">
        <w:rPr>
          <w:b/>
          <w:lang w:val="en-GB"/>
        </w:rPr>
        <w:lastRenderedPageBreak/>
        <w:t xml:space="preserve">3b: QFA-setup for </w:t>
      </w:r>
      <w:r w:rsidRPr="00522938">
        <w:rPr>
          <w:b/>
          <w:i/>
          <w:lang w:val="en-GB"/>
        </w:rPr>
        <w:t xml:space="preserve">E. coli </w:t>
      </w:r>
      <w:r w:rsidRPr="00522938">
        <w:rPr>
          <w:b/>
          <w:lang w:val="en-GB"/>
        </w:rPr>
        <w:t xml:space="preserve">and </w:t>
      </w:r>
      <w:r w:rsidRPr="00522938">
        <w:rPr>
          <w:b/>
          <w:i/>
          <w:lang w:val="en-GB"/>
        </w:rPr>
        <w:t>C. glabrata</w:t>
      </w:r>
      <w:r w:rsidRPr="00522938">
        <w:rPr>
          <w:b/>
          <w:iCs/>
          <w:lang w:val="en-GB"/>
        </w:rPr>
        <w:t>, showing almost no growth of</w:t>
      </w:r>
      <w:r w:rsidRPr="00522938">
        <w:rPr>
          <w:b/>
          <w:i/>
          <w:lang w:val="en-GB"/>
        </w:rPr>
        <w:t xml:space="preserve"> C. glabrata </w:t>
      </w:r>
      <w:r w:rsidRPr="00522938">
        <w:rPr>
          <w:lang w:val="en-GB"/>
        </w:rPr>
        <w:drawing>
          <wp:inline distT="0" distB="0" distL="0" distR="0" wp14:anchorId="0E39A0E5" wp14:editId="54127356">
            <wp:extent cx="5731510" cy="3874770"/>
            <wp:effectExtent l="0" t="0" r="2540" b="0"/>
            <wp:docPr id="141984932" name="Picture 8" descr="Ein Bild, das Screenshot, Text, Quadrat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Ein Bild, das Screenshot, Text, Quadrat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74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3B9EDA" w14:textId="77777777" w:rsidR="00522938" w:rsidRPr="00522938" w:rsidRDefault="00522938" w:rsidP="00522938">
      <w:pPr>
        <w:rPr>
          <w:b/>
          <w:lang w:val="en-GB"/>
        </w:rPr>
      </w:pPr>
      <w:r w:rsidRPr="00522938">
        <w:rPr>
          <w:b/>
          <w:lang w:val="en-GB"/>
        </w:rPr>
        <w:t>3c: Inhibition assay</w:t>
      </w:r>
    </w:p>
    <w:p w14:paraId="4B49DC59" w14:textId="08DA5BC8" w:rsidR="00522938" w:rsidRPr="00522938" w:rsidRDefault="00522938" w:rsidP="00522938">
      <w:pPr>
        <w:rPr>
          <w:b/>
          <w:lang w:val="en-GB"/>
        </w:rPr>
      </w:pPr>
      <w:r w:rsidRPr="00522938">
        <w:rPr>
          <w:lang w:val="en-GB"/>
        </w:rPr>
        <w:drawing>
          <wp:inline distT="0" distB="0" distL="0" distR="0" wp14:anchorId="53DE34C7" wp14:editId="79267990">
            <wp:extent cx="5731510" cy="2989580"/>
            <wp:effectExtent l="0" t="0" r="2540" b="1270"/>
            <wp:docPr id="407974057" name="Picture 7" descr="Ein Bild, das Kreis, Oval, Hellbraun, Geschirr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1" descr="Ein Bild, das Kreis, Oval, Hellbraun, Geschirr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989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22938">
        <w:rPr>
          <w:lang w:val="en-GB"/>
        </w:rPr>
        <w:t xml:space="preserve"> </w:t>
      </w:r>
    </w:p>
    <w:p w14:paraId="6B972349" w14:textId="77777777" w:rsidR="00522938" w:rsidRPr="00522938" w:rsidRDefault="00522938" w:rsidP="00522938">
      <w:pPr>
        <w:rPr>
          <w:b/>
          <w:lang w:val="en-GB"/>
        </w:rPr>
      </w:pPr>
      <w:r w:rsidRPr="00522938">
        <w:rPr>
          <w:b/>
          <w:lang w:val="en-GB"/>
        </w:rPr>
        <w:t>Figure legend</w:t>
      </w:r>
    </w:p>
    <w:p w14:paraId="2031A95F" w14:textId="77777777" w:rsidR="00522938" w:rsidRPr="00522938" w:rsidRDefault="00522938" w:rsidP="00522938">
      <w:pPr>
        <w:rPr>
          <w:lang w:val="en-GB"/>
        </w:rPr>
      </w:pPr>
      <w:r w:rsidRPr="00522938">
        <w:rPr>
          <w:b/>
          <w:lang w:val="en-GB"/>
        </w:rPr>
        <w:t xml:space="preserve">3a: </w:t>
      </w:r>
      <w:r w:rsidRPr="00522938">
        <w:rPr>
          <w:lang w:val="en-GB"/>
        </w:rPr>
        <w:t xml:space="preserve">Summary of the clinical course, antimicrobial and surgical treatments, and pathogen sampling relevant to the vascular graft/ endograft infection. </w:t>
      </w:r>
    </w:p>
    <w:p w14:paraId="2C3B731C" w14:textId="77777777" w:rsidR="00522938" w:rsidRPr="00522938" w:rsidRDefault="00522938" w:rsidP="00522938">
      <w:pPr>
        <w:rPr>
          <w:b/>
          <w:lang w:val="en-GB"/>
        </w:rPr>
      </w:pPr>
      <w:r w:rsidRPr="00522938">
        <w:rPr>
          <w:b/>
          <w:lang w:val="en-GB"/>
        </w:rPr>
        <w:lastRenderedPageBreak/>
        <w:t xml:space="preserve">3b: </w:t>
      </w:r>
      <w:r w:rsidRPr="00522938">
        <w:rPr>
          <w:lang w:val="en-GB"/>
        </w:rPr>
        <w:t xml:space="preserve">QFA-setup of </w:t>
      </w:r>
      <w:r w:rsidRPr="00522938">
        <w:rPr>
          <w:i/>
          <w:lang w:val="en-GB"/>
        </w:rPr>
        <w:t xml:space="preserve">E. coli </w:t>
      </w:r>
      <w:r w:rsidRPr="00522938">
        <w:rPr>
          <w:lang w:val="en-GB"/>
        </w:rPr>
        <w:t>(</w:t>
      </w:r>
      <w:proofErr w:type="spellStart"/>
      <w:r w:rsidRPr="00522938">
        <w:rPr>
          <w:lang w:val="en-GB"/>
        </w:rPr>
        <w:t>gowth</w:t>
      </w:r>
      <w:proofErr w:type="spellEnd"/>
      <w:r w:rsidRPr="00522938">
        <w:rPr>
          <w:lang w:val="en-GB"/>
        </w:rPr>
        <w:t xml:space="preserve"> visible on bottom right side in monoculture and in coculture on the top half of the agar plate) and </w:t>
      </w:r>
      <w:r w:rsidRPr="00522938">
        <w:rPr>
          <w:i/>
          <w:lang w:val="en-GB"/>
        </w:rPr>
        <w:t xml:space="preserve">C. glabrata </w:t>
      </w:r>
      <w:r w:rsidRPr="00522938">
        <w:rPr>
          <w:lang w:val="en-GB"/>
        </w:rPr>
        <w:t xml:space="preserve">(minimal growth on bottom left side and no growth visible in grid). The calculation of fitness was not possible due to the lack of growth of </w:t>
      </w:r>
      <w:r w:rsidRPr="00522938">
        <w:rPr>
          <w:i/>
          <w:iCs/>
          <w:lang w:val="en-GB"/>
        </w:rPr>
        <w:t>C. glabrata</w:t>
      </w:r>
      <w:r w:rsidRPr="00522938">
        <w:rPr>
          <w:lang w:val="en-GB"/>
        </w:rPr>
        <w:t xml:space="preserve"> in the control spots. We postulated, that </w:t>
      </w:r>
      <w:r w:rsidRPr="00522938">
        <w:rPr>
          <w:i/>
          <w:lang w:val="en-GB"/>
        </w:rPr>
        <w:t xml:space="preserve">E. </w:t>
      </w:r>
      <w:r w:rsidRPr="00522938">
        <w:rPr>
          <w:lang w:val="en-GB"/>
        </w:rPr>
        <w:t xml:space="preserve">coli managed to inhibit </w:t>
      </w:r>
      <w:r w:rsidRPr="00522938">
        <w:rPr>
          <w:i/>
          <w:iCs/>
          <w:lang w:val="en-GB"/>
        </w:rPr>
        <w:t xml:space="preserve">C. glabrata </w:t>
      </w:r>
      <w:r w:rsidRPr="00522938">
        <w:rPr>
          <w:lang w:val="en-GB"/>
        </w:rPr>
        <w:t xml:space="preserve">on the whole agar plate. As a result, we attempted to assess the inhibitory effect of </w:t>
      </w:r>
      <w:r w:rsidRPr="00522938">
        <w:rPr>
          <w:i/>
          <w:lang w:val="en-GB"/>
        </w:rPr>
        <w:t>E. coli</w:t>
      </w:r>
      <w:r w:rsidRPr="00522938">
        <w:rPr>
          <w:lang w:val="en-GB"/>
        </w:rPr>
        <w:t xml:space="preserve"> on </w:t>
      </w:r>
      <w:r w:rsidRPr="00522938">
        <w:rPr>
          <w:i/>
          <w:lang w:val="en-GB"/>
        </w:rPr>
        <w:t>C. glabrata</w:t>
      </w:r>
      <w:r w:rsidRPr="00522938">
        <w:rPr>
          <w:lang w:val="en-GB"/>
        </w:rPr>
        <w:t xml:space="preserve"> using an inhibition assay. </w:t>
      </w:r>
      <w:r w:rsidRPr="00522938">
        <w:rPr>
          <w:b/>
          <w:lang w:val="en-GB"/>
        </w:rPr>
        <w:t xml:space="preserve"> </w:t>
      </w:r>
    </w:p>
    <w:p w14:paraId="7FBBCB97" w14:textId="77777777" w:rsidR="00522938" w:rsidRPr="00522938" w:rsidRDefault="00522938" w:rsidP="00522938">
      <w:pPr>
        <w:rPr>
          <w:bCs/>
          <w:lang w:val="en-GB"/>
        </w:rPr>
      </w:pPr>
      <w:r w:rsidRPr="00522938">
        <w:rPr>
          <w:b/>
          <w:lang w:val="en-GB"/>
        </w:rPr>
        <w:t xml:space="preserve">3c: </w:t>
      </w:r>
      <w:r w:rsidRPr="00522938">
        <w:rPr>
          <w:lang w:val="en-GB"/>
        </w:rPr>
        <w:t xml:space="preserve">Results of inhibition assay between </w:t>
      </w:r>
      <w:r w:rsidRPr="00522938">
        <w:rPr>
          <w:i/>
          <w:lang w:val="en-GB"/>
        </w:rPr>
        <w:t>E. coli</w:t>
      </w:r>
      <w:r w:rsidRPr="00522938">
        <w:rPr>
          <w:lang w:val="en-GB"/>
        </w:rPr>
        <w:t xml:space="preserve"> and </w:t>
      </w:r>
      <w:r w:rsidRPr="00522938">
        <w:rPr>
          <w:i/>
          <w:lang w:val="en-GB"/>
        </w:rPr>
        <w:t>C. glabrata</w:t>
      </w:r>
      <w:r w:rsidRPr="00522938">
        <w:rPr>
          <w:lang w:val="en-GB"/>
        </w:rPr>
        <w:t xml:space="preserve">. </w:t>
      </w:r>
      <w:r w:rsidRPr="00522938">
        <w:rPr>
          <w:bCs/>
          <w:i/>
          <w:lang w:val="en-GB"/>
        </w:rPr>
        <w:t xml:space="preserve">C. glabrata </w:t>
      </w:r>
      <w:r w:rsidRPr="00522938">
        <w:rPr>
          <w:bCs/>
          <w:iCs/>
          <w:lang w:val="en-GB"/>
        </w:rPr>
        <w:t>exhibited</w:t>
      </w:r>
      <w:r w:rsidRPr="00522938">
        <w:rPr>
          <w:i/>
          <w:lang w:val="en-GB"/>
        </w:rPr>
        <w:t xml:space="preserve"> </w:t>
      </w:r>
      <w:r w:rsidRPr="00522938">
        <w:rPr>
          <w:bCs/>
          <w:lang w:val="en-GB"/>
        </w:rPr>
        <w:t xml:space="preserve">better growth as distance from the </w:t>
      </w:r>
      <w:r w:rsidRPr="00522938">
        <w:rPr>
          <w:bCs/>
          <w:i/>
          <w:lang w:val="en-GB"/>
        </w:rPr>
        <w:t xml:space="preserve">E. coli spots </w:t>
      </w:r>
      <w:r w:rsidRPr="00522938">
        <w:rPr>
          <w:bCs/>
          <w:iCs/>
          <w:lang w:val="en-GB"/>
        </w:rPr>
        <w:t>increased.</w:t>
      </w:r>
      <w:r w:rsidRPr="00522938">
        <w:rPr>
          <w:bCs/>
          <w:lang w:val="en-GB"/>
        </w:rPr>
        <w:t xml:space="preserve"> Since no competition was observed between the </w:t>
      </w:r>
      <w:r w:rsidRPr="00522938">
        <w:rPr>
          <w:bCs/>
          <w:i/>
          <w:lang w:val="en-GB"/>
        </w:rPr>
        <w:t>E. coli</w:t>
      </w:r>
      <w:r w:rsidRPr="00522938">
        <w:rPr>
          <w:bCs/>
          <w:lang w:val="en-GB"/>
        </w:rPr>
        <w:t xml:space="preserve"> spots, this effect is likely due to the inhibitory action of </w:t>
      </w:r>
      <w:r w:rsidRPr="00522938">
        <w:rPr>
          <w:bCs/>
          <w:i/>
          <w:iCs/>
          <w:lang w:val="en-GB"/>
        </w:rPr>
        <w:t>E. coli</w:t>
      </w:r>
      <w:r w:rsidRPr="00522938">
        <w:rPr>
          <w:bCs/>
          <w:lang w:val="en-GB"/>
        </w:rPr>
        <w:t xml:space="preserve"> on </w:t>
      </w:r>
      <w:r w:rsidRPr="00522938">
        <w:rPr>
          <w:bCs/>
          <w:i/>
          <w:iCs/>
          <w:lang w:val="en-GB"/>
        </w:rPr>
        <w:t xml:space="preserve">C. glabrata, </w:t>
      </w:r>
      <w:r w:rsidRPr="00522938">
        <w:rPr>
          <w:bCs/>
          <w:lang w:val="en-GB"/>
        </w:rPr>
        <w:t xml:space="preserve">rather than nutrient depletion in the agar. As shown in the image on the right, the inhibitory effect was more pronounced and covered a wider area when </w:t>
      </w:r>
      <w:r w:rsidRPr="00522938">
        <w:rPr>
          <w:bCs/>
          <w:i/>
          <w:lang w:val="en-GB"/>
        </w:rPr>
        <w:t xml:space="preserve">E. coli </w:t>
      </w:r>
      <w:r w:rsidRPr="00522938">
        <w:rPr>
          <w:bCs/>
          <w:lang w:val="en-GB"/>
        </w:rPr>
        <w:t xml:space="preserve">was plated 24h earlier. This suggests that inhibitory factors from </w:t>
      </w:r>
      <w:r w:rsidRPr="00522938">
        <w:rPr>
          <w:bCs/>
          <w:i/>
          <w:iCs/>
          <w:lang w:val="en-GB"/>
        </w:rPr>
        <w:t>E. coli</w:t>
      </w:r>
      <w:r w:rsidRPr="00522938">
        <w:rPr>
          <w:bCs/>
          <w:lang w:val="en-GB"/>
        </w:rPr>
        <w:t xml:space="preserve"> had more time to diffuse into the agar. </w:t>
      </w:r>
    </w:p>
    <w:p w14:paraId="627E5890" w14:textId="77777777" w:rsidR="00522938" w:rsidRPr="00522938" w:rsidRDefault="00522938" w:rsidP="00522938">
      <w:pPr>
        <w:rPr>
          <w:lang w:val="en-GB"/>
        </w:rPr>
      </w:pPr>
    </w:p>
    <w:p w14:paraId="1D4F91CA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2938"/>
    <w:rsid w:val="00522938"/>
    <w:rsid w:val="00551178"/>
    <w:rsid w:val="00767E38"/>
    <w:rsid w:val="00866F7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54AC6B"/>
  <w15:chartTrackingRefBased/>
  <w15:docId w15:val="{2B8A5094-A123-44B5-AC54-5D57988A96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229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229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2293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29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2293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2293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2293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2293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2293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293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2293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2293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2293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2293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2293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2293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2293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2293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229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229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2293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229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2293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2293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2293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2293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2293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2293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2293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6226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94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1081</Words>
  <Characters>6167</Characters>
  <Application>Microsoft Office Word</Application>
  <DocSecurity>0</DocSecurity>
  <Lines>51</Lines>
  <Paragraphs>14</Paragraphs>
  <ScaleCrop>false</ScaleCrop>
  <Company/>
  <LinksUpToDate>false</LinksUpToDate>
  <CharactersWithSpaces>7234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2025-09-19T07:22:00Z</dcterms:created>
  <dcterms:modified xsi:type="dcterms:W3CDTF">2025-09-19T07:22:00Z</dcterms:modified>
</cp:coreProperties>
</file>