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pPr>
        <w:spacing w:line="240" w:lineRule="auto"/>
        <w:jc w:val="center"/>
        <w:rPr>
          <w:sz w:val="20"/>
          <w:szCs w:val="20"/>
        </w:rPr>
      </w:pPr>
      <w:r>
        <w:rPr>
          <w:sz w:val="20"/>
          <w:szCs w:val="20"/>
        </w:rPr>
        <w:object w:dxaOrig="5933" w:dyaOrig="3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4pt;height:203.6pt" o:ole="" filled="t">
            <v:imagedata r:id="rId8" o:title=""/>
          </v:shape>
          <o:OLEObject Type="Embed" ProgID="Prism8.Document" ShapeID="_x0000_i1025" DrawAspect="Content" ObjectID="_1818916340" r:id="rId9"/>
        </w:object>
      </w:r>
    </w:p>
    <w:p>
      <w:pPr>
        <w:spacing w:line="240" w:lineRule="auto"/>
        <w:jc w:val="thaiDistribute"/>
        <w:rPr>
          <w:rFonts w:ascii="Times New Roman" w:hAnsi="Times New Roman" w:cs="Times New Roman"/>
          <w:sz w:val="20"/>
          <w:szCs w:val="20"/>
        </w:rPr>
      </w:pPr>
      <w:bookmarkStart w:id="1" w:name="_Hlk202773253"/>
      <w:r>
        <w:rPr>
          <w:rFonts w:ascii="Times New Roman" w:hAnsi="Times New Roman" w:cs="Times New Roman"/>
          <w:b/>
          <w:bCs/>
          <w:sz w:val="20"/>
          <w:szCs w:val="20"/>
        </w:rPr>
        <w:t xml:space="preserve">Supplementary Fig. </w:t>
      </w:r>
      <w:bookmarkEnd w:id="0"/>
      <w:r>
        <w:rPr>
          <w:rFonts w:ascii="Times New Roman" w:hAnsi="Times New Roman" w:cs="Times New Roman"/>
          <w:b/>
          <w:bCs/>
          <w:sz w:val="20"/>
          <w:szCs w:val="20"/>
        </w:rPr>
        <w:t>1</w:t>
      </w:r>
      <w:bookmarkEnd w:id="1"/>
      <w:r>
        <w:rPr>
          <w:b/>
          <w:bCs/>
        </w:rPr>
        <w:t xml:space="preserve">. </w:t>
      </w:r>
      <w:r>
        <w:rPr>
          <w:rFonts w:ascii="Times New Roman" w:hAnsi="Times New Roman" w:cs="Times New Roman"/>
          <w:sz w:val="20"/>
          <w:szCs w:val="20"/>
        </w:rPr>
        <w:t>The correlation between HOMA-IR and HbA1c.</w:t>
      </w:r>
    </w:p>
    <w:p>
      <w:pPr>
        <w:spacing w:line="240" w:lineRule="auto"/>
        <w:jc w:val="thaiDistribute"/>
        <w:rPr>
          <w:rFonts w:ascii="Times New Roman" w:hAnsi="Times New Roman" w:cs="Times New Roman"/>
          <w:sz w:val="20"/>
          <w:szCs w:val="20"/>
        </w:rPr>
      </w:pPr>
      <w:r>
        <w:rPr>
          <w:rFonts w:ascii="Times New Roman" w:hAnsi="Times New Roman" w:cs="Times New Roman"/>
          <w:sz w:val="20"/>
          <w:szCs w:val="20"/>
        </w:rPr>
        <w:t>The x-axis represents HOMA-IR (homeostatic model assessment of insulin resistance), an index of insulin resistance, with higher values indicating greater insulin resistance. The y-axis represents HbA1c (%), which reflects the average blood glucose concentration over the preceding 2–3 months, with higher values indicating poorer glycemic control. Each point on the plot denotes an individual subject, illustrating the relationship between HOMA-IR and HbA1c. HbA1c, hemoglobin A1C; HOMA-IR, homeostatic model assessment for insulin resistance.</w:t>
      </w:r>
    </w:p>
    <w:p>
      <w:pPr>
        <w:spacing w:line="240" w:lineRule="auto"/>
        <w:jc w:val="center"/>
        <w:rPr>
          <w:sz w:val="20"/>
          <w:szCs w:val="20"/>
        </w:rPr>
      </w:pPr>
    </w:p>
    <w:p>
      <w:pPr>
        <w:spacing w:line="240" w:lineRule="auto"/>
        <w:jc w:val="center"/>
        <w:rPr>
          <w:sz w:val="20"/>
          <w:szCs w:val="20"/>
        </w:rPr>
      </w:pPr>
    </w:p>
    <w:p>
      <w:pPr>
        <w:spacing w:line="240" w:lineRule="auto"/>
        <w:jc w:val="center"/>
        <w:rPr>
          <w:sz w:val="20"/>
          <w:szCs w:val="20"/>
        </w:rPr>
        <w:sectPr>
          <w:headerReference w:type="default" r:id="rId10"/>
          <w:pgSz w:w="11906" w:h="16838" w:code="9"/>
          <w:pgMar w:top="1440" w:right="1440" w:bottom="1440" w:left="1440" w:header="720" w:footer="720" w:gutter="0"/>
          <w:cols w:space="720"/>
          <w:docGrid w:linePitch="360"/>
        </w:sectPr>
      </w:pPr>
    </w:p>
    <w:bookmarkStart w:id="2" w:name="_Hlk195275184"/>
    <w:p>
      <w:pPr>
        <w:spacing w:line="240" w:lineRule="auto"/>
        <w:jc w:val="center"/>
        <w:rPr>
          <w:rFonts w:ascii="Times New Roman" w:hAnsi="Times New Roman" w:cs="Times New Roman"/>
          <w:sz w:val="20"/>
          <w:szCs w:val="20"/>
        </w:rPr>
      </w:pPr>
      <w:r>
        <w:rPr>
          <w:rFonts w:ascii="Times New Roman" w:eastAsia="Times New Roman" w:hAnsi="Times New Roman" w:cs="Times New Roman"/>
          <w:bCs/>
          <w:sz w:val="20"/>
          <w:szCs w:val="20"/>
        </w:rPr>
        <w:object w:dxaOrig="11061" w:dyaOrig="5462">
          <v:shape id="_x0000_i1026" type="#_x0000_t75" style="width:399.7pt;height:196.15pt" o:ole="" filled="t">
            <v:imagedata r:id="rId11" o:title=""/>
          </v:shape>
          <o:OLEObject Type="Embed" ProgID="Prism8.Document" ShapeID="_x0000_i1026" DrawAspect="Content" ObjectID="_1818916341" r:id="rId12"/>
        </w:object>
      </w:r>
      <w:bookmarkEnd w:id="2"/>
    </w:p>
    <w:p>
      <w:pPr>
        <w:spacing w:line="240" w:lineRule="auto"/>
        <w:jc w:val="thaiDistribute"/>
        <w:rPr>
          <w:rFonts w:ascii="Times New Roman" w:eastAsia="Times New Roman" w:hAnsi="Times New Roman" w:cs="Times New Roman"/>
          <w:bCs/>
          <w:iCs/>
          <w:sz w:val="20"/>
          <w:szCs w:val="20"/>
        </w:rPr>
      </w:pPr>
      <w:bookmarkStart w:id="3" w:name="OLE_LINK3"/>
      <w:bookmarkStart w:id="4" w:name="_Hlk202773274"/>
      <w:r>
        <w:rPr>
          <w:rFonts w:ascii="Times New Roman" w:eastAsia="Times New Roman" w:hAnsi="Times New Roman" w:cs="Times New Roman"/>
          <w:b/>
          <w:iCs/>
          <w:sz w:val="20"/>
          <w:szCs w:val="20"/>
        </w:rPr>
        <w:t xml:space="preserve">Supplementary Fig. </w:t>
      </w:r>
      <w:bookmarkEnd w:id="3"/>
      <w:r>
        <w:rPr>
          <w:rFonts w:ascii="Times New Roman" w:eastAsia="Times New Roman" w:hAnsi="Times New Roman" w:cs="Times New Roman"/>
          <w:b/>
          <w:iCs/>
          <w:sz w:val="20"/>
          <w:szCs w:val="20"/>
        </w:rPr>
        <w:t xml:space="preserve">2. </w:t>
      </w:r>
      <w:bookmarkEnd w:id="4"/>
      <w:r>
        <w:rPr>
          <w:rFonts w:ascii="Times New Roman" w:eastAsia="Times New Roman" w:hAnsi="Times New Roman" w:cs="Times New Roman"/>
          <w:bCs/>
          <w:iCs/>
          <w:sz w:val="20"/>
          <w:szCs w:val="20"/>
        </w:rPr>
        <w:t xml:space="preserve">Distribution of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(a) levels across participant groups.</w:t>
      </w:r>
    </w:p>
    <w:p>
      <w:pPr>
        <w:spacing w:line="240" w:lineRule="auto"/>
        <w:jc w:val="thaiDistribute"/>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xml:space="preserve">Bar graph shows the percentage of participants with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 xml:space="preserve">(a) levels in three categories: low (&lt;75 nmol/L, teal blue), intermediate (75–125 nmol/L, gray), and high (&gt;125 nmol/L, black), across control, T2DM, and, CVD group with or without lipid-lowering therapy. Each bar represents the proportion of individuals within each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 xml:space="preserve">(a) category for the respective group. T2DM, type 2 diabetes mellitus; CVD, cardiovascular disease </w:t>
      </w:r>
    </w:p>
    <w:p>
      <w:pPr>
        <w:spacing w:line="240" w:lineRule="auto"/>
        <w:jc w:val="thaiDistribute"/>
        <w:rPr>
          <w:rFonts w:ascii="Times New Roman" w:eastAsia="Times New Roman" w:hAnsi="Times New Roman" w:cs="Times New Roman"/>
          <w:bCs/>
          <w:sz w:val="16"/>
          <w:szCs w:val="16"/>
        </w:rPr>
      </w:pPr>
    </w:p>
    <w:p>
      <w:pPr>
        <w:spacing w:line="240" w:lineRule="auto"/>
        <w:jc w:val="thaiDistribute"/>
        <w:rPr>
          <w:rFonts w:ascii="Times New Roman" w:eastAsia="Times New Roman" w:hAnsi="Times New Roman" w:cs="Times New Roman"/>
          <w:bCs/>
          <w:sz w:val="16"/>
          <w:szCs w:val="16"/>
        </w:rPr>
        <w:sectPr>
          <w:pgSz w:w="11906" w:h="16838" w:code="9"/>
          <w:pgMar w:top="1440" w:right="1440" w:bottom="1440" w:left="1440" w:header="720" w:footer="720" w:gutter="0"/>
          <w:cols w:space="720"/>
          <w:docGrid w:linePitch="360"/>
        </w:sectPr>
      </w:pPr>
    </w:p>
    <w:p>
      <w:pPr>
        <w:spacing w:line="240" w:lineRule="auto"/>
        <w:jc w:val="thaiDistribute"/>
        <w:rPr>
          <w:rFonts w:ascii="Times New Roman" w:eastAsia="Times New Roman" w:hAnsi="Times New Roman" w:cs="Times New Roman"/>
          <w:bCs/>
          <w:sz w:val="16"/>
          <w:szCs w:val="16"/>
        </w:rPr>
      </w:pPr>
    </w:p>
    <w:p>
      <w:pPr>
        <w:spacing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object w:dxaOrig="14911" w:dyaOrig="10896">
          <v:shape id="_x0000_i1027" type="#_x0000_t75" style="width:404.7pt;height:294.2pt" o:ole="" filled="t">
            <v:imagedata r:id="rId13" o:title=""/>
          </v:shape>
          <o:OLEObject Type="Embed" ProgID="Prism8.Document" ShapeID="_x0000_i1027" DrawAspect="Content" ObjectID="_1818916342" r:id="rId14"/>
        </w:object>
      </w:r>
    </w:p>
    <w:p>
      <w:pPr>
        <w:spacing w:line="240" w:lineRule="auto"/>
        <w:jc w:val="thaiDistribute"/>
        <w:rPr>
          <w:rFonts w:ascii="Times New Roman" w:eastAsia="Times New Roman" w:hAnsi="Times New Roman" w:cs="Times New Roman"/>
          <w:bCs/>
          <w:sz w:val="16"/>
          <w:szCs w:val="16"/>
        </w:rPr>
      </w:pPr>
    </w:p>
    <w:p>
      <w:pPr>
        <w:spacing w:line="240" w:lineRule="auto"/>
        <w:jc w:val="thaiDistribute"/>
        <w:rPr>
          <w:rFonts w:ascii="Times New Roman" w:eastAsia="Times New Roman" w:hAnsi="Times New Roman" w:cs="Times New Roman"/>
          <w:bCs/>
          <w:iCs/>
          <w:sz w:val="20"/>
          <w:szCs w:val="20"/>
        </w:rPr>
      </w:pPr>
      <w:bookmarkStart w:id="5" w:name="_Hlk202773294"/>
      <w:r>
        <w:rPr>
          <w:rFonts w:ascii="Times New Roman" w:eastAsia="Times New Roman" w:hAnsi="Times New Roman" w:cs="Times New Roman"/>
          <w:b/>
          <w:iCs/>
          <w:sz w:val="20"/>
          <w:szCs w:val="20"/>
        </w:rPr>
        <w:t xml:space="preserve">Supplementary Fig. 3. </w:t>
      </w:r>
      <w:bookmarkEnd w:id="5"/>
      <w:r>
        <w:rPr>
          <w:rFonts w:ascii="Times New Roman" w:eastAsia="Times New Roman" w:hAnsi="Times New Roman" w:cs="Times New Roman"/>
          <w:bCs/>
          <w:iCs/>
          <w:sz w:val="20"/>
          <w:szCs w:val="20"/>
        </w:rPr>
        <w:t xml:space="preserve">Correlation between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(a) and LDL and LDL particle subclasses.</w:t>
      </w:r>
    </w:p>
    <w:p>
      <w:pPr>
        <w:pStyle w:val="ListParagraph"/>
        <w:numPr>
          <w:ilvl w:val="0"/>
          <w:numId w:val="1"/>
        </w:numPr>
        <w:tabs>
          <w:tab w:val="left" w:pos="284"/>
        </w:tabs>
        <w:spacing w:line="240" w:lineRule="auto"/>
        <w:ind w:left="0" w:firstLine="0"/>
        <w:jc w:val="thaiDistribute"/>
        <w:rPr>
          <w:rFonts w:ascii="Times New Roman" w:eastAsia="Times New Roman" w:hAnsi="Times New Roman" w:cs="Times New Roman"/>
          <w:bCs/>
          <w:sz w:val="20"/>
          <w:szCs w:val="20"/>
        </w:rPr>
      </w:pPr>
      <w:r>
        <w:rPr>
          <w:rFonts w:ascii="Times New Roman" w:eastAsia="Times New Roman" w:hAnsi="Times New Roman" w:cs="Times New Roman"/>
          <w:bCs/>
          <w:iCs/>
          <w:sz w:val="20"/>
          <w:szCs w:val="20"/>
        </w:rPr>
        <w:t>LDL-cholesterol (mg/dL), (</w:t>
      </w:r>
      <w:r>
        <w:rPr>
          <w:rFonts w:ascii="Times New Roman" w:eastAsia="Times New Roman" w:hAnsi="Times New Roman" w:cs="Times New Roman"/>
          <w:b/>
          <w:iCs/>
          <w:sz w:val="20"/>
          <w:szCs w:val="20"/>
        </w:rPr>
        <w:t>b</w:t>
      </w:r>
      <w:r>
        <w:rPr>
          <w:rFonts w:ascii="Times New Roman" w:eastAsia="Times New Roman" w:hAnsi="Times New Roman" w:cs="Times New Roman"/>
          <w:bCs/>
          <w:iCs/>
          <w:sz w:val="20"/>
          <w:szCs w:val="20"/>
        </w:rPr>
        <w:t>) LDL particle number (nmol/L), (</w:t>
      </w:r>
      <w:r>
        <w:rPr>
          <w:rFonts w:ascii="Times New Roman" w:eastAsia="Times New Roman" w:hAnsi="Times New Roman" w:cs="Times New Roman"/>
          <w:b/>
          <w:iCs/>
          <w:sz w:val="20"/>
          <w:szCs w:val="20"/>
        </w:rPr>
        <w:t>c</w:t>
      </w:r>
      <w:r>
        <w:rPr>
          <w:rFonts w:ascii="Times New Roman" w:eastAsia="Times New Roman" w:hAnsi="Times New Roman" w:cs="Times New Roman"/>
          <w:bCs/>
          <w:iCs/>
          <w:sz w:val="20"/>
          <w:szCs w:val="20"/>
        </w:rPr>
        <w:t>) LDL-5 particle number (nmol/L), and (</w:t>
      </w:r>
      <w:r>
        <w:rPr>
          <w:rFonts w:ascii="Times New Roman" w:eastAsia="Times New Roman" w:hAnsi="Times New Roman" w:cs="Times New Roman"/>
          <w:b/>
          <w:iCs/>
          <w:sz w:val="20"/>
          <w:szCs w:val="20"/>
        </w:rPr>
        <w:t>d</w:t>
      </w:r>
      <w:r>
        <w:rPr>
          <w:rFonts w:ascii="Times New Roman" w:eastAsia="Times New Roman" w:hAnsi="Times New Roman" w:cs="Times New Roman"/>
          <w:bCs/>
          <w:iCs/>
          <w:sz w:val="20"/>
          <w:szCs w:val="20"/>
        </w:rPr>
        <w:t xml:space="preserve">) LDL-6 particle number (nmol/L). Each dot represents an individual participant. Solid lines represent the regression fit, and dotted lines indicate the 95% confidence intervals (CI). </w:t>
      </w:r>
      <w:r>
        <w:rPr>
          <w:rFonts w:ascii="Times New Roman" w:eastAsia="Times New Roman" w:hAnsi="Times New Roman" w:cs="Times New Roman"/>
          <w:bCs/>
          <w:i/>
          <w:sz w:val="20"/>
          <w:szCs w:val="20"/>
        </w:rPr>
        <w:t>P</w:t>
      </w:r>
      <w:r>
        <w:rPr>
          <w:rFonts w:ascii="Times New Roman" w:eastAsia="Times New Roman" w:hAnsi="Times New Roman" w:cs="Times New Roman"/>
          <w:bCs/>
          <w:iCs/>
          <w:sz w:val="20"/>
          <w:szCs w:val="20"/>
        </w:rPr>
        <w:t xml:space="preserve"> indicate significant differences.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(a), lipoprotein(a); LDL, low-density lipoprotein; CI, confidence interval</w:t>
      </w:r>
    </w:p>
    <w:p>
      <w:pPr>
        <w:spacing w:line="240" w:lineRule="auto"/>
        <w:jc w:val="thaiDistribute"/>
        <w:rPr>
          <w:rFonts w:ascii="Times New Roman" w:eastAsia="Times New Roman" w:hAnsi="Times New Roman" w:cs="Times New Roman"/>
          <w:bCs/>
          <w:sz w:val="16"/>
          <w:szCs w:val="16"/>
        </w:rPr>
        <w:sectPr>
          <w:pgSz w:w="11906" w:h="16838" w:code="9"/>
          <w:pgMar w:top="1440" w:right="1440" w:bottom="1440" w:left="1440" w:header="720" w:footer="720" w:gutter="0"/>
          <w:cols w:space="720"/>
          <w:docGrid w:linePitch="360"/>
        </w:sectPr>
      </w:pPr>
    </w:p>
    <w:p>
      <w:pPr>
        <w:ind w:left="-851"/>
        <w:jc w:val="center"/>
        <w:rPr>
          <w:rFonts w:cs="Browallia New"/>
          <w:szCs w:val="28"/>
        </w:rPr>
      </w:pPr>
      <w:r>
        <w:rPr>
          <w:rFonts w:ascii="Times New Roman" w:eastAsia="Times New Roman" w:hAnsi="Times New Roman" w:cs="Times New Roman"/>
          <w:bCs/>
          <w:sz w:val="20"/>
          <w:szCs w:val="20"/>
        </w:rPr>
        <w:object w:dxaOrig="11619" w:dyaOrig="15727">
          <v:shape id="_x0000_i1028" type="#_x0000_t75" style="width:425.8pt;height:579.7pt" o:ole="" filled="t">
            <v:imagedata r:id="rId15" o:title=""/>
          </v:shape>
          <o:OLEObject Type="Embed" ProgID="Prism8.Document" ShapeID="_x0000_i1028" DrawAspect="Content" ObjectID="_1818916343" r:id="rId16"/>
        </w:object>
      </w:r>
    </w:p>
    <w:p>
      <w:pPr>
        <w:spacing w:line="240" w:lineRule="auto"/>
        <w:jc w:val="thaiDistribute"/>
        <w:rPr>
          <w:rFonts w:ascii="Times New Roman" w:eastAsia="Times New Roman" w:hAnsi="Times New Roman" w:cs="Times New Roman"/>
          <w:b/>
          <w:iCs/>
          <w:sz w:val="20"/>
          <w:szCs w:val="20"/>
        </w:rPr>
      </w:pPr>
      <w:bookmarkStart w:id="6" w:name="_Hlk202773307"/>
    </w:p>
    <w:p>
      <w:pPr>
        <w:spacing w:line="240" w:lineRule="auto"/>
        <w:jc w:val="thaiDistribute"/>
        <w:rPr>
          <w:rFonts w:ascii="Times New Roman" w:eastAsia="Times New Roman" w:hAnsi="Times New Roman" w:cs="Times New Roman"/>
          <w:bCs/>
          <w:iCs/>
          <w:sz w:val="20"/>
          <w:szCs w:val="20"/>
        </w:rPr>
      </w:pPr>
      <w:r>
        <w:rPr>
          <w:rFonts w:ascii="Times New Roman" w:eastAsia="Times New Roman" w:hAnsi="Times New Roman" w:cs="Times New Roman"/>
          <w:b/>
          <w:iCs/>
          <w:sz w:val="20"/>
          <w:szCs w:val="20"/>
        </w:rPr>
        <w:t xml:space="preserve">Supplementary Fig. 4. </w:t>
      </w:r>
      <w:r>
        <w:rPr>
          <w:rFonts w:ascii="Times New Roman" w:eastAsia="Times New Roman" w:hAnsi="Times New Roman" w:cs="Times New Roman"/>
          <w:bCs/>
          <w:iCs/>
          <w:sz w:val="20"/>
          <w:szCs w:val="20"/>
        </w:rPr>
        <w:t xml:space="preserve">Correlation between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 xml:space="preserve">(a) and LDL and LDL particle subclasses by group. </w:t>
      </w:r>
    </w:p>
    <w:p>
      <w:pPr>
        <w:spacing w:line="240" w:lineRule="auto"/>
        <w:jc w:val="thaiDistribute"/>
        <w:rPr>
          <w:rFonts w:ascii="Times New Roman" w:eastAsia="Times New Roman" w:hAnsi="Times New Roman" w:cs="Times New Roman"/>
          <w:bCs/>
          <w:iCs/>
          <w:sz w:val="20"/>
          <w:szCs w:val="20"/>
        </w:rPr>
      </w:pPr>
      <w:r>
        <w:rPr>
          <w:rFonts w:ascii="Times New Roman" w:eastAsia="Times New Roman" w:hAnsi="Times New Roman" w:cs="Times New Roman"/>
          <w:b/>
          <w:iCs/>
          <w:sz w:val="20"/>
          <w:szCs w:val="20"/>
        </w:rPr>
        <w:t>(a)</w:t>
      </w:r>
      <w:r>
        <w:rPr>
          <w:rFonts w:ascii="Times New Roman" w:eastAsia="Times New Roman" w:hAnsi="Times New Roman" w:cs="Times New Roman"/>
          <w:bCs/>
          <w:iCs/>
          <w:sz w:val="20"/>
          <w:szCs w:val="20"/>
        </w:rPr>
        <w:t xml:space="preserve"> Correlation between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(a) concentration (nmol/L) and LDL-cholesterol (mg/dL), LDL-5 particle number (nmol/L), and LDL-6 particle number (nmol/L) in control group.</w:t>
      </w:r>
    </w:p>
    <w:p>
      <w:pPr>
        <w:spacing w:line="240" w:lineRule="auto"/>
        <w:jc w:val="thaiDistribute"/>
        <w:rPr>
          <w:rFonts w:ascii="Times New Roman" w:eastAsia="Times New Roman" w:hAnsi="Times New Roman" w:cs="Times New Roman"/>
          <w:bCs/>
          <w:iCs/>
          <w:sz w:val="20"/>
          <w:szCs w:val="20"/>
        </w:rPr>
      </w:pPr>
      <w:r>
        <w:rPr>
          <w:rFonts w:ascii="Times New Roman" w:eastAsia="Times New Roman" w:hAnsi="Times New Roman" w:cs="Times New Roman"/>
          <w:b/>
          <w:iCs/>
          <w:sz w:val="20"/>
          <w:szCs w:val="20"/>
        </w:rPr>
        <w:t xml:space="preserve">(b) </w:t>
      </w:r>
      <w:r>
        <w:rPr>
          <w:rFonts w:ascii="Times New Roman" w:eastAsia="Times New Roman" w:hAnsi="Times New Roman" w:cs="Times New Roman"/>
          <w:bCs/>
          <w:iCs/>
          <w:sz w:val="20"/>
          <w:szCs w:val="20"/>
        </w:rPr>
        <w:t xml:space="preserve">Correlation between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(a) concentration (nmol/L) and LDL-cholesterol (mg/dL), LDL-5 particle number (nmol/L), and LDL-6 particle number (nmol/L) in T2DM (not received lipid-lowering drugs).</w:t>
      </w:r>
    </w:p>
    <w:p>
      <w:pPr>
        <w:jc w:val="thaiDistribute"/>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 xml:space="preserve">Each dot represents an individual participant. Solid lines represent the regression fit, and dotted lines indicate the 95% confidence intervals (CI). </w:t>
      </w:r>
      <w:proofErr w:type="spellStart"/>
      <w:r>
        <w:rPr>
          <w:rFonts w:ascii="Times New Roman" w:eastAsia="Times New Roman" w:hAnsi="Times New Roman" w:cs="Times New Roman"/>
          <w:bCs/>
          <w:iCs/>
          <w:sz w:val="20"/>
          <w:szCs w:val="20"/>
        </w:rPr>
        <w:t>Lp</w:t>
      </w:r>
      <w:proofErr w:type="spellEnd"/>
      <w:r>
        <w:rPr>
          <w:rFonts w:ascii="Times New Roman" w:eastAsia="Times New Roman" w:hAnsi="Times New Roman" w:cs="Times New Roman"/>
          <w:bCs/>
          <w:iCs/>
          <w:sz w:val="20"/>
          <w:szCs w:val="20"/>
        </w:rPr>
        <w:t>(a), lipoprotein(a); LDL, low-density lipoprotein; CI, confidence interval.</w:t>
      </w:r>
      <w:r>
        <w:rPr>
          <w:rFonts w:ascii="Times New Roman" w:eastAsia="Times New Roman" w:hAnsi="Times New Roman" w:cs="Times New Roman"/>
          <w:bCs/>
          <w:iCs/>
          <w:sz w:val="20"/>
          <w:szCs w:val="20"/>
        </w:rPr>
        <w:br/>
      </w:r>
      <w:r>
        <w:rPr>
          <w:rFonts w:ascii="Times New Roman" w:eastAsia="Times New Roman" w:hAnsi="Times New Roman" w:cs="Times New Roman"/>
          <w:bCs/>
          <w:i/>
          <w:sz w:val="20"/>
          <w:szCs w:val="20"/>
        </w:rPr>
        <w:t xml:space="preserve">p </w:t>
      </w:r>
      <w:r>
        <w:rPr>
          <w:rFonts w:ascii="Times New Roman" w:eastAsia="Times New Roman" w:hAnsi="Times New Roman" w:cs="Times New Roman"/>
          <w:bCs/>
          <w:iCs/>
          <w:sz w:val="20"/>
          <w:szCs w:val="20"/>
        </w:rPr>
        <w:t>indicates significant differences.</w:t>
      </w:r>
    </w:p>
    <w:bookmarkStart w:id="7" w:name="_Hlk202333582"/>
    <w:bookmarkEnd w:id="6"/>
    <w:p>
      <w:pPr>
        <w:spacing w:line="240" w:lineRule="auto"/>
        <w:jc w:val="center"/>
        <w:rPr>
          <w:rFonts w:ascii="Times New Roman" w:eastAsia="Times New Roman" w:hAnsi="Times New Roman" w:cstheme="minorBidi"/>
          <w:bCs/>
          <w:sz w:val="16"/>
          <w:szCs w:val="16"/>
          <w:cs/>
        </w:rPr>
      </w:pPr>
      <w:r>
        <w:rPr>
          <w:rFonts w:ascii="Times New Roman" w:eastAsia="Times New Roman" w:hAnsi="Times New Roman" w:cs="Times New Roman"/>
          <w:b/>
          <w:sz w:val="24"/>
          <w:szCs w:val="24"/>
        </w:rPr>
        <w:object w:dxaOrig="13289" w:dyaOrig="8582">
          <v:shape id="_x0000_i1029" type="#_x0000_t75" style="width:439.45pt;height:283.05pt" o:ole="" filled="t">
            <v:imagedata r:id="rId17" o:title=""/>
          </v:shape>
          <o:OLEObject Type="Embed" ProgID="Prism8.Document" ShapeID="_x0000_i1029" DrawAspect="Content" ObjectID="_1818916344" r:id="rId18"/>
        </w:object>
      </w:r>
      <w:bookmarkEnd w:id="7"/>
    </w:p>
    <w:p>
      <w:pPr>
        <w:spacing w:line="240" w:lineRule="auto"/>
        <w:jc w:val="thaiDistribute"/>
        <w:rPr>
          <w:rFonts w:ascii="Times New Roman" w:hAnsi="Times New Roman" w:cs="Times New Roman"/>
          <w:sz w:val="20"/>
          <w:szCs w:val="20"/>
        </w:rPr>
      </w:pPr>
      <w:bookmarkStart w:id="8" w:name="_Hlk190425355"/>
      <w:bookmarkStart w:id="9" w:name="_Hlk202773405"/>
      <w:bookmarkStart w:id="10" w:name="_Hlk202778905"/>
      <w:r>
        <w:rPr>
          <w:rFonts w:ascii="Times New Roman" w:hAnsi="Times New Roman" w:cs="Times New Roman"/>
          <w:b/>
          <w:bCs/>
          <w:sz w:val="20"/>
          <w:szCs w:val="20"/>
        </w:rPr>
        <w:t xml:space="preserve">Supplementary Fig. </w:t>
      </w:r>
      <w:bookmarkEnd w:id="8"/>
      <w:bookmarkEnd w:id="9"/>
      <w:r>
        <w:rPr>
          <w:rFonts w:ascii="Times New Roman" w:hAnsi="Times New Roman" w:cs="Times New Roman"/>
          <w:b/>
          <w:bCs/>
          <w:sz w:val="20"/>
          <w:szCs w:val="20"/>
        </w:rPr>
        <w:t xml:space="preserve">5. </w:t>
      </w:r>
      <w:bookmarkEnd w:id="10"/>
      <w:r>
        <w:rPr>
          <w:rFonts w:ascii="Times New Roman" w:hAnsi="Times New Roman" w:cs="Times New Roman"/>
          <w:sz w:val="20"/>
          <w:szCs w:val="20"/>
        </w:rPr>
        <w:t>Heat map of Spearman’s rank correlation analysis between circulating lipoprotein levels and lipoprotein particle subclasses.</w:t>
      </w:r>
    </w:p>
    <w:p>
      <w:pPr>
        <w:spacing w:line="240" w:lineRule="auto"/>
        <w:jc w:val="thaiDistribute"/>
        <w:rPr>
          <w:rFonts w:ascii="Times New Roman" w:hAnsi="Times New Roman" w:cs="Angsana New"/>
          <w:sz w:val="20"/>
          <w:szCs w:val="20"/>
        </w:rPr>
      </w:pPr>
      <w:r>
        <w:rPr>
          <w:rFonts w:ascii="Times New Roman" w:hAnsi="Times New Roman" w:cs="Times New Roman"/>
          <w:sz w:val="20"/>
          <w:szCs w:val="20"/>
        </w:rPr>
        <w:t xml:space="preserve">Correlation coefficients (r) were calculated to evaluate the relationships between lipoprotein levels and the concentrations of specific lipoprotein particle subclasses. The heat map displays a gradient from negative correlations (brick red squares), to insignificant (white squares), to positive correlations (brick green squares). </w:t>
      </w:r>
      <w:proofErr w:type="spellStart"/>
      <w:r>
        <w:rPr>
          <w:rFonts w:ascii="Times New Roman" w:hAnsi="Times New Roman" w:cs="Angsana New"/>
          <w:sz w:val="20"/>
          <w:szCs w:val="20"/>
        </w:rPr>
        <w:t>Lp</w:t>
      </w:r>
      <w:proofErr w:type="spellEnd"/>
      <w:r>
        <w:rPr>
          <w:rFonts w:ascii="Times New Roman" w:hAnsi="Times New Roman" w:cs="Angsana New"/>
          <w:sz w:val="20"/>
          <w:szCs w:val="20"/>
        </w:rPr>
        <w:t xml:space="preserve">(a), lipoprotein (a); VLDL, very-low-density lipoprotein; IDL, intermediate-density lipoprotein; LDL, low-density lipoprotein; HDL, high-density lipoprotein. </w:t>
      </w:r>
      <w:r>
        <w:rPr>
          <w:rFonts w:ascii="Times New Roman" w:hAnsi="Times New Roman" w:cs="Times New Roman"/>
          <w:sz w:val="20"/>
          <w:szCs w:val="20"/>
        </w:rPr>
        <w:t xml:space="preserve">Positive r values indicate direct correlations, whereas negative r values indicate inverse correlations. </w:t>
      </w:r>
      <w:r>
        <w:rPr>
          <w:rFonts w:ascii="Times New Roman" w:hAnsi="Times New Roman" w:cs="Angsana New"/>
          <w:sz w:val="20"/>
          <w:szCs w:val="20"/>
          <w:vertAlign w:val="superscript"/>
        </w:rPr>
        <w:t>*</w:t>
      </w:r>
      <w:r>
        <w:rPr>
          <w:rFonts w:ascii="Times New Roman" w:hAnsi="Times New Roman" w:cs="Angsana New"/>
          <w:sz w:val="20"/>
          <w:szCs w:val="20"/>
        </w:rPr>
        <w:t xml:space="preserve">: </w:t>
      </w:r>
      <w:r>
        <w:rPr>
          <w:rFonts w:ascii="Times New Roman" w:hAnsi="Times New Roman" w:cs="Angsana New"/>
          <w:i/>
          <w:iCs/>
          <w:sz w:val="20"/>
          <w:szCs w:val="20"/>
        </w:rPr>
        <w:t>p</w:t>
      </w:r>
      <w:r>
        <w:rPr>
          <w:rFonts w:ascii="Times New Roman" w:hAnsi="Times New Roman" w:cs="Angsana New"/>
          <w:sz w:val="20"/>
          <w:szCs w:val="20"/>
        </w:rPr>
        <w:t xml:space="preserve">&lt;0.05; </w:t>
      </w:r>
      <w:r>
        <w:rPr>
          <w:rFonts w:ascii="Times New Roman" w:hAnsi="Times New Roman" w:cs="Angsana New"/>
          <w:sz w:val="20"/>
          <w:szCs w:val="20"/>
          <w:vertAlign w:val="superscript"/>
        </w:rPr>
        <w:t>**</w:t>
      </w:r>
      <w:r>
        <w:rPr>
          <w:rFonts w:ascii="Times New Roman" w:hAnsi="Times New Roman" w:cs="Angsana New"/>
          <w:sz w:val="20"/>
          <w:szCs w:val="20"/>
        </w:rPr>
        <w:t xml:space="preserve">: </w:t>
      </w:r>
      <w:r>
        <w:rPr>
          <w:rFonts w:ascii="Times New Roman" w:hAnsi="Times New Roman" w:cs="Angsana New"/>
          <w:i/>
          <w:iCs/>
          <w:sz w:val="20"/>
          <w:szCs w:val="20"/>
        </w:rPr>
        <w:t>p</w:t>
      </w:r>
      <w:r>
        <w:rPr>
          <w:rFonts w:ascii="Times New Roman" w:hAnsi="Times New Roman" w:cs="Angsana New"/>
          <w:sz w:val="20"/>
          <w:szCs w:val="20"/>
        </w:rPr>
        <w:t xml:space="preserve">&lt;0.01; </w:t>
      </w:r>
      <w:r>
        <w:rPr>
          <w:rFonts w:ascii="Times New Roman" w:hAnsi="Times New Roman" w:cs="Angsana New"/>
          <w:sz w:val="20"/>
          <w:szCs w:val="20"/>
          <w:vertAlign w:val="superscript"/>
        </w:rPr>
        <w:t>***</w:t>
      </w:r>
      <w:r>
        <w:rPr>
          <w:rFonts w:ascii="Times New Roman" w:hAnsi="Times New Roman" w:cs="Angsana New"/>
          <w:sz w:val="20"/>
          <w:szCs w:val="20"/>
        </w:rPr>
        <w:t xml:space="preserve">: </w:t>
      </w:r>
      <w:r>
        <w:rPr>
          <w:rFonts w:ascii="Times New Roman" w:hAnsi="Times New Roman" w:cs="Angsana New"/>
          <w:i/>
          <w:iCs/>
          <w:sz w:val="20"/>
          <w:szCs w:val="20"/>
        </w:rPr>
        <w:t>p</w:t>
      </w:r>
      <w:r>
        <w:rPr>
          <w:rFonts w:ascii="Times New Roman" w:hAnsi="Times New Roman" w:cs="Angsana New"/>
          <w:sz w:val="20"/>
          <w:szCs w:val="20"/>
        </w:rPr>
        <w:t xml:space="preserve">&lt;0.001; </w:t>
      </w:r>
      <w:r>
        <w:rPr>
          <w:rFonts w:ascii="Times New Roman" w:hAnsi="Times New Roman" w:cs="Angsana New"/>
          <w:sz w:val="20"/>
          <w:szCs w:val="20"/>
          <w:vertAlign w:val="superscript"/>
        </w:rPr>
        <w:t>****</w:t>
      </w:r>
      <w:r>
        <w:rPr>
          <w:rFonts w:ascii="Times New Roman" w:hAnsi="Times New Roman" w:cs="Angsana New"/>
          <w:sz w:val="20"/>
          <w:szCs w:val="20"/>
        </w:rPr>
        <w:t xml:space="preserve">: </w:t>
      </w:r>
      <w:r>
        <w:rPr>
          <w:rFonts w:ascii="Times New Roman" w:hAnsi="Times New Roman" w:cs="Angsana New"/>
          <w:i/>
          <w:iCs/>
          <w:sz w:val="20"/>
          <w:szCs w:val="20"/>
        </w:rPr>
        <w:t>p</w:t>
      </w:r>
      <w:r>
        <w:rPr>
          <w:rFonts w:ascii="Times New Roman" w:hAnsi="Times New Roman" w:cs="Angsana New"/>
          <w:sz w:val="20"/>
          <w:szCs w:val="20"/>
        </w:rPr>
        <w:t>&lt;0.0001 indicate significant differences.</w:t>
      </w:r>
    </w:p>
    <w:sect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955C1"/>
    <w:multiLevelType w:val="hybridMultilevel"/>
    <w:tmpl w:val="B44E92FC"/>
    <w:lvl w:ilvl="0" w:tplc="F126E0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D3879-DD8E-47DA-A11D-40887050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Arial" w:eastAsia="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style>
  <w:style w:type="paragraph" w:styleId="Header">
    <w:name w:val="header"/>
    <w:basedOn w:val="Normal"/>
    <w:link w:val="HeaderChar"/>
    <w:uiPriority w:val="99"/>
    <w:unhideWhenUsed/>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Pr>
      <w:rFonts w:ascii="Arial" w:eastAsia="Arial" w:hAnsi="Arial" w:cs="Cordia New"/>
    </w:rPr>
  </w:style>
  <w:style w:type="paragraph" w:styleId="Footer">
    <w:name w:val="footer"/>
    <w:basedOn w:val="Normal"/>
    <w:link w:val="FooterChar"/>
    <w:uiPriority w:val="99"/>
    <w:unhideWhenUsed/>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Pr>
      <w:rFonts w:ascii="Arial" w:eastAsia="Arial" w:hAnsi="Arial" w:cs="Cordia New"/>
    </w:rPr>
  </w:style>
  <w:style w:type="paragraph" w:styleId="ListParagraph">
    <w:name w:val="List Paragraph"/>
    <w:basedOn w:val="Normal"/>
    <w:uiPriority w:val="34"/>
    <w:qFormat/>
    <w:pPr>
      <w:ind w:left="720"/>
      <w:contextualSpacing/>
    </w:pPr>
    <w:rPr>
      <w:rFonts w:cs="Cordi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A804-BECA-4B72-9C80-97D87E6F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Sophida Suta</dc:creator>
  <cp:keywords/>
  <dc:description/>
  <cp:lastModifiedBy>Sophida Suta</cp:lastModifiedBy>
  <cp:revision>3</cp:revision>
  <cp:lastPrinted>2025-06-19T04:41:00Z</cp:lastPrinted>
  <dcterms:created xsi:type="dcterms:W3CDTF">2025-09-09T02:44:00Z</dcterms:created>
  <dcterms:modified xsi:type="dcterms:W3CDTF">2025-09-09T02:46:00Z</dcterms:modified>
</cp:coreProperties>
</file>