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CBCD" w14:textId="77777777" w:rsidR="00C673B2" w:rsidRPr="007D6B56" w:rsidRDefault="00C673B2" w:rsidP="00C673B2">
      <w:pPr>
        <w:spacing w:line="480" w:lineRule="auto"/>
        <w:rPr>
          <w:rFonts w:ascii="Calibri Light" w:hAnsi="Calibri Light" w:cs="Calibri Light"/>
          <w:b/>
          <w:bCs/>
        </w:rPr>
      </w:pPr>
      <w:r w:rsidRPr="007D6B56">
        <w:rPr>
          <w:rFonts w:ascii="Calibri Light" w:hAnsi="Calibri Light" w:cs="Calibri Light"/>
          <w:b/>
          <w:bCs/>
        </w:rPr>
        <w:t xml:space="preserve">APPENDIX </w:t>
      </w:r>
      <w:r>
        <w:rPr>
          <w:rFonts w:ascii="Calibri Light" w:hAnsi="Calibri Light" w:cs="Calibri Light"/>
          <w:b/>
          <w:bCs/>
        </w:rPr>
        <w:t>1</w:t>
      </w:r>
      <w:r w:rsidRPr="007D6B56">
        <w:rPr>
          <w:rFonts w:ascii="Calibri Light" w:hAnsi="Calibri Light" w:cs="Calibri Light"/>
          <w:b/>
          <w:bCs/>
        </w:rPr>
        <w:t>. Clinical Validation of Flow Stream Classification</w:t>
      </w:r>
    </w:p>
    <w:p w14:paraId="70C759B3"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A clinical validation process was undertaken to assess the accuracy of flow stream assignments against observed patterns of care. A stratified sample of approximately 50 cases per stream was reviewed by a multidisciplinary clinical team, using the full EMR interface to examine documentation, investigations, consults, referrals, and clinical notes.</w:t>
      </w:r>
    </w:p>
    <w:p w14:paraId="2AC92D40"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The validation focused on:</w:t>
      </w:r>
    </w:p>
    <w:p w14:paraId="02D9C898" w14:textId="77777777" w:rsidR="00C673B2" w:rsidRPr="007D6B56" w:rsidRDefault="00C673B2" w:rsidP="00C673B2">
      <w:pPr>
        <w:numPr>
          <w:ilvl w:val="0"/>
          <w:numId w:val="1"/>
        </w:numPr>
        <w:spacing w:line="480" w:lineRule="auto"/>
        <w:rPr>
          <w:rFonts w:ascii="Calibri Light" w:hAnsi="Calibri Light" w:cs="Calibri Light"/>
        </w:rPr>
      </w:pPr>
      <w:r w:rsidRPr="007D6B56">
        <w:rPr>
          <w:rFonts w:ascii="Calibri Light" w:hAnsi="Calibri Light" w:cs="Calibri Light"/>
        </w:rPr>
        <w:t>Concordance between assigned stream and actual resource intensity</w:t>
      </w:r>
    </w:p>
    <w:p w14:paraId="77F1289C" w14:textId="77777777" w:rsidR="00C673B2" w:rsidRPr="007D6B56" w:rsidRDefault="00C673B2" w:rsidP="00C673B2">
      <w:pPr>
        <w:numPr>
          <w:ilvl w:val="0"/>
          <w:numId w:val="1"/>
        </w:numPr>
        <w:spacing w:line="480" w:lineRule="auto"/>
        <w:rPr>
          <w:rFonts w:ascii="Calibri Light" w:hAnsi="Calibri Light" w:cs="Calibri Light"/>
        </w:rPr>
      </w:pPr>
      <w:r w:rsidRPr="007D6B56">
        <w:rPr>
          <w:rFonts w:ascii="Calibri Light" w:hAnsi="Calibri Light" w:cs="Calibri Light"/>
        </w:rPr>
        <w:t>Discrepancies due to missing or inconsistently recorded data</w:t>
      </w:r>
    </w:p>
    <w:p w14:paraId="79AFEE1E" w14:textId="77777777" w:rsidR="00C673B2" w:rsidRPr="007D6B56" w:rsidRDefault="00C673B2" w:rsidP="00C673B2">
      <w:pPr>
        <w:numPr>
          <w:ilvl w:val="0"/>
          <w:numId w:val="1"/>
        </w:numPr>
        <w:spacing w:line="480" w:lineRule="auto"/>
        <w:rPr>
          <w:rFonts w:ascii="Calibri Light" w:hAnsi="Calibri Light" w:cs="Calibri Light"/>
        </w:rPr>
      </w:pPr>
      <w:r w:rsidRPr="007D6B56">
        <w:rPr>
          <w:rFonts w:ascii="Calibri Light" w:hAnsi="Calibri Light" w:cs="Calibri Light"/>
        </w:rPr>
        <w:t>Adequacy of allocation criteria for capturing patient complexity</w:t>
      </w:r>
    </w:p>
    <w:p w14:paraId="6D4EF8FF"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Most classifications were found to be appropriate, particularly for Flow Streams 1 and 2, where structured data closely aligned with care delivered. However, discrepancies were more frequent in Flow Stream 4, where:</w:t>
      </w:r>
    </w:p>
    <w:p w14:paraId="09B33179" w14:textId="77777777" w:rsidR="00C673B2" w:rsidRPr="007D6B56" w:rsidRDefault="00C673B2" w:rsidP="00C673B2">
      <w:pPr>
        <w:numPr>
          <w:ilvl w:val="0"/>
          <w:numId w:val="2"/>
        </w:numPr>
        <w:spacing w:line="480" w:lineRule="auto"/>
        <w:rPr>
          <w:rFonts w:ascii="Calibri Light" w:hAnsi="Calibri Light" w:cs="Calibri Light"/>
        </w:rPr>
      </w:pPr>
      <w:r w:rsidRPr="007D6B56">
        <w:rPr>
          <w:rFonts w:ascii="Calibri Light" w:hAnsi="Calibri Light" w:cs="Calibri Light"/>
        </w:rPr>
        <w:t>Critical events such as Medical Emergency Team (MET) calls, unplanned ICU admissions, and escalation pathways were not captured in structured EMR fields</w:t>
      </w:r>
    </w:p>
    <w:p w14:paraId="3A7D928C" w14:textId="77777777" w:rsidR="00C673B2" w:rsidRPr="007D6B56" w:rsidRDefault="00C673B2" w:rsidP="00C673B2">
      <w:pPr>
        <w:numPr>
          <w:ilvl w:val="0"/>
          <w:numId w:val="2"/>
        </w:numPr>
        <w:spacing w:line="480" w:lineRule="auto"/>
        <w:rPr>
          <w:rFonts w:ascii="Calibri Light" w:hAnsi="Calibri Light" w:cs="Calibri Light"/>
        </w:rPr>
      </w:pPr>
      <w:r w:rsidRPr="007D6B56">
        <w:rPr>
          <w:rFonts w:ascii="Calibri Light" w:hAnsi="Calibri Light" w:cs="Calibri Light"/>
        </w:rPr>
        <w:t>Consult orders were inconsistently used, with some entered retrospectively or bypassed entirely</w:t>
      </w:r>
    </w:p>
    <w:p w14:paraId="7E6BE969" w14:textId="77777777" w:rsidR="00C673B2" w:rsidRPr="007D6B56" w:rsidRDefault="00C673B2" w:rsidP="00C673B2">
      <w:pPr>
        <w:numPr>
          <w:ilvl w:val="0"/>
          <w:numId w:val="2"/>
        </w:numPr>
        <w:spacing w:line="480" w:lineRule="auto"/>
        <w:rPr>
          <w:rFonts w:ascii="Calibri Light" w:hAnsi="Calibri Light" w:cs="Calibri Light"/>
        </w:rPr>
      </w:pPr>
      <w:r w:rsidRPr="007D6B56">
        <w:rPr>
          <w:rFonts w:ascii="Calibri Light" w:hAnsi="Calibri Light" w:cs="Calibri Light"/>
        </w:rPr>
        <w:t>Allied health involvement and complex discharge planning were often recorded only in free-text progress notes, limiting analytic visibility</w:t>
      </w:r>
    </w:p>
    <w:p w14:paraId="0CE65836"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One example involved a patient admitted with a stable embolic stroke initially classified as FS2. Following clinical deterioration, ICU transfer, and neurosurgical intervention, the case was reclassified as FS4. This highlighted the importance of capturing emergent complexity during admission.</w:t>
      </w:r>
    </w:p>
    <w:p w14:paraId="7BD2B4DA"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Insights from the validation process informed targeted revisions to the classification logic, including:</w:t>
      </w:r>
    </w:p>
    <w:p w14:paraId="5D7119F6" w14:textId="77777777" w:rsidR="00C673B2" w:rsidRPr="007D6B56" w:rsidRDefault="00C673B2" w:rsidP="00C673B2">
      <w:pPr>
        <w:numPr>
          <w:ilvl w:val="0"/>
          <w:numId w:val="3"/>
        </w:numPr>
        <w:spacing w:line="480" w:lineRule="auto"/>
        <w:rPr>
          <w:rFonts w:ascii="Calibri Light" w:hAnsi="Calibri Light" w:cs="Calibri Light"/>
        </w:rPr>
      </w:pPr>
      <w:r w:rsidRPr="007D6B56">
        <w:rPr>
          <w:rFonts w:ascii="Calibri Light" w:hAnsi="Calibri Light" w:cs="Calibri Light"/>
        </w:rPr>
        <w:lastRenderedPageBreak/>
        <w:t>Clarification of consult thresholds (e.g. inclusion of dual-team review)</w:t>
      </w:r>
    </w:p>
    <w:p w14:paraId="56FDDB7E" w14:textId="77777777" w:rsidR="00C673B2" w:rsidRPr="007D6B56" w:rsidRDefault="00C673B2" w:rsidP="00C673B2">
      <w:pPr>
        <w:numPr>
          <w:ilvl w:val="0"/>
          <w:numId w:val="3"/>
        </w:numPr>
        <w:spacing w:line="480" w:lineRule="auto"/>
        <w:rPr>
          <w:rFonts w:ascii="Calibri Light" w:hAnsi="Calibri Light" w:cs="Calibri Light"/>
        </w:rPr>
      </w:pPr>
      <w:r w:rsidRPr="007D6B56">
        <w:rPr>
          <w:rFonts w:ascii="Calibri Light" w:hAnsi="Calibri Light" w:cs="Calibri Light"/>
        </w:rPr>
        <w:t>Adjustment of FS4 criteria to account for escalation evidence in unstructured documentation</w:t>
      </w:r>
    </w:p>
    <w:p w14:paraId="63DA448B" w14:textId="77777777" w:rsidR="00C673B2" w:rsidRPr="007D6B56" w:rsidRDefault="00C673B2" w:rsidP="00C673B2">
      <w:pPr>
        <w:numPr>
          <w:ilvl w:val="0"/>
          <w:numId w:val="3"/>
        </w:numPr>
        <w:spacing w:line="480" w:lineRule="auto"/>
        <w:rPr>
          <w:rFonts w:ascii="Calibri Light" w:hAnsi="Calibri Light" w:cs="Calibri Light"/>
        </w:rPr>
      </w:pPr>
      <w:r w:rsidRPr="007D6B56">
        <w:rPr>
          <w:rFonts w:ascii="Calibri Light" w:hAnsi="Calibri Light" w:cs="Calibri Light"/>
        </w:rPr>
        <w:t xml:space="preserve">Refinement of high-risk diagnostic flags </w:t>
      </w:r>
    </w:p>
    <w:p w14:paraId="4784652F" w14:textId="77777777" w:rsidR="00C673B2" w:rsidRPr="007D6B56" w:rsidRDefault="00C673B2" w:rsidP="00C673B2">
      <w:pPr>
        <w:spacing w:line="480" w:lineRule="auto"/>
        <w:rPr>
          <w:rFonts w:ascii="Calibri Light" w:hAnsi="Calibri Light" w:cs="Calibri Light"/>
        </w:rPr>
      </w:pPr>
      <w:r w:rsidRPr="007D6B56">
        <w:rPr>
          <w:rFonts w:ascii="Calibri Light" w:hAnsi="Calibri Light" w:cs="Calibri Light"/>
        </w:rPr>
        <w:t>These changes were applied consistently to similar case types to improve classification accuracy and support broader model generalisability.</w:t>
      </w:r>
    </w:p>
    <w:p w14:paraId="111DC0EA" w14:textId="77777777" w:rsidR="002A4A0B" w:rsidRDefault="002A4A0B"/>
    <w:sectPr w:rsidR="002A4A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1D71" w14:textId="77777777" w:rsidR="00894BA1" w:rsidRDefault="00894BA1" w:rsidP="00894BA1">
      <w:pPr>
        <w:spacing w:after="0" w:line="240" w:lineRule="auto"/>
      </w:pPr>
      <w:r>
        <w:separator/>
      </w:r>
    </w:p>
  </w:endnote>
  <w:endnote w:type="continuationSeparator" w:id="0">
    <w:p w14:paraId="0D77F5E3" w14:textId="77777777" w:rsidR="00894BA1" w:rsidRDefault="00894BA1" w:rsidP="0089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6FF7" w14:textId="52E88A71" w:rsidR="00894BA1" w:rsidRDefault="00894BA1">
    <w:pPr>
      <w:pStyle w:val="Footer"/>
    </w:pPr>
    <w:r>
      <w:rPr>
        <w:noProof/>
      </w:rPr>
      <mc:AlternateContent>
        <mc:Choice Requires="wps">
          <w:drawing>
            <wp:anchor distT="0" distB="0" distL="0" distR="0" simplePos="0" relativeHeight="251662336" behindDoc="0" locked="0" layoutInCell="1" allowOverlap="1" wp14:anchorId="3E13EF76" wp14:editId="73AA8D7C">
              <wp:simplePos x="635" y="635"/>
              <wp:positionH relativeFrom="page">
                <wp:align>center</wp:align>
              </wp:positionH>
              <wp:positionV relativeFrom="page">
                <wp:align>bottom</wp:align>
              </wp:positionV>
              <wp:extent cx="1389380" cy="379730"/>
              <wp:effectExtent l="0" t="0" r="1270" b="0"/>
              <wp:wrapNone/>
              <wp:docPr id="2007683212"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F2E0E6C" w14:textId="14EC205A"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3EF76" id="_x0000_t202" coordsize="21600,21600" o:spt="202" path="m,l,21600r21600,l21600,xe">
              <v:stroke joinstyle="miter"/>
              <v:path gradientshapeok="t" o:connecttype="rect"/>
            </v:shapetype>
            <v:shape id="Text Box 5" o:spid="_x0000_s1028" type="#_x0000_t202" alt="OFFICIAL: Sensitive " style="position:absolute;margin-left:0;margin-top:0;width:109.4pt;height:29.9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2F2E0E6C" w14:textId="14EC205A"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EEDE" w14:textId="1375C196" w:rsidR="00894BA1" w:rsidRDefault="00894BA1">
    <w:pPr>
      <w:pStyle w:val="Footer"/>
    </w:pPr>
    <w:r>
      <w:rPr>
        <w:noProof/>
      </w:rPr>
      <mc:AlternateContent>
        <mc:Choice Requires="wps">
          <w:drawing>
            <wp:anchor distT="0" distB="0" distL="0" distR="0" simplePos="0" relativeHeight="251663360" behindDoc="0" locked="0" layoutInCell="1" allowOverlap="1" wp14:anchorId="27905742" wp14:editId="7620778F">
              <wp:simplePos x="914400" y="10067925"/>
              <wp:positionH relativeFrom="page">
                <wp:align>center</wp:align>
              </wp:positionH>
              <wp:positionV relativeFrom="page">
                <wp:align>bottom</wp:align>
              </wp:positionV>
              <wp:extent cx="1389380" cy="379730"/>
              <wp:effectExtent l="0" t="0" r="1270" b="0"/>
              <wp:wrapNone/>
              <wp:docPr id="1305424270"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DDBD3B2" w14:textId="555543AE"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05742" id="_x0000_t202" coordsize="21600,21600" o:spt="202" path="m,l,21600r21600,l21600,xe">
              <v:stroke joinstyle="miter"/>
              <v:path gradientshapeok="t" o:connecttype="rect"/>
            </v:shapetype>
            <v:shape id="Text Box 6" o:spid="_x0000_s1029" type="#_x0000_t202" alt="OFFICIAL: Sensitive " style="position:absolute;margin-left:0;margin-top:0;width:109.4pt;height:29.9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textbox style="mso-fit-shape-to-text:t" inset="0,0,0,15pt">
                <w:txbxContent>
                  <w:p w14:paraId="5DDBD3B2" w14:textId="555543AE"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3F0B" w14:textId="2196CB65" w:rsidR="00894BA1" w:rsidRDefault="00894BA1">
    <w:pPr>
      <w:pStyle w:val="Footer"/>
    </w:pPr>
    <w:r>
      <w:rPr>
        <w:noProof/>
      </w:rPr>
      <mc:AlternateContent>
        <mc:Choice Requires="wps">
          <w:drawing>
            <wp:anchor distT="0" distB="0" distL="0" distR="0" simplePos="0" relativeHeight="251661312" behindDoc="0" locked="0" layoutInCell="1" allowOverlap="1" wp14:anchorId="31059F35" wp14:editId="17EDE14D">
              <wp:simplePos x="635" y="635"/>
              <wp:positionH relativeFrom="page">
                <wp:align>center</wp:align>
              </wp:positionH>
              <wp:positionV relativeFrom="page">
                <wp:align>bottom</wp:align>
              </wp:positionV>
              <wp:extent cx="1389380" cy="379730"/>
              <wp:effectExtent l="0" t="0" r="1270" b="0"/>
              <wp:wrapNone/>
              <wp:docPr id="1838320847"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835B89C" w14:textId="1FF81F40"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9F35" id="_x0000_t202" coordsize="21600,21600" o:spt="202" path="m,l,21600r21600,l21600,xe">
              <v:stroke joinstyle="miter"/>
              <v:path gradientshapeok="t" o:connecttype="rect"/>
            </v:shapetype>
            <v:shape id="Text Box 4" o:spid="_x0000_s1031" type="#_x0000_t202" alt="OFFICIAL: Sensitive " style="position:absolute;margin-left:0;margin-top:0;width:109.4pt;height:29.9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5835B89C" w14:textId="1FF81F40"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137A" w14:textId="77777777" w:rsidR="00894BA1" w:rsidRDefault="00894BA1" w:rsidP="00894BA1">
      <w:pPr>
        <w:spacing w:after="0" w:line="240" w:lineRule="auto"/>
      </w:pPr>
      <w:r>
        <w:separator/>
      </w:r>
    </w:p>
  </w:footnote>
  <w:footnote w:type="continuationSeparator" w:id="0">
    <w:p w14:paraId="16174BFC" w14:textId="77777777" w:rsidR="00894BA1" w:rsidRDefault="00894BA1" w:rsidP="0089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51BA" w14:textId="3FD3223C" w:rsidR="00894BA1" w:rsidRDefault="00894BA1">
    <w:pPr>
      <w:pStyle w:val="Header"/>
    </w:pPr>
    <w:r>
      <w:rPr>
        <w:noProof/>
      </w:rPr>
      <mc:AlternateContent>
        <mc:Choice Requires="wps">
          <w:drawing>
            <wp:anchor distT="0" distB="0" distL="0" distR="0" simplePos="0" relativeHeight="251659264" behindDoc="0" locked="0" layoutInCell="1" allowOverlap="1" wp14:anchorId="21D536BC" wp14:editId="4B044704">
              <wp:simplePos x="635" y="635"/>
              <wp:positionH relativeFrom="page">
                <wp:align>center</wp:align>
              </wp:positionH>
              <wp:positionV relativeFrom="page">
                <wp:align>top</wp:align>
              </wp:positionV>
              <wp:extent cx="1389380" cy="379730"/>
              <wp:effectExtent l="0" t="0" r="1270" b="1270"/>
              <wp:wrapNone/>
              <wp:docPr id="103415531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BBCD992" w14:textId="16F39EDE"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536BC"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7BBCD992" w14:textId="16F39EDE"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FC77" w14:textId="76800D28" w:rsidR="00894BA1" w:rsidRDefault="00894BA1">
    <w:pPr>
      <w:pStyle w:val="Header"/>
    </w:pPr>
    <w:r>
      <w:rPr>
        <w:noProof/>
      </w:rPr>
      <mc:AlternateContent>
        <mc:Choice Requires="wps">
          <w:drawing>
            <wp:anchor distT="0" distB="0" distL="0" distR="0" simplePos="0" relativeHeight="251660288" behindDoc="0" locked="0" layoutInCell="1" allowOverlap="1" wp14:anchorId="2985A65A" wp14:editId="65EDDE05">
              <wp:simplePos x="914400" y="447675"/>
              <wp:positionH relativeFrom="page">
                <wp:align>center</wp:align>
              </wp:positionH>
              <wp:positionV relativeFrom="page">
                <wp:align>top</wp:align>
              </wp:positionV>
              <wp:extent cx="1389380" cy="379730"/>
              <wp:effectExtent l="0" t="0" r="1270" b="1270"/>
              <wp:wrapNone/>
              <wp:docPr id="196087172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E666D1F" w14:textId="4A7515DA"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5A65A" id="_x0000_t202" coordsize="21600,21600" o:spt="202" path="m,l,21600r21600,l21600,xe">
              <v:stroke joinstyle="miter"/>
              <v:path gradientshapeok="t" o:connecttype="rect"/>
            </v:shapetype>
            <v:shape id="Text Box 3" o:spid="_x0000_s1027" type="#_x0000_t202" alt="OFFICIAL: Sensitive" style="position:absolute;margin-left:0;margin-top:0;width:109.4pt;height:29.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JDQ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vRl/C9WRtvJwIjw4uWqo9VoEfBaeGKZpSbX4&#10;RIc20JUczhZnNfiff/PHfAKeopx1pJiSW5I0Z+a7JUKiuJIxnuWfc/rzg3s7GHbf3gPpcExPwslk&#10;xjw0g6k9tK+k52VsRCFhJbUrOQ7mPZ6kS+9BquUyJZGOnMC13TgZS0e4IpYv/avw7gw4ElWPMMhJ&#10;FO9wP+XGm8Et90joJ1IitCcgz4iTBhNX5/cSRf72P2VdX/XiFwA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Mv2YEkNAgAAHQQA&#10;AA4AAAAAAAAAAAAAAAAALgIAAGRycy9lMm9Eb2MueG1sUEsBAi0AFAAGAAgAAAAhANT6j77aAAAA&#10;BAEAAA8AAAAAAAAAAAAAAAAAZwQAAGRycy9kb3ducmV2LnhtbFBLBQYAAAAABAAEAPMAAABuBQAA&#10;AAA=&#10;" filled="f" stroked="f">
              <v:textbox style="mso-fit-shape-to-text:t" inset="0,15pt,0,0">
                <w:txbxContent>
                  <w:p w14:paraId="4E666D1F" w14:textId="4A7515DA"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E651" w14:textId="40441E77" w:rsidR="00894BA1" w:rsidRDefault="00894BA1">
    <w:pPr>
      <w:pStyle w:val="Header"/>
    </w:pPr>
    <w:r>
      <w:rPr>
        <w:noProof/>
      </w:rPr>
      <mc:AlternateContent>
        <mc:Choice Requires="wps">
          <w:drawing>
            <wp:anchor distT="0" distB="0" distL="0" distR="0" simplePos="0" relativeHeight="251658240" behindDoc="0" locked="0" layoutInCell="1" allowOverlap="1" wp14:anchorId="1051A1F6" wp14:editId="3915A27B">
              <wp:simplePos x="635" y="635"/>
              <wp:positionH relativeFrom="page">
                <wp:align>center</wp:align>
              </wp:positionH>
              <wp:positionV relativeFrom="page">
                <wp:align>top</wp:align>
              </wp:positionV>
              <wp:extent cx="1389380" cy="379730"/>
              <wp:effectExtent l="0" t="0" r="1270" b="1270"/>
              <wp:wrapNone/>
              <wp:docPr id="51890843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15717D4" w14:textId="1539F3DD"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51A1F6" id="_x0000_t202" coordsize="21600,21600" o:spt="202" path="m,l,21600r21600,l21600,xe">
              <v:stroke joinstyle="miter"/>
              <v:path gradientshapeok="t" o:connecttype="rect"/>
            </v:shapetype>
            <v:shape id="Text Box 1" o:spid="_x0000_s1030"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515717D4" w14:textId="1539F3DD" w:rsidR="00894BA1" w:rsidRPr="00894BA1" w:rsidRDefault="00894BA1" w:rsidP="00894BA1">
                    <w:pPr>
                      <w:spacing w:after="0"/>
                      <w:rPr>
                        <w:rFonts w:ascii="Arial" w:eastAsia="Arial" w:hAnsi="Arial" w:cs="Arial"/>
                        <w:noProof/>
                        <w:color w:val="A80000"/>
                        <w:sz w:val="24"/>
                        <w:szCs w:val="24"/>
                      </w:rPr>
                    </w:pPr>
                    <w:r w:rsidRPr="00894BA1">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70D9C"/>
    <w:multiLevelType w:val="multilevel"/>
    <w:tmpl w:val="ACE6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D04D6"/>
    <w:multiLevelType w:val="multilevel"/>
    <w:tmpl w:val="69A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85C1E"/>
    <w:multiLevelType w:val="multilevel"/>
    <w:tmpl w:val="489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887282">
    <w:abstractNumId w:val="2"/>
  </w:num>
  <w:num w:numId="2" w16cid:durableId="931205915">
    <w:abstractNumId w:val="1"/>
  </w:num>
  <w:num w:numId="3" w16cid:durableId="201059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1"/>
    <w:rsid w:val="00052FB6"/>
    <w:rsid w:val="002A4A0B"/>
    <w:rsid w:val="00463328"/>
    <w:rsid w:val="006126C0"/>
    <w:rsid w:val="00894BA1"/>
    <w:rsid w:val="00C413D0"/>
    <w:rsid w:val="00C67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37C7"/>
  <w15:chartTrackingRefBased/>
  <w15:docId w15:val="{505FBDE7-4DA1-4008-8134-6368DED6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B2"/>
  </w:style>
  <w:style w:type="paragraph" w:styleId="Heading1">
    <w:name w:val="heading 1"/>
    <w:basedOn w:val="Normal"/>
    <w:next w:val="Normal"/>
    <w:link w:val="Heading1Char"/>
    <w:uiPriority w:val="9"/>
    <w:qFormat/>
    <w:rsid w:val="00894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BA1"/>
    <w:rPr>
      <w:rFonts w:eastAsiaTheme="majorEastAsia" w:cstheme="majorBidi"/>
      <w:color w:val="272727" w:themeColor="text1" w:themeTint="D8"/>
    </w:rPr>
  </w:style>
  <w:style w:type="paragraph" w:styleId="Title">
    <w:name w:val="Title"/>
    <w:basedOn w:val="Normal"/>
    <w:next w:val="Normal"/>
    <w:link w:val="TitleChar"/>
    <w:uiPriority w:val="10"/>
    <w:qFormat/>
    <w:rsid w:val="00894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BA1"/>
    <w:pPr>
      <w:spacing w:before="160"/>
      <w:jc w:val="center"/>
    </w:pPr>
    <w:rPr>
      <w:i/>
      <w:iCs/>
      <w:color w:val="404040" w:themeColor="text1" w:themeTint="BF"/>
    </w:rPr>
  </w:style>
  <w:style w:type="character" w:customStyle="1" w:styleId="QuoteChar">
    <w:name w:val="Quote Char"/>
    <w:basedOn w:val="DefaultParagraphFont"/>
    <w:link w:val="Quote"/>
    <w:uiPriority w:val="29"/>
    <w:rsid w:val="00894BA1"/>
    <w:rPr>
      <w:i/>
      <w:iCs/>
      <w:color w:val="404040" w:themeColor="text1" w:themeTint="BF"/>
    </w:rPr>
  </w:style>
  <w:style w:type="paragraph" w:styleId="ListParagraph">
    <w:name w:val="List Paragraph"/>
    <w:basedOn w:val="Normal"/>
    <w:uiPriority w:val="34"/>
    <w:qFormat/>
    <w:rsid w:val="00894BA1"/>
    <w:pPr>
      <w:ind w:left="720"/>
      <w:contextualSpacing/>
    </w:pPr>
  </w:style>
  <w:style w:type="character" w:styleId="IntenseEmphasis">
    <w:name w:val="Intense Emphasis"/>
    <w:basedOn w:val="DefaultParagraphFont"/>
    <w:uiPriority w:val="21"/>
    <w:qFormat/>
    <w:rsid w:val="00894BA1"/>
    <w:rPr>
      <w:i/>
      <w:iCs/>
      <w:color w:val="0F4761" w:themeColor="accent1" w:themeShade="BF"/>
    </w:rPr>
  </w:style>
  <w:style w:type="paragraph" w:styleId="IntenseQuote">
    <w:name w:val="Intense Quote"/>
    <w:basedOn w:val="Normal"/>
    <w:next w:val="Normal"/>
    <w:link w:val="IntenseQuoteChar"/>
    <w:uiPriority w:val="30"/>
    <w:qFormat/>
    <w:rsid w:val="00894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BA1"/>
    <w:rPr>
      <w:i/>
      <w:iCs/>
      <w:color w:val="0F4761" w:themeColor="accent1" w:themeShade="BF"/>
    </w:rPr>
  </w:style>
  <w:style w:type="character" w:styleId="IntenseReference">
    <w:name w:val="Intense Reference"/>
    <w:basedOn w:val="DefaultParagraphFont"/>
    <w:uiPriority w:val="32"/>
    <w:qFormat/>
    <w:rsid w:val="00894BA1"/>
    <w:rPr>
      <w:b/>
      <w:bCs/>
      <w:smallCaps/>
      <w:color w:val="0F4761" w:themeColor="accent1" w:themeShade="BF"/>
      <w:spacing w:val="5"/>
    </w:rPr>
  </w:style>
  <w:style w:type="paragraph" w:styleId="Header">
    <w:name w:val="header"/>
    <w:basedOn w:val="Normal"/>
    <w:link w:val="HeaderChar"/>
    <w:uiPriority w:val="99"/>
    <w:unhideWhenUsed/>
    <w:rsid w:val="00894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A1"/>
  </w:style>
  <w:style w:type="paragraph" w:styleId="Footer">
    <w:name w:val="footer"/>
    <w:basedOn w:val="Normal"/>
    <w:link w:val="FooterChar"/>
    <w:uiPriority w:val="99"/>
    <w:unhideWhenUsed/>
    <w:rsid w:val="00894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Bills, Madison (Health)</dc:creator>
  <cp:keywords/>
  <dc:description/>
  <cp:lastModifiedBy>Bills, Madison (Health)</cp:lastModifiedBy>
  <cp:revision>2</cp:revision>
  <dcterms:created xsi:type="dcterms:W3CDTF">2025-08-19T01:16:00Z</dcterms:created>
  <dcterms:modified xsi:type="dcterms:W3CDTF">2025-08-27T09:28:00Z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1eedea0e,3da3f531,74e0872b</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6d928ccf,77aad08c,4dcf318e</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