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3B89" w14:textId="0424F837" w:rsidR="00A30834" w:rsidRPr="0052149F" w:rsidRDefault="00A30834" w:rsidP="00A30834">
      <w:pPr>
        <w:pStyle w:val="Default"/>
        <w:rPr>
          <w:b/>
          <w:bCs/>
          <w:sz w:val="28"/>
          <w:szCs w:val="28"/>
          <w:lang w:val="en-GB"/>
        </w:rPr>
      </w:pPr>
      <w:r w:rsidRPr="0052149F">
        <w:rPr>
          <w:b/>
          <w:bCs/>
          <w:sz w:val="28"/>
          <w:szCs w:val="28"/>
          <w:lang w:val="en-GB"/>
        </w:rPr>
        <w:t xml:space="preserve">Appendix </w:t>
      </w:r>
      <w:r w:rsidR="006868BB" w:rsidRPr="0052149F">
        <w:rPr>
          <w:b/>
          <w:bCs/>
          <w:sz w:val="28"/>
          <w:szCs w:val="28"/>
          <w:lang w:val="en-GB"/>
        </w:rPr>
        <w:t>C</w:t>
      </w:r>
      <w:r w:rsidR="0052149F">
        <w:rPr>
          <w:b/>
          <w:bCs/>
          <w:sz w:val="28"/>
          <w:szCs w:val="28"/>
          <w:lang w:val="en-GB"/>
        </w:rPr>
        <w:t xml:space="preserve">  </w:t>
      </w:r>
      <w:r w:rsidRPr="0052149F">
        <w:rPr>
          <w:b/>
          <w:bCs/>
          <w:sz w:val="28"/>
          <w:szCs w:val="28"/>
          <w:lang w:val="en-GB"/>
        </w:rPr>
        <w:t>Sample size calculations</w:t>
      </w:r>
    </w:p>
    <w:p w14:paraId="19A9F92E" w14:textId="77777777" w:rsidR="00A30834" w:rsidRDefault="00A30834" w:rsidP="00A30834">
      <w:pPr>
        <w:pStyle w:val="Default"/>
        <w:rPr>
          <w:sz w:val="22"/>
          <w:szCs w:val="22"/>
          <w:lang w:val="en-GB"/>
        </w:rPr>
      </w:pPr>
    </w:p>
    <w:p w14:paraId="388160A7" w14:textId="77777777" w:rsidR="00350A3E" w:rsidRDefault="00350A3E" w:rsidP="00350A3E">
      <w:pPr>
        <w:pStyle w:val="Default"/>
        <w:spacing w:line="360" w:lineRule="auto"/>
        <w:rPr>
          <w:sz w:val="22"/>
          <w:szCs w:val="22"/>
          <w:lang w:val="en-GB"/>
        </w:rPr>
      </w:pPr>
    </w:p>
    <w:p w14:paraId="623E1F18" w14:textId="315F8516" w:rsidR="00350A3E" w:rsidRPr="00350A3E" w:rsidRDefault="00350A3E" w:rsidP="00350A3E">
      <w:pPr>
        <w:pStyle w:val="Default"/>
        <w:spacing w:line="360" w:lineRule="auto"/>
        <w:rPr>
          <w:sz w:val="22"/>
          <w:szCs w:val="22"/>
          <w:lang w:val="en-GB"/>
        </w:rPr>
      </w:pPr>
      <w:r w:rsidRPr="00350A3E">
        <w:rPr>
          <w:sz w:val="22"/>
          <w:szCs w:val="22"/>
          <w:lang w:val="en-GB"/>
        </w:rPr>
        <w:t xml:space="preserve">The sample size was estimated to show that the mMMT results in a clinically relevant </w:t>
      </w:r>
      <w:r w:rsidRPr="00350A3E">
        <w:rPr>
          <w:rFonts w:eastAsia="Calibri"/>
          <w:sz w:val="22"/>
          <w:szCs w:val="22"/>
          <w:lang w:val="en-GB"/>
        </w:rPr>
        <w:t>intraclass</w:t>
      </w:r>
      <w:r w:rsidRPr="00350A3E">
        <w:rPr>
          <w:sz w:val="22"/>
          <w:szCs w:val="22"/>
          <w:lang w:val="en-GB"/>
        </w:rPr>
        <w:t xml:space="preserve"> correlation coefficient (ICC) &gt; 0.70.</w:t>
      </w:r>
    </w:p>
    <w:p w14:paraId="043BCD2A" w14:textId="77777777" w:rsidR="00350A3E" w:rsidRPr="00350A3E" w:rsidRDefault="00350A3E" w:rsidP="00350A3E">
      <w:pPr>
        <w:pStyle w:val="Default"/>
        <w:spacing w:line="360" w:lineRule="auto"/>
        <w:rPr>
          <w:sz w:val="22"/>
          <w:szCs w:val="22"/>
          <w:lang w:val="en-GB"/>
        </w:rPr>
      </w:pPr>
      <w:r w:rsidRPr="00350A3E">
        <w:rPr>
          <w:sz w:val="22"/>
          <w:szCs w:val="22"/>
          <w:lang w:val="en-GB"/>
        </w:rPr>
        <w:t xml:space="preserve">Using a </w:t>
      </w:r>
      <w:r w:rsidRPr="00350A3E">
        <w:rPr>
          <w:rFonts w:eastAsia="Calibri"/>
          <w:sz w:val="22"/>
          <w:szCs w:val="22"/>
          <w:lang w:val="en-GB"/>
        </w:rPr>
        <w:t>resampling</w:t>
      </w:r>
      <w:r w:rsidRPr="00350A3E">
        <w:rPr>
          <w:sz w:val="22"/>
          <w:szCs w:val="22"/>
          <w:lang w:val="en-GB"/>
        </w:rPr>
        <w:t xml:space="preserve"> approach, we simulated synthetic data sets of various sample sizes from a multivariate</w:t>
      </w:r>
      <w:r w:rsidRPr="00350A3E">
        <w:rPr>
          <w:rFonts w:eastAsia="Calibri"/>
          <w:sz w:val="22"/>
          <w:szCs w:val="22"/>
          <w:lang w:val="en-GB"/>
        </w:rPr>
        <w:t xml:space="preserve"> </w:t>
      </w:r>
      <w:r w:rsidRPr="00350A3E">
        <w:rPr>
          <w:sz w:val="22"/>
          <w:szCs w:val="22"/>
          <w:lang w:val="en-GB"/>
        </w:rPr>
        <w:t>standard normal distribution with a correlation of 0.89 (0.87 plus a correction factor of 0.02) for three raters. Using Gaussian copula, these normally distributed samples were transformed into uniformly distributed samples and rounded up to obtain integers from 1–7 (corresponding to the ranks of the mMMT ordinal categories). This process resulted in sample data with an expected ICC of 0.87.</w:t>
      </w:r>
    </w:p>
    <w:p w14:paraId="053A77E3" w14:textId="77777777" w:rsidR="00350A3E" w:rsidRPr="00350A3E" w:rsidRDefault="00350A3E" w:rsidP="00350A3E">
      <w:pPr>
        <w:pStyle w:val="Default"/>
        <w:spacing w:line="360" w:lineRule="auto"/>
        <w:rPr>
          <w:sz w:val="22"/>
          <w:szCs w:val="22"/>
          <w:lang w:val="en-GB"/>
        </w:rPr>
      </w:pPr>
      <w:r w:rsidRPr="00350A3E">
        <w:rPr>
          <w:sz w:val="22"/>
          <w:szCs w:val="22"/>
          <w:lang w:val="en-GB"/>
        </w:rPr>
        <w:t xml:space="preserve">For these samples, the ICC with a 95% CI was determined using a two-way random effects ANOVA with both patients and raters as random effects, measuring the consistency between the raters. Single ratings and </w:t>
      </w:r>
      <w:r w:rsidRPr="00350A3E">
        <w:rPr>
          <w:rFonts w:eastAsia="Calibri"/>
          <w:sz w:val="22"/>
          <w:szCs w:val="22"/>
          <w:lang w:val="en-GB"/>
        </w:rPr>
        <w:t>non-</w:t>
      </w:r>
      <w:r w:rsidRPr="00350A3E">
        <w:rPr>
          <w:sz w:val="22"/>
          <w:szCs w:val="22"/>
          <w:lang w:val="en-GB"/>
        </w:rPr>
        <w:t>averaged ratings were considered. It was subsequently tested whether the lower limit of the 95% CI exceeded the ICC margin</w:t>
      </w:r>
      <w:r w:rsidRPr="00350A3E">
        <w:rPr>
          <w:rFonts w:eastAsia="Calibri"/>
          <w:sz w:val="22"/>
          <w:szCs w:val="22"/>
          <w:lang w:val="en-GB"/>
        </w:rPr>
        <w:t xml:space="preserve"> of</w:t>
      </w:r>
      <w:r w:rsidRPr="00350A3E">
        <w:rPr>
          <w:sz w:val="22"/>
          <w:szCs w:val="22"/>
          <w:lang w:val="en-GB"/>
        </w:rPr>
        <w:t xml:space="preserve"> 0.70.</w:t>
      </w:r>
    </w:p>
    <w:p w14:paraId="2F15F8B6" w14:textId="77777777" w:rsidR="00350A3E" w:rsidRPr="00350A3E" w:rsidRDefault="00350A3E" w:rsidP="00350A3E">
      <w:pPr>
        <w:pStyle w:val="Default"/>
        <w:spacing w:line="360" w:lineRule="auto"/>
        <w:rPr>
          <w:sz w:val="22"/>
          <w:szCs w:val="22"/>
          <w:lang w:val="en-GB"/>
        </w:rPr>
      </w:pPr>
      <w:r w:rsidRPr="00350A3E">
        <w:rPr>
          <w:sz w:val="22"/>
          <w:szCs w:val="22"/>
          <w:lang w:val="en-GB"/>
        </w:rPr>
        <w:t>Assuming a drop-out rate of 10%, a total of 28 patients were needed to show that the ICC exceeds 0.70 with a power of at least 80%.</w:t>
      </w:r>
    </w:p>
    <w:sectPr w:rsidR="00350A3E" w:rsidRPr="00350A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34"/>
    <w:rsid w:val="000F61AB"/>
    <w:rsid w:val="00350A3E"/>
    <w:rsid w:val="00512878"/>
    <w:rsid w:val="0052149F"/>
    <w:rsid w:val="00551C01"/>
    <w:rsid w:val="00551C2E"/>
    <w:rsid w:val="006868BB"/>
    <w:rsid w:val="00991B77"/>
    <w:rsid w:val="00992F21"/>
    <w:rsid w:val="00A30834"/>
    <w:rsid w:val="00E40C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1243"/>
  <w15:chartTrackingRefBased/>
  <w15:docId w15:val="{ED4D6DEA-B300-43D2-8992-DE68C164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3083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992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Nanco van der Maas</dc:creator>
  <cp:keywords/>
  <dc:description/>
  <cp:lastModifiedBy>Nanco van der Maas</cp:lastModifiedBy>
  <cp:revision>5</cp:revision>
  <dcterms:created xsi:type="dcterms:W3CDTF">2021-05-09T09:22:00Z</dcterms:created>
  <dcterms:modified xsi:type="dcterms:W3CDTF">2025-02-06T11:21:00Z</dcterms:modified>
</cp:coreProperties>
</file>