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70358" w14:textId="109D48F9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bCs/>
          <w:sz w:val="32"/>
          <w:szCs w:val="28"/>
        </w:rPr>
      </w:pPr>
      <w:r w:rsidRPr="00354545">
        <w:rPr>
          <w:rFonts w:ascii="Times New Roman" w:eastAsia="宋体" w:hAnsi="Times New Roman" w:cs="Times New Roman"/>
          <w:b/>
          <w:bCs/>
          <w:sz w:val="32"/>
          <w:szCs w:val="28"/>
        </w:rPr>
        <w:t>Supplementary materials</w:t>
      </w:r>
    </w:p>
    <w:p w14:paraId="7D052197" w14:textId="77777777" w:rsidR="0020362D" w:rsidRPr="00354545" w:rsidRDefault="0020362D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bCs/>
          <w:sz w:val="32"/>
          <w:szCs w:val="28"/>
        </w:rPr>
      </w:pPr>
    </w:p>
    <w:p w14:paraId="0B232721" w14:textId="77777777" w:rsidR="00BF5229" w:rsidRPr="00354545" w:rsidRDefault="00BF5229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sz w:val="28"/>
        </w:rPr>
      </w:pPr>
      <w:r w:rsidRPr="00354545">
        <w:rPr>
          <w:rFonts w:ascii="Times New Roman" w:eastAsia="宋体" w:hAnsi="Times New Roman" w:cs="Times New Roman"/>
          <w:b/>
          <w:sz w:val="28"/>
        </w:rPr>
        <w:t>Multi-omics analysis defines 5-fluorouracil drug resistance in 3D HeLa carcinoma cell model</w:t>
      </w:r>
    </w:p>
    <w:p w14:paraId="0217FF33" w14:textId="1FAB5686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Cs/>
          <w:sz w:val="24"/>
          <w:szCs w:val="18"/>
        </w:rPr>
      </w:pPr>
      <w:r w:rsidRPr="00354545">
        <w:rPr>
          <w:rFonts w:ascii="Times New Roman" w:eastAsia="宋体" w:hAnsi="Times New Roman" w:cs="Times New Roman"/>
          <w:bCs/>
          <w:sz w:val="24"/>
          <w:szCs w:val="18"/>
        </w:rPr>
        <w:t>Lin Wang</w:t>
      </w:r>
      <w:r w:rsidRPr="00354545">
        <w:rPr>
          <w:rFonts w:ascii="Times New Roman" w:eastAsia="宋体" w:hAnsi="Times New Roman" w:cs="Times New Roman"/>
          <w:bCs/>
          <w:sz w:val="24"/>
          <w:szCs w:val="18"/>
          <w:vertAlign w:val="superscript"/>
        </w:rPr>
        <w:t>a</w:t>
      </w:r>
      <w:r w:rsidRPr="00354545">
        <w:rPr>
          <w:rFonts w:ascii="Times New Roman" w:eastAsia="宋体" w:hAnsi="Times New Roman" w:cs="Times New Roman"/>
          <w:bCs/>
          <w:sz w:val="24"/>
          <w:szCs w:val="18"/>
        </w:rPr>
        <w:t xml:space="preserve">, </w:t>
      </w:r>
      <w:proofErr w:type="spellStart"/>
      <w:r w:rsidRPr="00354545">
        <w:rPr>
          <w:rFonts w:ascii="Times New Roman" w:eastAsia="宋体" w:hAnsi="Times New Roman" w:cs="Times New Roman"/>
          <w:bCs/>
          <w:sz w:val="24"/>
          <w:szCs w:val="18"/>
        </w:rPr>
        <w:t>Xueting</w:t>
      </w:r>
      <w:proofErr w:type="spellEnd"/>
      <w:r w:rsidRPr="00354545">
        <w:rPr>
          <w:rFonts w:ascii="Times New Roman" w:eastAsia="宋体" w:hAnsi="Times New Roman" w:cs="Times New Roman"/>
          <w:bCs/>
          <w:sz w:val="24"/>
          <w:szCs w:val="18"/>
        </w:rPr>
        <w:t xml:space="preserve"> Wang</w:t>
      </w:r>
      <w:r w:rsidRPr="00354545">
        <w:rPr>
          <w:rFonts w:ascii="Times New Roman" w:eastAsia="宋体" w:hAnsi="Times New Roman" w:cs="Times New Roman"/>
          <w:bCs/>
          <w:sz w:val="24"/>
          <w:szCs w:val="18"/>
          <w:vertAlign w:val="superscript"/>
        </w:rPr>
        <w:t>a</w:t>
      </w:r>
      <w:r w:rsidRPr="00354545">
        <w:rPr>
          <w:rFonts w:ascii="Times New Roman" w:eastAsia="宋体" w:hAnsi="Times New Roman" w:cs="Times New Roman"/>
          <w:bCs/>
          <w:sz w:val="24"/>
          <w:szCs w:val="18"/>
        </w:rPr>
        <w:t>, Tong Wang</w:t>
      </w:r>
      <w:r w:rsidRPr="00354545">
        <w:rPr>
          <w:rFonts w:ascii="Times New Roman" w:eastAsia="宋体" w:hAnsi="Times New Roman" w:cs="Times New Roman"/>
          <w:bCs/>
          <w:sz w:val="24"/>
          <w:szCs w:val="18"/>
          <w:vertAlign w:val="superscript"/>
        </w:rPr>
        <w:t>a</w:t>
      </w:r>
      <w:r w:rsidRPr="00354545">
        <w:rPr>
          <w:rFonts w:ascii="Times New Roman" w:eastAsia="宋体" w:hAnsi="Times New Roman" w:cs="Times New Roman"/>
          <w:bCs/>
          <w:sz w:val="24"/>
          <w:szCs w:val="18"/>
        </w:rPr>
        <w:t xml:space="preserve">, </w:t>
      </w:r>
      <w:proofErr w:type="spellStart"/>
      <w:r w:rsidRPr="00354545">
        <w:rPr>
          <w:rFonts w:ascii="Times New Roman" w:eastAsia="宋体" w:hAnsi="Times New Roman" w:cs="Times New Roman"/>
          <w:bCs/>
          <w:sz w:val="24"/>
          <w:szCs w:val="18"/>
        </w:rPr>
        <w:t>Yingping</w:t>
      </w:r>
      <w:proofErr w:type="spellEnd"/>
      <w:r w:rsidRPr="00354545">
        <w:rPr>
          <w:rFonts w:ascii="Times New Roman" w:eastAsia="宋体" w:hAnsi="Times New Roman" w:cs="Times New Roman"/>
          <w:bCs/>
          <w:sz w:val="24"/>
          <w:szCs w:val="18"/>
        </w:rPr>
        <w:t xml:space="preserve"> </w:t>
      </w:r>
      <w:proofErr w:type="spellStart"/>
      <w:r w:rsidRPr="00354545">
        <w:rPr>
          <w:rFonts w:ascii="Times New Roman" w:eastAsia="宋体" w:hAnsi="Times New Roman" w:cs="Times New Roman"/>
          <w:bCs/>
          <w:sz w:val="24"/>
          <w:szCs w:val="18"/>
        </w:rPr>
        <w:t>Zhuang</w:t>
      </w:r>
      <w:r w:rsidRPr="00354545">
        <w:rPr>
          <w:rFonts w:ascii="Times New Roman" w:eastAsia="宋体" w:hAnsi="Times New Roman" w:cs="Times New Roman"/>
          <w:bCs/>
          <w:sz w:val="24"/>
          <w:szCs w:val="18"/>
          <w:vertAlign w:val="superscript"/>
        </w:rPr>
        <w:t>a</w:t>
      </w:r>
      <w:proofErr w:type="spellEnd"/>
      <w:r w:rsidRPr="00354545">
        <w:rPr>
          <w:rFonts w:ascii="Times New Roman" w:eastAsia="宋体" w:hAnsi="Times New Roman" w:cs="Times New Roman"/>
          <w:bCs/>
          <w:sz w:val="24"/>
          <w:szCs w:val="18"/>
        </w:rPr>
        <w:t>, Guan Wang</w:t>
      </w:r>
      <w:r w:rsidRPr="00354545">
        <w:rPr>
          <w:rFonts w:ascii="Times New Roman" w:eastAsia="宋体" w:hAnsi="Times New Roman" w:cs="Times New Roman"/>
          <w:bCs/>
          <w:sz w:val="24"/>
          <w:szCs w:val="18"/>
          <w:vertAlign w:val="superscript"/>
        </w:rPr>
        <w:t>a</w:t>
      </w:r>
      <w:r w:rsidRPr="00354545">
        <w:rPr>
          <w:rFonts w:ascii="Times New Roman" w:eastAsia="宋体" w:hAnsi="Times New Roman" w:cs="Times New Roman"/>
          <w:bCs/>
          <w:sz w:val="24"/>
          <w:szCs w:val="18"/>
        </w:rPr>
        <w:t>*</w:t>
      </w:r>
    </w:p>
    <w:p w14:paraId="6DA5FADA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Cs/>
          <w:sz w:val="24"/>
          <w:szCs w:val="18"/>
        </w:rPr>
      </w:pPr>
      <w:r w:rsidRPr="00354545">
        <w:rPr>
          <w:rFonts w:ascii="Times New Roman" w:eastAsia="宋体" w:hAnsi="Times New Roman" w:cs="Times New Roman"/>
          <w:bCs/>
          <w:sz w:val="24"/>
          <w:szCs w:val="18"/>
        </w:rPr>
        <w:t>a. State Key Laboratory of Bioreactor Engineering, East China University of Science and Technology (ECUST), Shanghai, People’s Republic of China.</w:t>
      </w:r>
    </w:p>
    <w:p w14:paraId="1395674D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Cs/>
          <w:sz w:val="24"/>
          <w:szCs w:val="18"/>
        </w:rPr>
      </w:pPr>
      <w:r w:rsidRPr="00354545">
        <w:rPr>
          <w:rFonts w:ascii="Times New Roman" w:eastAsia="宋体" w:hAnsi="Times New Roman" w:cs="Times New Roman"/>
          <w:bCs/>
          <w:sz w:val="24"/>
          <w:szCs w:val="18"/>
        </w:rPr>
        <w:t xml:space="preserve">*Correspondence: </w:t>
      </w:r>
      <w:hyperlink r:id="rId8" w:history="1">
        <w:r w:rsidRPr="00354545">
          <w:rPr>
            <w:rStyle w:val="Hyperlink"/>
            <w:rFonts w:ascii="Times New Roman" w:eastAsia="宋体" w:hAnsi="Times New Roman" w:cs="Times New Roman"/>
            <w:bCs/>
            <w:sz w:val="24"/>
            <w:szCs w:val="18"/>
          </w:rPr>
          <w:t>guanwang@ecust.edu.cn</w:t>
        </w:r>
      </w:hyperlink>
    </w:p>
    <w:p w14:paraId="3F6C38D3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  <w:sectPr w:rsidR="002E3E61" w:rsidRPr="00354545" w:rsidSect="00354545">
          <w:foot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5CCDC2E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bCs/>
          <w:noProof/>
          <w:sz w:val="28"/>
          <w:szCs w:val="24"/>
        </w:rPr>
      </w:pPr>
      <w:r w:rsidRPr="00354545">
        <w:rPr>
          <w:rFonts w:ascii="Times New Roman" w:eastAsia="宋体" w:hAnsi="Times New Roman" w:cs="Times New Roman"/>
          <w:b/>
          <w:bCs/>
          <w:noProof/>
          <w:sz w:val="28"/>
          <w:szCs w:val="24"/>
        </w:rPr>
        <w:lastRenderedPageBreak/>
        <w:t>Supplementary mass spectrometry-based methods</w:t>
      </w:r>
    </w:p>
    <w:p w14:paraId="0F27AF46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sz w:val="24"/>
        </w:rPr>
      </w:pPr>
      <w:bookmarkStart w:id="0" w:name="_Hlk69596428"/>
      <w:r w:rsidRPr="00354545">
        <w:rPr>
          <w:rFonts w:ascii="Times New Roman" w:eastAsia="宋体" w:hAnsi="Times New Roman" w:cs="Times New Roman"/>
          <w:b/>
          <w:sz w:val="24"/>
        </w:rPr>
        <w:t>Chemicals and Materials</w:t>
      </w:r>
    </w:p>
    <w:p w14:paraId="007BCCC0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sz w:val="24"/>
        </w:rPr>
        <w:t xml:space="preserve">Hydroxylamine was purchased from Sigma-Aldrich (San Luis, MO, USA). Dithiothreitol (DTT), and iodoacetamide (IAA) were obtained from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Sangon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(Shanghai, CN). Tetraethylammonium bromide (TEAB) was purchased from Sigma. Absolute ethanol and isopropanol were acquired from GENERAL-REAGENT (Titan, Shanghai, CN). HPLC grade methanol, water, acetonitrile, and n-hexane were purchased from CNW (Duesseldorf, GER). Pyridine, formate, acetone, O-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methylhydroxylamine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hydrochloride, </w:t>
      </w:r>
      <w:bookmarkStart w:id="1" w:name="_Hlk69390633"/>
      <w:r w:rsidRPr="00354545">
        <w:rPr>
          <w:rFonts w:ascii="Times New Roman" w:eastAsia="宋体" w:hAnsi="Times New Roman" w:cs="Times New Roman"/>
          <w:sz w:val="24"/>
        </w:rPr>
        <w:t xml:space="preserve">N, O-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Bistrimethylsilane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trifluoroacetamide (BSTFA), trimethylchlorosilane (TMCS</w:t>
      </w:r>
      <w:bookmarkEnd w:id="1"/>
      <w:r w:rsidRPr="00354545">
        <w:rPr>
          <w:rFonts w:ascii="Times New Roman" w:eastAsia="宋体" w:hAnsi="Times New Roman" w:cs="Times New Roman"/>
          <w:sz w:val="24"/>
        </w:rPr>
        <w:t xml:space="preserve">) was purchased from CNW. The internal standard L-2-chlorophenylalanine was obtained from HC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Biotch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(Shanghai, CN) and fatty acid methyl ester (FAME) internal standard obtained from </w:t>
      </w:r>
      <w:bookmarkStart w:id="2" w:name="OLE_LINK1"/>
      <w:proofErr w:type="spellStart"/>
      <w:r w:rsidRPr="00354545">
        <w:rPr>
          <w:rFonts w:ascii="Times New Roman" w:eastAsia="宋体" w:hAnsi="Times New Roman" w:cs="Times New Roman"/>
          <w:sz w:val="24"/>
        </w:rPr>
        <w:t>Larodan</w:t>
      </w:r>
      <w:bookmarkEnd w:id="2"/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(Solna, SWE).</w:t>
      </w:r>
    </w:p>
    <w:p w14:paraId="286A9DB2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sz w:val="24"/>
        </w:rPr>
      </w:pPr>
    </w:p>
    <w:p w14:paraId="1D307522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sz w:val="24"/>
        </w:rPr>
      </w:pPr>
      <w:bookmarkStart w:id="3" w:name="_Hlk68480641"/>
      <w:bookmarkStart w:id="4" w:name="_Hlk69656087"/>
      <w:r w:rsidRPr="00354545">
        <w:rPr>
          <w:rFonts w:ascii="Times New Roman" w:eastAsia="宋体" w:hAnsi="Times New Roman" w:cs="Times New Roman"/>
          <w:b/>
          <w:sz w:val="24"/>
        </w:rPr>
        <w:t>Proteome analysis</w:t>
      </w:r>
      <w:bookmarkEnd w:id="3"/>
    </w:p>
    <w:bookmarkEnd w:id="4"/>
    <w:p w14:paraId="670A528F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b/>
          <w:sz w:val="24"/>
        </w:rPr>
        <w:t xml:space="preserve">Protein extraction: </w:t>
      </w:r>
      <w:r w:rsidRPr="00354545">
        <w:rPr>
          <w:rFonts w:ascii="Times New Roman" w:eastAsia="宋体" w:hAnsi="Times New Roman" w:cs="Times New Roman"/>
          <w:sz w:val="24"/>
        </w:rPr>
        <w:t>Added protein lysate containing 1 mM PMSF (</w:t>
      </w:r>
      <w:bookmarkStart w:id="5" w:name="_Hlk69388424"/>
      <w:r w:rsidRPr="00354545">
        <w:rPr>
          <w:rFonts w:ascii="Times New Roman" w:eastAsia="宋体" w:hAnsi="Times New Roman" w:cs="Times New Roman"/>
          <w:sz w:val="24"/>
        </w:rPr>
        <w:t>P301906, Aladdin, Shanghai, CN</w:t>
      </w:r>
      <w:bookmarkEnd w:id="5"/>
      <w:r w:rsidRPr="00354545">
        <w:rPr>
          <w:rFonts w:ascii="Times New Roman" w:eastAsia="宋体" w:hAnsi="Times New Roman" w:cs="Times New Roman"/>
          <w:sz w:val="24"/>
        </w:rPr>
        <w:t>),</w:t>
      </w:r>
      <w:bookmarkStart w:id="6" w:name="_Hlk69664776"/>
      <w:r w:rsidRPr="00354545">
        <w:rPr>
          <w:rFonts w:ascii="Times New Roman" w:eastAsia="宋体" w:hAnsi="Times New Roman" w:cs="Times New Roman"/>
          <w:sz w:val="24"/>
        </w:rPr>
        <w:t xml:space="preserve"> then</w:t>
      </w:r>
      <w:r w:rsidRPr="00354545">
        <w:rPr>
          <w:rFonts w:ascii="Times New Roman" w:hAnsi="Times New Roman" w:cs="Times New Roman"/>
        </w:rPr>
        <w:t xml:space="preserve"> </w:t>
      </w:r>
      <w:r w:rsidRPr="00354545">
        <w:rPr>
          <w:rFonts w:ascii="Times New Roman" w:eastAsia="宋体" w:hAnsi="Times New Roman" w:cs="Times New Roman"/>
          <w:sz w:val="24"/>
        </w:rPr>
        <w:t>lysed for 3 min with 1 s of sonication followed by 2 s rest interval.</w:t>
      </w:r>
      <w:bookmarkEnd w:id="6"/>
      <w:r w:rsidRPr="00354545">
        <w:rPr>
          <w:rFonts w:ascii="Times New Roman" w:eastAsia="宋体" w:hAnsi="Times New Roman" w:cs="Times New Roman"/>
          <w:sz w:val="24"/>
        </w:rPr>
        <w:t xml:space="preserve"> The supernatant was collected after centrifugation at 12000 g for 10 min twice at 4 ℃. Protein concentration was determined with the bicinchoninic acid (BCA) protein assay kit (23227, Thermo Fisher Scientific, Waltham, MA, USA).</w:t>
      </w:r>
    </w:p>
    <w:p w14:paraId="120E18CC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b/>
          <w:sz w:val="24"/>
        </w:rPr>
        <w:t>Enzymatic hydrolysis:</w:t>
      </w:r>
      <w:r w:rsidRPr="00354545">
        <w:rPr>
          <w:rFonts w:ascii="Times New Roman" w:eastAsia="宋体" w:hAnsi="Times New Roman" w:cs="Times New Roman"/>
          <w:sz w:val="24"/>
        </w:rPr>
        <w:t xml:space="preserve"> Added 5 mM DTT to 50 µg protein from each sample and incubated at 55 ℃ for 30 min. After cooling to room temperature, treated with 10 mM IAA in the dark for 15 min. Added 6 times the sample volume of acetone solution at -20 ℃ overnight to precipitate the protein, centrifuged at 8000 g at 4℃ for 10 min to discard the supernatant, then volatilized the acetone in the fume hood. Added 100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of 200 mM TEAB to dissolve the precipitate, then incubated overnight at 37 ℃ with 1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of 1 mg / mL of trypsi</w:t>
      </w:r>
      <w:bookmarkStart w:id="7" w:name="_Hlk69126857"/>
      <w:r w:rsidRPr="00354545">
        <w:rPr>
          <w:rFonts w:ascii="Times New Roman" w:eastAsia="宋体" w:hAnsi="Times New Roman" w:cs="Times New Roman"/>
          <w:sz w:val="24"/>
        </w:rPr>
        <w:t>n. The samples were</w:t>
      </w:r>
      <w:r w:rsidRPr="00354545">
        <w:rPr>
          <w:rFonts w:ascii="Times New Roman" w:hAnsi="Times New Roman" w:cs="Times New Roman"/>
        </w:rPr>
        <w:t xml:space="preserve"> </w:t>
      </w:r>
      <w:r w:rsidRPr="00354545">
        <w:rPr>
          <w:rFonts w:ascii="Times New Roman" w:eastAsia="宋体" w:hAnsi="Times New Roman" w:cs="Times New Roman"/>
          <w:sz w:val="24"/>
        </w:rPr>
        <w:t>lyophilized and stored at -80 ℃.</w:t>
      </w:r>
      <w:bookmarkEnd w:id="7"/>
    </w:p>
    <w:p w14:paraId="41DA0800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b/>
          <w:sz w:val="24"/>
        </w:rPr>
        <w:t>Peptide labeling:</w:t>
      </w:r>
      <w:r w:rsidRPr="00354545">
        <w:rPr>
          <w:rFonts w:ascii="Times New Roman" w:eastAsia="宋体" w:hAnsi="Times New Roman" w:cs="Times New Roman"/>
          <w:sz w:val="24"/>
        </w:rPr>
        <w:t xml:space="preserve"> After TMT reagent </w:t>
      </w:r>
      <w:bookmarkStart w:id="8" w:name="_Hlk69388511"/>
      <w:r w:rsidRPr="00354545">
        <w:rPr>
          <w:rFonts w:ascii="Times New Roman" w:eastAsia="宋体" w:hAnsi="Times New Roman" w:cs="Times New Roman"/>
          <w:sz w:val="24"/>
        </w:rPr>
        <w:t>(90309, Thermo Fisher Scientific, Waltham, MA, USA)</w:t>
      </w:r>
      <w:bookmarkEnd w:id="8"/>
      <w:r w:rsidRPr="00354545">
        <w:rPr>
          <w:rFonts w:ascii="Times New Roman" w:eastAsia="宋体" w:hAnsi="Times New Roman" w:cs="Times New Roman"/>
          <w:sz w:val="24"/>
        </w:rPr>
        <w:t xml:space="preserve"> was restored to room temperature, 88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of anhydrous acetonitrile was added. Added 50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of 100 mM TEAB and 41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TMT solution to each sample, and reacted at room temperature for 1 h.</w:t>
      </w:r>
      <w:r w:rsidRPr="00354545">
        <w:rPr>
          <w:rFonts w:ascii="Times New Roman" w:hAnsi="Times New Roman" w:cs="Times New Roman"/>
        </w:rPr>
        <w:t xml:space="preserve"> </w:t>
      </w:r>
      <w:r w:rsidRPr="00354545">
        <w:rPr>
          <w:rFonts w:ascii="Times New Roman" w:eastAsia="宋体" w:hAnsi="Times New Roman" w:cs="Times New Roman"/>
          <w:sz w:val="24"/>
        </w:rPr>
        <w:t xml:space="preserve">To stop the reaction, add 8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5% hydroxylamine at room temperature for 15 min. The samples were lyophilized and stored at -80℃. </w:t>
      </w:r>
    </w:p>
    <w:p w14:paraId="6471C330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b/>
          <w:sz w:val="24"/>
        </w:rPr>
        <w:t>Reversed phase liquid chromatography</w:t>
      </w:r>
      <w:r w:rsidRPr="00354545">
        <w:rPr>
          <w:rFonts w:ascii="Times New Roman" w:eastAsia="宋体" w:hAnsi="Times New Roman" w:cs="Times New Roman"/>
          <w:sz w:val="24"/>
        </w:rPr>
        <w:t xml:space="preserve"> </w:t>
      </w:r>
    </w:p>
    <w:p w14:paraId="7B59E472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sz w:val="24"/>
        </w:rPr>
        <w:t xml:space="preserve">All samples were separated using an Agilent 1100 HPLC system with the flow rate of 300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>/min.</w:t>
      </w:r>
      <w:r w:rsidRPr="00354545">
        <w:rPr>
          <w:rFonts w:ascii="Times New Roman" w:hAnsi="Times New Roman" w:cs="Times New Roman"/>
        </w:rPr>
        <w:t xml:space="preserve"> </w:t>
      </w:r>
      <w:r w:rsidRPr="00354545">
        <w:rPr>
          <w:rFonts w:ascii="Times New Roman" w:eastAsia="宋体" w:hAnsi="Times New Roman" w:cs="Times New Roman"/>
          <w:sz w:val="24"/>
        </w:rPr>
        <w:t xml:space="preserve">The peptide samples were injected onto an Agilent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Zorbax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Extend-C18 narrow-bore column (1 × 150 mm, 5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μm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) with buffer A (2% acetonitrile in water) and buffer B (90 % acetonitrile in water), which adjusted to pH 10 with ammonia water. </w:t>
      </w:r>
      <w:r w:rsidRPr="00354545">
        <w:rPr>
          <w:rFonts w:ascii="Times New Roman" w:eastAsia="宋体" w:hAnsi="Times New Roman" w:cs="Times New Roman"/>
          <w:sz w:val="24"/>
        </w:rPr>
        <w:lastRenderedPageBreak/>
        <w:t>The separation conditions were as follows: 0 ~ 8 min, 98% A; 8 ~ 8.01 min, 98% ~ 95% A; 8.01 ~ 48 min, 95% ~ 75% A; 48 ~ 60 min, 75 ~ 60% A; 60 ~ 60.01 min, 60 ~ 10% A; 60.01 ~ 70 min, 10% A; 70 ~ 70.01 min, 10 ~ 98% A; 70.01 ~ 75 min, 98% A. The eluent was collected for 8 ~ 60 minutes, and the samples were repeatedly and successively collected in tubes No. 1-15 every minute. Then samples lyophilized prior for LC-MS/MS analysis.</w:t>
      </w:r>
    </w:p>
    <w:p w14:paraId="429DEBB7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b/>
          <w:sz w:val="24"/>
        </w:rPr>
        <w:t xml:space="preserve">LC-MS/MS analysis: </w:t>
      </w:r>
      <w:bookmarkStart w:id="9" w:name="_Hlk69656130"/>
      <w:r w:rsidRPr="00354545">
        <w:rPr>
          <w:rFonts w:ascii="Times New Roman" w:eastAsia="宋体" w:hAnsi="Times New Roman" w:cs="Times New Roman"/>
          <w:sz w:val="24"/>
        </w:rPr>
        <w:t xml:space="preserve">All samples analyzed with a Q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Exactive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HFX mass spectrometer (Thermo Fisher Scientific, Waltham, MA, USA) coupled to an EASY-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nLC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1200 liquid chromatograph system (Thermo Fisher Scientific, Waltham, MA, USA) at a flow rate of 300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/min. The peptide samples were loaded onto a 75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μm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× 20 cm (RP-C18-AQ,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reprosil-pur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) with buffer A (0.1% formic acid in water) and buffer B (0.1% formic acid in 80% acetonitrile in water). The separation conditions were as follows: 0 ~ 1 min, 1 ~ 6% B; 1 ~ 46 min, 6 ~ 25% B; 46 ~ 52 min, 25 ~ 37% B; 52 ~ 54 min, 37 ~ 95% B; 54 ~ 60 min, 95% B. The parameters of first-order MS were set as follows: The mass resolution was set as 60000, The automatic gain control value was set as 3e6; The maximum injection time was 20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ms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; Full MS scans were acquired with an m/z range of 350–1800. The top 15 peaks were scanned by MS/MS using high-energy collision lysis in a data-dependent positive ion mode with the collision energy of 35. The resolution of MS/MS was 45000, the automatic gain control was set as 2e5, the maximum ion injection time was 100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ms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>, and the dynamic elimination period was set as 30 s.</w:t>
      </w:r>
      <w:bookmarkEnd w:id="0"/>
      <w:bookmarkEnd w:id="9"/>
    </w:p>
    <w:p w14:paraId="3F68A086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hAnsi="Times New Roman" w:cs="Times New Roman"/>
        </w:rPr>
      </w:pPr>
    </w:p>
    <w:p w14:paraId="2BE314BD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sz w:val="24"/>
        </w:rPr>
      </w:pPr>
      <w:r w:rsidRPr="00354545">
        <w:rPr>
          <w:rFonts w:ascii="Times New Roman" w:eastAsia="宋体" w:hAnsi="Times New Roman" w:cs="Times New Roman"/>
          <w:b/>
          <w:sz w:val="24"/>
        </w:rPr>
        <w:t>Metabolite analysis</w:t>
      </w:r>
    </w:p>
    <w:p w14:paraId="419F6B41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sz w:val="24"/>
        </w:rPr>
      </w:pPr>
      <w:r w:rsidRPr="00354545">
        <w:rPr>
          <w:rFonts w:ascii="Times New Roman" w:eastAsia="宋体" w:hAnsi="Times New Roman" w:cs="Times New Roman"/>
          <w:b/>
          <w:sz w:val="24"/>
        </w:rPr>
        <w:t>Metabolite extraction and pre-treatment</w:t>
      </w:r>
    </w:p>
    <w:p w14:paraId="1BE2793A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sz w:val="24"/>
        </w:rPr>
        <w:t xml:space="preserve">Added 1 mL of pre-chilled 20% methanol, 40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internal standard (0.3 mg/mL L-2-chlorophenylalanine, prepared with methanol), and 200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chloroform to the sample.  Dispersed the sample by ultrasonic for 20 min with 6 s of sonication followed by 4 s rest interval. Centrifuged at 13000 rpm, 4℃ for 10 min, 600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supernatant were transfer to the derivatization vial. The supernatant of all samples was mixed in the equal volume to prepare 600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of quality control sample (QC), transferred to a derivatization vial, then freeze-dried. Added 80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of 15 mg/mL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methoxyamine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hydrochloride pyridine solution, reacted at 37 ℃ for 90 min. Added 50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of N, O-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bistrimethyl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Silyl trifluoroacetamide/trimethylchlorosilane (BSTFA/TMCS 1000: 1, v/v), 20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n-hexane, 10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 of FAME as internal standard (methyl octoate/methyl 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nonanoate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/methyl decanoate/methyl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dodecanoate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/methyl myristate, 0.16mg/mL; methyl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eicosanate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/methyl behenate/methyl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tetracosanoate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/methyl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hexadecanoate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>, 0.08mg/mL, Chloroform configuration), derivatized at 70 ℃ for 60 min. After cooling to room temperature, GC-MS metabolomics analysis was performed.</w:t>
      </w:r>
    </w:p>
    <w:p w14:paraId="5A516D07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b/>
          <w:sz w:val="24"/>
        </w:rPr>
        <w:lastRenderedPageBreak/>
        <w:t>GC-MS condition:</w:t>
      </w:r>
      <w:r w:rsidRPr="00354545">
        <w:rPr>
          <w:rFonts w:ascii="Times New Roman" w:hAnsi="Times New Roman" w:cs="Times New Roman"/>
        </w:rPr>
        <w:t xml:space="preserve"> </w:t>
      </w:r>
      <w:r w:rsidRPr="00354545">
        <w:rPr>
          <w:rFonts w:ascii="Times New Roman" w:eastAsia="宋体" w:hAnsi="Times New Roman" w:cs="Times New Roman"/>
          <w:sz w:val="24"/>
        </w:rPr>
        <w:t xml:space="preserve">All samples analyzed with an Agilent (Santa Clara, CA, USA) 7890B-5977A with DB-5MS capillary column (30 m × 0.25mm × 0.25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μm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, Agilent, Santa Clara, CA, USA) with high purity helium as carrier gas at a flow rate of 300 </w:t>
      </w:r>
      <w:proofErr w:type="spellStart"/>
      <w:r w:rsidRPr="00354545">
        <w:rPr>
          <w:rFonts w:ascii="Times New Roman" w:eastAsia="宋体" w:hAnsi="Times New Roman" w:cs="Times New Roman"/>
          <w:sz w:val="24"/>
        </w:rPr>
        <w:t>μL</w:t>
      </w:r>
      <w:proofErr w:type="spellEnd"/>
      <w:r w:rsidRPr="00354545">
        <w:rPr>
          <w:rFonts w:ascii="Times New Roman" w:eastAsia="宋体" w:hAnsi="Times New Roman" w:cs="Times New Roman"/>
          <w:sz w:val="24"/>
        </w:rPr>
        <w:t xml:space="preserve">/min. The temperature of the injector was 260 ℃. Temperature programmed: 60 ℃ for 0.5min, 8 ℃/min temperature programmed to 125 ℃; 5 ℃/min temperature programmed to 210 ℃; 10 ℃/min temperature programmed to 270 ℃; 20 ℃/min temperature programmed to 305 ℃, maintained for 5 minutes. </w:t>
      </w:r>
      <w:bookmarkStart w:id="10" w:name="_Hlk69656223"/>
      <w:r w:rsidRPr="00354545">
        <w:rPr>
          <w:rFonts w:ascii="Times New Roman" w:eastAsia="宋体" w:hAnsi="Times New Roman" w:cs="Times New Roman"/>
          <w:sz w:val="24"/>
        </w:rPr>
        <w:t xml:space="preserve">The parameters of </w:t>
      </w:r>
      <w:bookmarkEnd w:id="10"/>
      <w:r w:rsidRPr="00354545">
        <w:rPr>
          <w:rFonts w:ascii="Times New Roman" w:eastAsia="宋体" w:hAnsi="Times New Roman" w:cs="Times New Roman"/>
          <w:sz w:val="24"/>
        </w:rPr>
        <w:t>MS were set as follows: electron impact ion source, ion source temperature 230 ℃, quadrupole temperature 150 ℃, electron energy 70 eV. Full MS scans were acquired with an m/z range of 50-500.</w:t>
      </w:r>
    </w:p>
    <w:p w14:paraId="00D07FE9" w14:textId="77777777" w:rsidR="002E3E61" w:rsidRPr="00354545" w:rsidRDefault="002E3E61" w:rsidP="00E301C4">
      <w:pPr>
        <w:tabs>
          <w:tab w:val="left" w:pos="1360"/>
        </w:tabs>
        <w:jc w:val="both"/>
        <w:rPr>
          <w:rFonts w:ascii="Times New Roman" w:eastAsia="宋体" w:hAnsi="Times New Roman" w:cs="Times New Roman"/>
          <w:sz w:val="24"/>
        </w:rPr>
        <w:sectPr w:rsidR="002E3E61" w:rsidRPr="00354545" w:rsidSect="0035454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9C7C35E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bCs/>
          <w:noProof/>
          <w:sz w:val="24"/>
        </w:rPr>
      </w:pPr>
      <w:r w:rsidRPr="00354545">
        <w:rPr>
          <w:rFonts w:ascii="Times New Roman" w:eastAsia="宋体" w:hAnsi="Times New Roman" w:cs="Times New Roman"/>
          <w:b/>
          <w:bCs/>
          <w:noProof/>
          <w:sz w:val="28"/>
          <w:szCs w:val="24"/>
        </w:rPr>
        <w:lastRenderedPageBreak/>
        <w:t>Supplementary figures</w:t>
      </w:r>
    </w:p>
    <w:p w14:paraId="5F9ED00E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bCs/>
          <w:sz w:val="24"/>
        </w:rPr>
      </w:pPr>
      <w:r w:rsidRPr="00354545">
        <w:rPr>
          <w:rFonts w:ascii="Times New Roman" w:eastAsia="宋体" w:hAnsi="Times New Roman" w:cs="Times New Roman"/>
          <w:b/>
          <w:bCs/>
          <w:noProof/>
          <w:sz w:val="24"/>
        </w:rPr>
        <w:drawing>
          <wp:inline distT="0" distB="0" distL="0" distR="0" wp14:anchorId="6CE88B72" wp14:editId="303A7632">
            <wp:extent cx="4748031" cy="3268133"/>
            <wp:effectExtent l="0" t="0" r="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018" cy="32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08565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b/>
          <w:bCs/>
          <w:sz w:val="24"/>
        </w:rPr>
        <w:t>Figure S1</w:t>
      </w:r>
      <w:r w:rsidRPr="00354545">
        <w:rPr>
          <w:rFonts w:ascii="Times New Roman" w:eastAsia="宋体" w:hAnsi="Times New Roman" w:cs="Times New Roman"/>
          <w:sz w:val="24"/>
        </w:rPr>
        <w:t xml:space="preserve">. The application of 3D MTSs culture method to a variety of tumor cell types and co-culturing models. </w:t>
      </w:r>
    </w:p>
    <w:p w14:paraId="2B2A6B81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</w:p>
    <w:p w14:paraId="156AF85A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noProof/>
          <w:sz w:val="24"/>
        </w:rPr>
        <w:drawing>
          <wp:inline distT="0" distB="0" distL="0" distR="0" wp14:anchorId="4DD537A7" wp14:editId="07C4D332">
            <wp:extent cx="4839964" cy="3145367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0914" cy="3145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648EC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b/>
          <w:bCs/>
          <w:sz w:val="24"/>
        </w:rPr>
        <w:t>Figure S2</w:t>
      </w:r>
      <w:r w:rsidRPr="00354545">
        <w:rPr>
          <w:rFonts w:ascii="Times New Roman" w:eastAsia="宋体" w:hAnsi="Times New Roman" w:cs="Times New Roman"/>
          <w:sz w:val="24"/>
        </w:rPr>
        <w:t xml:space="preserve">. The morphology and microstructure of multi-component 3D MTSs. </w:t>
      </w:r>
    </w:p>
    <w:p w14:paraId="28E8505D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</w:p>
    <w:p w14:paraId="735FD653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</w:p>
    <w:p w14:paraId="3EAE267D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noProof/>
          <w:sz w:val="24"/>
        </w:rPr>
        <w:lastRenderedPageBreak/>
        <w:drawing>
          <wp:inline distT="0" distB="0" distL="0" distR="0" wp14:anchorId="24E6CA41" wp14:editId="44E9F615">
            <wp:extent cx="3898900" cy="2011045"/>
            <wp:effectExtent l="0" t="0" r="6350" b="825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0" cy="201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075876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b/>
          <w:bCs/>
          <w:sz w:val="24"/>
        </w:rPr>
        <w:t>Figure S3</w:t>
      </w:r>
      <w:r w:rsidRPr="00354545">
        <w:rPr>
          <w:rFonts w:ascii="Times New Roman" w:eastAsia="宋体" w:hAnsi="Times New Roman" w:cs="Times New Roman"/>
          <w:sz w:val="24"/>
        </w:rPr>
        <w:t>. The</w:t>
      </w:r>
      <w:r w:rsidRPr="00354545">
        <w:rPr>
          <w:rFonts w:ascii="Times New Roman" w:hAnsi="Times New Roman" w:cs="Times New Roman"/>
        </w:rPr>
        <w:t xml:space="preserve"> </w:t>
      </w:r>
      <w:r w:rsidRPr="00354545">
        <w:rPr>
          <w:rFonts w:ascii="Times New Roman" w:eastAsia="宋体" w:hAnsi="Times New Roman" w:cs="Times New Roman"/>
          <w:sz w:val="24"/>
        </w:rPr>
        <w:t xml:space="preserve">specific growth rates of HeLa carcinoma cells cultured in 2D monolayer and 3D MTS. </w:t>
      </w:r>
    </w:p>
    <w:p w14:paraId="46D9728B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</w:p>
    <w:p w14:paraId="1F0C29DF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noProof/>
          <w:sz w:val="24"/>
        </w:rPr>
        <w:drawing>
          <wp:inline distT="0" distB="0" distL="0" distR="0" wp14:anchorId="5E924EA1" wp14:editId="2DDF6FE0">
            <wp:extent cx="5274945" cy="2768600"/>
            <wp:effectExtent l="0" t="0" r="190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76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AF0EA7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b/>
          <w:bCs/>
          <w:sz w:val="24"/>
        </w:rPr>
        <w:t>Fig.S4</w:t>
      </w:r>
      <w:r w:rsidRPr="00354545">
        <w:rPr>
          <w:rFonts w:ascii="Times New Roman" w:eastAsia="宋体" w:hAnsi="Times New Roman" w:cs="Times New Roman"/>
          <w:sz w:val="24"/>
        </w:rPr>
        <w:t>. The specific rates of extracellular (A) glucose, (B) glutamine, (C) ammonium, and (D) lactate. The culture time of 2D Monolayer and 2D Monolayer + 5-FU was shown on the bottom X-axis, and the culture time of 3D MTS and 3D MTS + 5-FU were shown on the top X-axis.</w:t>
      </w:r>
    </w:p>
    <w:p w14:paraId="46D1F0D0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</w:p>
    <w:p w14:paraId="7F1034B9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noProof/>
          <w:sz w:val="24"/>
        </w:rPr>
        <w:lastRenderedPageBreak/>
        <w:drawing>
          <wp:inline distT="0" distB="0" distL="0" distR="0" wp14:anchorId="6FD3A1BD" wp14:editId="24F0C6CC">
            <wp:extent cx="5262245" cy="3107267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706"/>
                    <a:stretch/>
                  </pic:blipFill>
                  <pic:spPr bwMode="auto">
                    <a:xfrm>
                      <a:off x="0" y="0"/>
                      <a:ext cx="5262245" cy="3107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C3A341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b/>
          <w:bCs/>
          <w:sz w:val="24"/>
        </w:rPr>
        <w:t>Figure S5</w:t>
      </w:r>
      <w:r w:rsidRPr="00354545">
        <w:rPr>
          <w:rFonts w:ascii="Times New Roman" w:eastAsia="宋体" w:hAnsi="Times New Roman" w:cs="Times New Roman"/>
          <w:sz w:val="24"/>
        </w:rPr>
        <w:t xml:space="preserve">. (A) PCA analysis of proteome. (B) Heatmap of differential proteins between the control condition and 5-FU treatment. (C) </w:t>
      </w:r>
      <w:bookmarkStart w:id="11" w:name="_Hlk69953823"/>
      <w:r w:rsidRPr="00354545">
        <w:rPr>
          <w:rFonts w:ascii="Times New Roman" w:eastAsia="宋体" w:hAnsi="Times New Roman" w:cs="Times New Roman"/>
          <w:sz w:val="24"/>
        </w:rPr>
        <w:t>The top 20 KEGG pathways of proteome between the control condition and 5-FU treatment (sorted according to the -log10 p-value)</w:t>
      </w:r>
      <w:bookmarkEnd w:id="11"/>
      <w:r w:rsidRPr="00354545">
        <w:rPr>
          <w:rFonts w:ascii="Times New Roman" w:eastAsia="宋体" w:hAnsi="Times New Roman" w:cs="Times New Roman"/>
          <w:sz w:val="24"/>
        </w:rPr>
        <w:t>.</w:t>
      </w:r>
    </w:p>
    <w:p w14:paraId="0B5ACCCF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</w:p>
    <w:p w14:paraId="356FCCA9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noProof/>
          <w:sz w:val="24"/>
        </w:rPr>
        <w:drawing>
          <wp:inline distT="0" distB="0" distL="0" distR="0" wp14:anchorId="440752C1" wp14:editId="67FE9D5D">
            <wp:extent cx="5266055" cy="2976033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020"/>
                    <a:stretch/>
                  </pic:blipFill>
                  <pic:spPr bwMode="auto">
                    <a:xfrm>
                      <a:off x="0" y="0"/>
                      <a:ext cx="5266055" cy="297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DAFF71" w14:textId="34E44660" w:rsidR="00813B68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  <w:sectPr w:rsidR="00813B68" w:rsidRPr="0035454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54545">
        <w:rPr>
          <w:rFonts w:ascii="Times New Roman" w:eastAsia="宋体" w:hAnsi="Times New Roman" w:cs="Times New Roman"/>
          <w:b/>
          <w:bCs/>
          <w:sz w:val="24"/>
        </w:rPr>
        <w:t>Figure S6</w:t>
      </w:r>
      <w:r w:rsidRPr="00354545">
        <w:rPr>
          <w:rFonts w:ascii="Times New Roman" w:eastAsia="宋体" w:hAnsi="Times New Roman" w:cs="Times New Roman"/>
          <w:sz w:val="24"/>
        </w:rPr>
        <w:t xml:space="preserve">. (A) PCA analysis of metabolome. (B) Heatmap of differential metabolites between the control condition and 5-FU treatment conditions. (C) The top 20 KEGG pathways of </w:t>
      </w:r>
      <w:bookmarkStart w:id="12" w:name="_Hlk69953419"/>
      <w:r w:rsidRPr="00354545">
        <w:rPr>
          <w:rFonts w:ascii="Times New Roman" w:eastAsia="宋体" w:hAnsi="Times New Roman" w:cs="Times New Roman"/>
          <w:sz w:val="24"/>
        </w:rPr>
        <w:t xml:space="preserve">metabolome </w:t>
      </w:r>
      <w:bookmarkEnd w:id="12"/>
      <w:r w:rsidRPr="00354545">
        <w:rPr>
          <w:rFonts w:ascii="Times New Roman" w:eastAsia="宋体" w:hAnsi="Times New Roman" w:cs="Times New Roman"/>
          <w:sz w:val="24"/>
        </w:rPr>
        <w:t>between the control condition and 5-FU treatment (sorted according to the -log10 p-value</w:t>
      </w:r>
      <w:r w:rsidR="00E45E11" w:rsidRPr="00354545">
        <w:rPr>
          <w:rFonts w:ascii="Times New Roman" w:eastAsia="宋体" w:hAnsi="Times New Roman" w:cs="Times New Roman"/>
          <w:sz w:val="24"/>
        </w:rPr>
        <w:t>).</w:t>
      </w:r>
    </w:p>
    <w:p w14:paraId="45350548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  <w:r w:rsidRPr="00354545">
        <w:rPr>
          <w:rFonts w:ascii="Times New Roman" w:eastAsia="宋体" w:hAnsi="Times New Roman" w:cs="Times New Roman"/>
          <w:b/>
          <w:bCs/>
          <w:noProof/>
          <w:sz w:val="28"/>
          <w:szCs w:val="24"/>
        </w:rPr>
        <w:lastRenderedPageBreak/>
        <w:t>Supplementary tables</w:t>
      </w:r>
    </w:p>
    <w:p w14:paraId="1E188675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  <w:bookmarkStart w:id="13" w:name="_Hlk68534141"/>
      <w:r w:rsidRPr="00354545">
        <w:rPr>
          <w:rFonts w:ascii="Times New Roman" w:eastAsia="宋体" w:hAnsi="Times New Roman" w:cs="Times New Roman"/>
          <w:b/>
          <w:color w:val="000000"/>
          <w:sz w:val="24"/>
          <w:szCs w:val="24"/>
        </w:rPr>
        <w:t xml:space="preserve">Table S1. </w:t>
      </w:r>
      <w:r w:rsidRPr="00354545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Primer sequences in this study.</w:t>
      </w:r>
    </w:p>
    <w:tbl>
      <w:tblPr>
        <w:tblStyle w:val="a"/>
        <w:tblW w:w="5085" w:type="pct"/>
        <w:tblLook w:val="04A0" w:firstRow="1" w:lastRow="0" w:firstColumn="1" w:lastColumn="0" w:noHBand="0" w:noVBand="1"/>
      </w:tblPr>
      <w:tblGrid>
        <w:gridCol w:w="1757"/>
        <w:gridCol w:w="4543"/>
        <w:gridCol w:w="2147"/>
      </w:tblGrid>
      <w:tr w:rsidR="002E3E61" w:rsidRPr="00354545" w14:paraId="192270DC" w14:textId="77777777" w:rsidTr="00E260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1040" w:type="pct"/>
          </w:tcPr>
          <w:p w14:paraId="2DEAEE2D" w14:textId="77777777" w:rsidR="002E3E61" w:rsidRPr="00354545" w:rsidRDefault="002E3E61" w:rsidP="00E301C4">
            <w:pPr>
              <w:pStyle w:val="a0"/>
              <w:jc w:val="both"/>
              <w:rPr>
                <w:rFonts w:cs="Times New Roman"/>
                <w:szCs w:val="21"/>
              </w:rPr>
            </w:pPr>
            <w:r w:rsidRPr="00354545">
              <w:rPr>
                <w:rFonts w:cs="Times New Roman"/>
                <w:b/>
                <w:color w:val="000000"/>
                <w:szCs w:val="21"/>
              </w:rPr>
              <w:t>Primer name</w:t>
            </w:r>
          </w:p>
        </w:tc>
        <w:tc>
          <w:tcPr>
            <w:tcW w:w="2689" w:type="pct"/>
          </w:tcPr>
          <w:p w14:paraId="28C00C9D" w14:textId="77777777" w:rsidR="002E3E61" w:rsidRPr="00354545" w:rsidRDefault="002E3E61" w:rsidP="00E301C4">
            <w:pPr>
              <w:pStyle w:val="a0"/>
              <w:jc w:val="both"/>
              <w:rPr>
                <w:rFonts w:cs="Times New Roman"/>
                <w:szCs w:val="21"/>
              </w:rPr>
            </w:pPr>
            <w:r w:rsidRPr="00354545">
              <w:rPr>
                <w:rFonts w:cs="Times New Roman"/>
                <w:b/>
                <w:color w:val="000000"/>
                <w:szCs w:val="21"/>
              </w:rPr>
              <w:t>Primer sequence</w:t>
            </w:r>
          </w:p>
        </w:tc>
        <w:tc>
          <w:tcPr>
            <w:tcW w:w="1271" w:type="pct"/>
          </w:tcPr>
          <w:p w14:paraId="6AB0BBD3" w14:textId="77777777" w:rsidR="002E3E61" w:rsidRPr="00354545" w:rsidRDefault="002E3E61" w:rsidP="00E301C4">
            <w:pPr>
              <w:pStyle w:val="a0"/>
              <w:jc w:val="both"/>
              <w:rPr>
                <w:rFonts w:cs="Times New Roman"/>
                <w:b/>
                <w:szCs w:val="21"/>
              </w:rPr>
            </w:pPr>
            <w:r w:rsidRPr="00354545">
              <w:rPr>
                <w:rFonts w:cs="Times New Roman"/>
                <w:b/>
                <w:szCs w:val="21"/>
              </w:rPr>
              <w:t>Product length (bp)</w:t>
            </w:r>
          </w:p>
        </w:tc>
      </w:tr>
      <w:tr w:rsidR="002E3E61" w:rsidRPr="00354545" w14:paraId="4823C0BF" w14:textId="77777777" w:rsidTr="00E26098">
        <w:trPr>
          <w:trHeight w:val="624"/>
        </w:trPr>
        <w:tc>
          <w:tcPr>
            <w:tcW w:w="1040" w:type="pct"/>
            <w:hideMark/>
          </w:tcPr>
          <w:p w14:paraId="59506E47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kern w:val="2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GLUT1-F</w:t>
            </w:r>
          </w:p>
          <w:p w14:paraId="7DA38922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GLUT1-R</w:t>
            </w:r>
          </w:p>
        </w:tc>
        <w:tc>
          <w:tcPr>
            <w:tcW w:w="2689" w:type="pct"/>
            <w:hideMark/>
          </w:tcPr>
          <w:p w14:paraId="05D0DA69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CTGGCATCAACGCTGTCTTC</w:t>
            </w:r>
          </w:p>
          <w:p w14:paraId="3857A7C4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AACAGCGACACGACAGTGAA</w:t>
            </w:r>
          </w:p>
        </w:tc>
        <w:tc>
          <w:tcPr>
            <w:tcW w:w="1271" w:type="pct"/>
            <w:hideMark/>
          </w:tcPr>
          <w:p w14:paraId="15CBD7D5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kern w:val="2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124</w:t>
            </w:r>
          </w:p>
        </w:tc>
      </w:tr>
      <w:tr w:rsidR="002E3E61" w:rsidRPr="00354545" w14:paraId="0C8E2CFF" w14:textId="77777777" w:rsidTr="00E26098">
        <w:trPr>
          <w:trHeight w:val="624"/>
        </w:trPr>
        <w:tc>
          <w:tcPr>
            <w:tcW w:w="1040" w:type="pct"/>
            <w:hideMark/>
          </w:tcPr>
          <w:p w14:paraId="1EA64C56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LDHA-F</w:t>
            </w:r>
          </w:p>
          <w:p w14:paraId="6CCB36C3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LDHA-R</w:t>
            </w:r>
          </w:p>
        </w:tc>
        <w:tc>
          <w:tcPr>
            <w:tcW w:w="2689" w:type="pct"/>
            <w:hideMark/>
          </w:tcPr>
          <w:p w14:paraId="4B00C788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AGCTGTTCCACTTAAGGCCC</w:t>
            </w:r>
          </w:p>
          <w:p w14:paraId="77F38D6F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TGGAACCAAAAGGAATCGGGA</w:t>
            </w:r>
          </w:p>
        </w:tc>
        <w:tc>
          <w:tcPr>
            <w:tcW w:w="1271" w:type="pct"/>
            <w:hideMark/>
          </w:tcPr>
          <w:p w14:paraId="5585E424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kern w:val="2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129</w:t>
            </w:r>
          </w:p>
        </w:tc>
      </w:tr>
      <w:tr w:rsidR="002E3E61" w:rsidRPr="00354545" w14:paraId="3D5E06F2" w14:textId="77777777" w:rsidTr="00E26098">
        <w:trPr>
          <w:trHeight w:val="624"/>
        </w:trPr>
        <w:tc>
          <w:tcPr>
            <w:tcW w:w="1040" w:type="pct"/>
            <w:hideMark/>
          </w:tcPr>
          <w:p w14:paraId="4560E60A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PFK1-F</w:t>
            </w:r>
          </w:p>
          <w:p w14:paraId="3165D856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PFK1-R</w:t>
            </w:r>
          </w:p>
        </w:tc>
        <w:tc>
          <w:tcPr>
            <w:tcW w:w="2689" w:type="pct"/>
            <w:hideMark/>
          </w:tcPr>
          <w:p w14:paraId="2B2938C1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TGCCCAAGGTATGAATGCTG</w:t>
            </w:r>
          </w:p>
          <w:p w14:paraId="677311F6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ACGCTTCACCAGGTTGTAGG</w:t>
            </w:r>
          </w:p>
        </w:tc>
        <w:tc>
          <w:tcPr>
            <w:tcW w:w="1271" w:type="pct"/>
            <w:hideMark/>
          </w:tcPr>
          <w:p w14:paraId="44850001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kern w:val="2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247</w:t>
            </w:r>
          </w:p>
        </w:tc>
      </w:tr>
      <w:tr w:rsidR="002E3E61" w:rsidRPr="00354545" w14:paraId="5A7ADB39" w14:textId="77777777" w:rsidTr="00E26098">
        <w:trPr>
          <w:trHeight w:val="624"/>
        </w:trPr>
        <w:tc>
          <w:tcPr>
            <w:tcW w:w="1040" w:type="pct"/>
            <w:hideMark/>
          </w:tcPr>
          <w:p w14:paraId="5B3D50EC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DYPD-F</w:t>
            </w:r>
          </w:p>
          <w:p w14:paraId="5A5653DC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DYPD-R</w:t>
            </w:r>
          </w:p>
        </w:tc>
        <w:tc>
          <w:tcPr>
            <w:tcW w:w="2689" w:type="pct"/>
            <w:hideMark/>
          </w:tcPr>
          <w:p w14:paraId="3CDC0EDE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ACTCTGTGTTCCACTTCGGC</w:t>
            </w:r>
          </w:p>
          <w:p w14:paraId="61331C5C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CAGGCATCTCATTGCTTCTCG</w:t>
            </w:r>
          </w:p>
        </w:tc>
        <w:tc>
          <w:tcPr>
            <w:tcW w:w="1271" w:type="pct"/>
            <w:hideMark/>
          </w:tcPr>
          <w:p w14:paraId="00D3DABB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162</w:t>
            </w:r>
          </w:p>
        </w:tc>
      </w:tr>
      <w:tr w:rsidR="002E3E61" w:rsidRPr="00354545" w14:paraId="7744EB97" w14:textId="77777777" w:rsidTr="00E26098">
        <w:trPr>
          <w:trHeight w:val="624"/>
        </w:trPr>
        <w:tc>
          <w:tcPr>
            <w:tcW w:w="1040" w:type="pct"/>
            <w:hideMark/>
          </w:tcPr>
          <w:p w14:paraId="363908C1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TYMS-F</w:t>
            </w:r>
          </w:p>
          <w:p w14:paraId="45119A65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TYMS-R</w:t>
            </w:r>
          </w:p>
        </w:tc>
        <w:tc>
          <w:tcPr>
            <w:tcW w:w="2689" w:type="pct"/>
            <w:hideMark/>
          </w:tcPr>
          <w:p w14:paraId="4F5CFD11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GTTGCTGTGGTTTATCAAGGGAT</w:t>
            </w:r>
          </w:p>
          <w:p w14:paraId="3D654FFD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kern w:val="2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TGGTCAACTCCCTGTCCTGA</w:t>
            </w:r>
          </w:p>
        </w:tc>
        <w:tc>
          <w:tcPr>
            <w:tcW w:w="1271" w:type="pct"/>
            <w:hideMark/>
          </w:tcPr>
          <w:p w14:paraId="72BA7C71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219</w:t>
            </w:r>
          </w:p>
        </w:tc>
      </w:tr>
      <w:tr w:rsidR="002E3E61" w:rsidRPr="00354545" w14:paraId="4DF5DE7E" w14:textId="77777777" w:rsidTr="00E26098">
        <w:trPr>
          <w:trHeight w:val="624"/>
        </w:trPr>
        <w:tc>
          <w:tcPr>
            <w:tcW w:w="1040" w:type="pct"/>
            <w:hideMark/>
          </w:tcPr>
          <w:p w14:paraId="2A0EF977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LAPTM4B-F</w:t>
            </w:r>
          </w:p>
          <w:p w14:paraId="1B851C94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LAPTM4B-R</w:t>
            </w:r>
          </w:p>
        </w:tc>
        <w:tc>
          <w:tcPr>
            <w:tcW w:w="2689" w:type="pct"/>
            <w:hideMark/>
          </w:tcPr>
          <w:p w14:paraId="5CA62524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GGAGCGATGAAGATGGTCGC</w:t>
            </w:r>
          </w:p>
          <w:p w14:paraId="6CEBCBF0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kern w:val="2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ATGCACATGTTGGCATCATCC</w:t>
            </w:r>
          </w:p>
        </w:tc>
        <w:tc>
          <w:tcPr>
            <w:tcW w:w="1271" w:type="pct"/>
            <w:hideMark/>
          </w:tcPr>
          <w:p w14:paraId="2CFBABAD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227</w:t>
            </w:r>
          </w:p>
        </w:tc>
      </w:tr>
      <w:tr w:rsidR="002E3E61" w:rsidRPr="00354545" w14:paraId="0369B7D0" w14:textId="77777777" w:rsidTr="00E26098">
        <w:trPr>
          <w:trHeight w:val="624"/>
        </w:trPr>
        <w:tc>
          <w:tcPr>
            <w:tcW w:w="1040" w:type="pct"/>
            <w:hideMark/>
          </w:tcPr>
          <w:p w14:paraId="6C656F06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BCL2-F</w:t>
            </w:r>
          </w:p>
          <w:p w14:paraId="0A611E90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BCL2-R</w:t>
            </w:r>
          </w:p>
        </w:tc>
        <w:tc>
          <w:tcPr>
            <w:tcW w:w="2689" w:type="pct"/>
            <w:hideMark/>
          </w:tcPr>
          <w:p w14:paraId="4ADE24A6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TCATGTGTGTGGAGAGCGTC</w:t>
            </w:r>
          </w:p>
          <w:p w14:paraId="4730BFD5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kern w:val="2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TCCACAAAGGCATCCCAGC</w:t>
            </w:r>
          </w:p>
        </w:tc>
        <w:tc>
          <w:tcPr>
            <w:tcW w:w="1271" w:type="pct"/>
            <w:hideMark/>
          </w:tcPr>
          <w:p w14:paraId="343C2BD1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133</w:t>
            </w:r>
          </w:p>
        </w:tc>
      </w:tr>
      <w:tr w:rsidR="002E3E61" w:rsidRPr="00354545" w14:paraId="5A392E4F" w14:textId="77777777" w:rsidTr="00E26098">
        <w:trPr>
          <w:trHeight w:val="624"/>
        </w:trPr>
        <w:tc>
          <w:tcPr>
            <w:tcW w:w="1040" w:type="pct"/>
            <w:hideMark/>
          </w:tcPr>
          <w:p w14:paraId="09BD5399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BAX-F</w:t>
            </w:r>
          </w:p>
          <w:p w14:paraId="3F3CCE6D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BAX-R</w:t>
            </w:r>
          </w:p>
        </w:tc>
        <w:tc>
          <w:tcPr>
            <w:tcW w:w="2689" w:type="pct"/>
            <w:hideMark/>
          </w:tcPr>
          <w:p w14:paraId="1AC80E22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AACATGGAGCTGCAGAGGATG</w:t>
            </w:r>
          </w:p>
          <w:p w14:paraId="07D2DC5C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kern w:val="2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GGGACATCAGTCGCTTCAGT</w:t>
            </w:r>
          </w:p>
        </w:tc>
        <w:tc>
          <w:tcPr>
            <w:tcW w:w="1271" w:type="pct"/>
            <w:hideMark/>
          </w:tcPr>
          <w:p w14:paraId="3F5C7D21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298</w:t>
            </w:r>
          </w:p>
        </w:tc>
      </w:tr>
      <w:tr w:rsidR="002E3E61" w:rsidRPr="00354545" w14:paraId="72B28D66" w14:textId="77777777" w:rsidTr="00E26098">
        <w:trPr>
          <w:trHeight w:val="624"/>
        </w:trPr>
        <w:tc>
          <w:tcPr>
            <w:tcW w:w="1040" w:type="pct"/>
            <w:hideMark/>
          </w:tcPr>
          <w:p w14:paraId="5EB265F0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MTOR-F</w:t>
            </w:r>
          </w:p>
          <w:p w14:paraId="7CFD8ED6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MTOR-R</w:t>
            </w:r>
          </w:p>
        </w:tc>
        <w:tc>
          <w:tcPr>
            <w:tcW w:w="2689" w:type="pct"/>
            <w:hideMark/>
          </w:tcPr>
          <w:p w14:paraId="265DA21A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ATCTTGGCCATAGCTAGCCTC</w:t>
            </w:r>
          </w:p>
          <w:p w14:paraId="71208ABF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kern w:val="2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ACAACTGGGTCATTGGAGGG</w:t>
            </w:r>
          </w:p>
        </w:tc>
        <w:tc>
          <w:tcPr>
            <w:tcW w:w="1271" w:type="pct"/>
            <w:hideMark/>
          </w:tcPr>
          <w:p w14:paraId="0877B049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107</w:t>
            </w:r>
          </w:p>
        </w:tc>
      </w:tr>
      <w:tr w:rsidR="002E3E61" w:rsidRPr="00354545" w14:paraId="4D1D4D4B" w14:textId="77777777" w:rsidTr="00E26098">
        <w:trPr>
          <w:trHeight w:val="624"/>
        </w:trPr>
        <w:tc>
          <w:tcPr>
            <w:tcW w:w="1040" w:type="pct"/>
            <w:hideMark/>
          </w:tcPr>
          <w:p w14:paraId="46E77AB0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VEGFA-F</w:t>
            </w:r>
          </w:p>
          <w:p w14:paraId="395A9CDC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VEGFA-R</w:t>
            </w:r>
          </w:p>
        </w:tc>
        <w:tc>
          <w:tcPr>
            <w:tcW w:w="2689" w:type="pct"/>
            <w:hideMark/>
          </w:tcPr>
          <w:p w14:paraId="6440857A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GCAGCTTGAGTTAAACGAACG</w:t>
            </w:r>
          </w:p>
          <w:p w14:paraId="1A4D8632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kern w:val="2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GGTTCCCGAAACCCTGAG</w:t>
            </w:r>
          </w:p>
        </w:tc>
        <w:tc>
          <w:tcPr>
            <w:tcW w:w="1271" w:type="pct"/>
            <w:hideMark/>
          </w:tcPr>
          <w:p w14:paraId="2B21DCB8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94</w:t>
            </w:r>
          </w:p>
        </w:tc>
      </w:tr>
      <w:tr w:rsidR="002E3E61" w:rsidRPr="00354545" w14:paraId="01A41A11" w14:textId="77777777" w:rsidTr="00E26098">
        <w:trPr>
          <w:trHeight w:val="624"/>
        </w:trPr>
        <w:tc>
          <w:tcPr>
            <w:tcW w:w="1040" w:type="pct"/>
            <w:hideMark/>
          </w:tcPr>
          <w:p w14:paraId="782B16E7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TGFB1-F</w:t>
            </w:r>
          </w:p>
          <w:p w14:paraId="281A81E6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TGFB1-R</w:t>
            </w:r>
          </w:p>
        </w:tc>
        <w:tc>
          <w:tcPr>
            <w:tcW w:w="2689" w:type="pct"/>
            <w:hideMark/>
          </w:tcPr>
          <w:p w14:paraId="1BF61046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ACGTGGAGCTGTACCAGAAAT</w:t>
            </w:r>
          </w:p>
          <w:p w14:paraId="49DB1E5A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kern w:val="2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TGAACCCGTTGATGTCCACT</w:t>
            </w:r>
          </w:p>
        </w:tc>
        <w:tc>
          <w:tcPr>
            <w:tcW w:w="1271" w:type="pct"/>
            <w:hideMark/>
          </w:tcPr>
          <w:p w14:paraId="76284320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219</w:t>
            </w:r>
          </w:p>
        </w:tc>
      </w:tr>
      <w:tr w:rsidR="002E3E61" w:rsidRPr="00354545" w14:paraId="43DD79D1" w14:textId="77777777" w:rsidTr="00E26098">
        <w:trPr>
          <w:trHeight w:val="624"/>
        </w:trPr>
        <w:tc>
          <w:tcPr>
            <w:tcW w:w="1040" w:type="pct"/>
            <w:hideMark/>
          </w:tcPr>
          <w:p w14:paraId="0F889FF9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kern w:val="2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MET-F</w:t>
            </w:r>
          </w:p>
          <w:p w14:paraId="076DC3DE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MET-R</w:t>
            </w:r>
          </w:p>
        </w:tc>
        <w:tc>
          <w:tcPr>
            <w:tcW w:w="2689" w:type="pct"/>
            <w:hideMark/>
          </w:tcPr>
          <w:p w14:paraId="18FFC14D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TGGGCACCGAAAGATAAACCT</w:t>
            </w:r>
          </w:p>
          <w:p w14:paraId="26A77829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kern w:val="2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TCTCGGACTTTGCTAGTGCC</w:t>
            </w:r>
          </w:p>
        </w:tc>
        <w:tc>
          <w:tcPr>
            <w:tcW w:w="1271" w:type="pct"/>
            <w:hideMark/>
          </w:tcPr>
          <w:p w14:paraId="01B97C2D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130</w:t>
            </w:r>
          </w:p>
        </w:tc>
      </w:tr>
      <w:tr w:rsidR="002E3E61" w:rsidRPr="00354545" w14:paraId="7C0A742E" w14:textId="77777777" w:rsidTr="00E26098">
        <w:trPr>
          <w:trHeight w:val="624"/>
        </w:trPr>
        <w:tc>
          <w:tcPr>
            <w:tcW w:w="1040" w:type="pct"/>
            <w:hideMark/>
          </w:tcPr>
          <w:p w14:paraId="2297103F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CD44-F</w:t>
            </w:r>
          </w:p>
          <w:p w14:paraId="1857145C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CD44-R</w:t>
            </w:r>
          </w:p>
        </w:tc>
        <w:tc>
          <w:tcPr>
            <w:tcW w:w="2689" w:type="pct"/>
            <w:hideMark/>
          </w:tcPr>
          <w:p w14:paraId="5FB4CE3C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CCCTGCTACCAATAGGAATGATGT</w:t>
            </w:r>
          </w:p>
          <w:p w14:paraId="3658B235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kern w:val="2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GCTTTCCTTCGTGTGTGGGT</w:t>
            </w:r>
          </w:p>
        </w:tc>
        <w:tc>
          <w:tcPr>
            <w:tcW w:w="1271" w:type="pct"/>
            <w:hideMark/>
          </w:tcPr>
          <w:p w14:paraId="03B97000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115</w:t>
            </w:r>
          </w:p>
        </w:tc>
      </w:tr>
      <w:tr w:rsidR="002E3E61" w:rsidRPr="00354545" w14:paraId="5DC2F8D7" w14:textId="77777777" w:rsidTr="00E26098">
        <w:trPr>
          <w:trHeight w:val="624"/>
        </w:trPr>
        <w:tc>
          <w:tcPr>
            <w:tcW w:w="1040" w:type="pct"/>
            <w:hideMark/>
          </w:tcPr>
          <w:p w14:paraId="38181427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ITGB1-F</w:t>
            </w:r>
          </w:p>
          <w:p w14:paraId="0EC9F75C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ITGB1-R</w:t>
            </w:r>
          </w:p>
        </w:tc>
        <w:tc>
          <w:tcPr>
            <w:tcW w:w="2689" w:type="pct"/>
            <w:hideMark/>
          </w:tcPr>
          <w:p w14:paraId="75233A11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CCGCGCGGAAAAGATGAAT</w:t>
            </w:r>
          </w:p>
          <w:p w14:paraId="6377A079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ATGTCATCTGGAGGGCAACC</w:t>
            </w:r>
          </w:p>
        </w:tc>
        <w:tc>
          <w:tcPr>
            <w:tcW w:w="1271" w:type="pct"/>
            <w:hideMark/>
          </w:tcPr>
          <w:p w14:paraId="7F543D5C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252</w:t>
            </w:r>
          </w:p>
        </w:tc>
      </w:tr>
      <w:tr w:rsidR="002E3E61" w:rsidRPr="00354545" w14:paraId="3EA58C94" w14:textId="77777777" w:rsidTr="00E26098">
        <w:trPr>
          <w:trHeight w:val="624"/>
        </w:trPr>
        <w:tc>
          <w:tcPr>
            <w:tcW w:w="1040" w:type="pct"/>
            <w:hideMark/>
          </w:tcPr>
          <w:p w14:paraId="1BD14B37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FN1-F</w:t>
            </w:r>
          </w:p>
          <w:p w14:paraId="473F412A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FN1-R</w:t>
            </w:r>
          </w:p>
        </w:tc>
        <w:tc>
          <w:tcPr>
            <w:tcW w:w="2689" w:type="pct"/>
            <w:hideMark/>
          </w:tcPr>
          <w:p w14:paraId="60B3CD56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TTGCTCCTGCACATGCTTTG</w:t>
            </w:r>
          </w:p>
          <w:p w14:paraId="6CD9375A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TCGGGAATCTTCTCTGTCAGC</w:t>
            </w:r>
          </w:p>
        </w:tc>
        <w:tc>
          <w:tcPr>
            <w:tcW w:w="1271" w:type="pct"/>
            <w:hideMark/>
          </w:tcPr>
          <w:p w14:paraId="642D731A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208</w:t>
            </w:r>
          </w:p>
        </w:tc>
      </w:tr>
      <w:tr w:rsidR="002E3E61" w:rsidRPr="00354545" w14:paraId="1D20D28E" w14:textId="77777777" w:rsidTr="00E26098">
        <w:trPr>
          <w:trHeight w:val="624"/>
        </w:trPr>
        <w:tc>
          <w:tcPr>
            <w:tcW w:w="1040" w:type="pct"/>
            <w:hideMark/>
          </w:tcPr>
          <w:p w14:paraId="700EE553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LAMB1-F</w:t>
            </w:r>
          </w:p>
          <w:p w14:paraId="0680A003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LAMB1-R</w:t>
            </w:r>
          </w:p>
        </w:tc>
        <w:tc>
          <w:tcPr>
            <w:tcW w:w="2689" w:type="pct"/>
            <w:hideMark/>
          </w:tcPr>
          <w:p w14:paraId="0F873423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CGGAAAGGAAGACGGGAAGAA</w:t>
            </w:r>
          </w:p>
          <w:p w14:paraId="50E7DA29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TGCACAGGGCTAAGAAACTGAA</w:t>
            </w:r>
          </w:p>
        </w:tc>
        <w:tc>
          <w:tcPr>
            <w:tcW w:w="1271" w:type="pct"/>
            <w:hideMark/>
          </w:tcPr>
          <w:p w14:paraId="69A9409E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135</w:t>
            </w:r>
          </w:p>
        </w:tc>
      </w:tr>
      <w:tr w:rsidR="002E3E61" w:rsidRPr="00354545" w14:paraId="5DD66486" w14:textId="77777777" w:rsidTr="00E26098">
        <w:trPr>
          <w:trHeight w:val="624"/>
        </w:trPr>
        <w:tc>
          <w:tcPr>
            <w:tcW w:w="1040" w:type="pct"/>
            <w:hideMark/>
          </w:tcPr>
          <w:p w14:paraId="0F3A4D4F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HIF1A-F</w:t>
            </w:r>
          </w:p>
          <w:p w14:paraId="4AB47A42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HIF1A-R</w:t>
            </w:r>
          </w:p>
        </w:tc>
        <w:tc>
          <w:tcPr>
            <w:tcW w:w="2689" w:type="pct"/>
            <w:hideMark/>
          </w:tcPr>
          <w:p w14:paraId="08C3166A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TTTTGGCAGCAACGACACAG</w:t>
            </w:r>
          </w:p>
          <w:p w14:paraId="3F3F8B38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GTGCAGGGTCAGCACTACTT</w:t>
            </w:r>
          </w:p>
        </w:tc>
        <w:tc>
          <w:tcPr>
            <w:tcW w:w="1271" w:type="pct"/>
            <w:hideMark/>
          </w:tcPr>
          <w:p w14:paraId="03CCAB5B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173</w:t>
            </w:r>
          </w:p>
        </w:tc>
      </w:tr>
      <w:tr w:rsidR="002E3E61" w:rsidRPr="00354545" w14:paraId="1C50D975" w14:textId="77777777" w:rsidTr="00E26098">
        <w:trPr>
          <w:trHeight w:val="624"/>
        </w:trPr>
        <w:tc>
          <w:tcPr>
            <w:tcW w:w="1040" w:type="pct"/>
            <w:hideMark/>
          </w:tcPr>
          <w:p w14:paraId="04DB57CD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MYC-F</w:t>
            </w:r>
          </w:p>
          <w:p w14:paraId="6DC41542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MYC-R</w:t>
            </w:r>
          </w:p>
        </w:tc>
        <w:tc>
          <w:tcPr>
            <w:tcW w:w="2689" w:type="pct"/>
            <w:hideMark/>
          </w:tcPr>
          <w:p w14:paraId="16707140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GTAGTGGAAAACCAGCAGCCTC</w:t>
            </w:r>
          </w:p>
          <w:p w14:paraId="72B569DB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AATACGGCTGCACCGAGTC</w:t>
            </w:r>
          </w:p>
        </w:tc>
        <w:tc>
          <w:tcPr>
            <w:tcW w:w="1271" w:type="pct"/>
            <w:hideMark/>
          </w:tcPr>
          <w:p w14:paraId="34AAECF2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97</w:t>
            </w:r>
          </w:p>
        </w:tc>
      </w:tr>
      <w:tr w:rsidR="002E3E61" w:rsidRPr="00354545" w14:paraId="21971B7A" w14:textId="77777777" w:rsidTr="00E26098">
        <w:trPr>
          <w:trHeight w:val="624"/>
        </w:trPr>
        <w:tc>
          <w:tcPr>
            <w:tcW w:w="1040" w:type="pct"/>
            <w:hideMark/>
          </w:tcPr>
          <w:p w14:paraId="64B3134D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ABCB1-F</w:t>
            </w:r>
          </w:p>
          <w:p w14:paraId="44F85AD9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ABCB1-R</w:t>
            </w:r>
          </w:p>
        </w:tc>
        <w:tc>
          <w:tcPr>
            <w:tcW w:w="2689" w:type="pct"/>
            <w:hideMark/>
          </w:tcPr>
          <w:p w14:paraId="06C20390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CAGAGGGGATGGTCAGTGTT</w:t>
            </w:r>
          </w:p>
          <w:p w14:paraId="5C0F5EC9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CCTGACTCACCACACCAATG</w:t>
            </w:r>
          </w:p>
        </w:tc>
        <w:tc>
          <w:tcPr>
            <w:tcW w:w="1271" w:type="pct"/>
            <w:hideMark/>
          </w:tcPr>
          <w:p w14:paraId="54B43D0E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87</w:t>
            </w:r>
          </w:p>
        </w:tc>
      </w:tr>
      <w:tr w:rsidR="002E3E61" w:rsidRPr="00354545" w14:paraId="35E9D177" w14:textId="77777777" w:rsidTr="00E26098">
        <w:trPr>
          <w:trHeight w:val="624"/>
        </w:trPr>
        <w:tc>
          <w:tcPr>
            <w:tcW w:w="1040" w:type="pct"/>
            <w:hideMark/>
          </w:tcPr>
          <w:p w14:paraId="3D05E58C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lastRenderedPageBreak/>
              <w:t>ABCG2-F</w:t>
            </w:r>
          </w:p>
          <w:p w14:paraId="2643F79D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ABCG2-R</w:t>
            </w:r>
          </w:p>
        </w:tc>
        <w:tc>
          <w:tcPr>
            <w:tcW w:w="2689" w:type="pct"/>
            <w:hideMark/>
          </w:tcPr>
          <w:p w14:paraId="187F0E04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AAACCTGGTCTCAACGCCATC</w:t>
            </w:r>
          </w:p>
          <w:p w14:paraId="5D4969F8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TTCTCTCACCGTCAGAGTGCC</w:t>
            </w:r>
          </w:p>
        </w:tc>
        <w:tc>
          <w:tcPr>
            <w:tcW w:w="1271" w:type="pct"/>
            <w:hideMark/>
          </w:tcPr>
          <w:p w14:paraId="647349F9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201</w:t>
            </w:r>
          </w:p>
        </w:tc>
      </w:tr>
      <w:tr w:rsidR="002E3E61" w:rsidRPr="00354545" w14:paraId="2D852D1A" w14:textId="77777777" w:rsidTr="00E26098">
        <w:trPr>
          <w:trHeight w:val="624"/>
        </w:trPr>
        <w:tc>
          <w:tcPr>
            <w:tcW w:w="1040" w:type="pct"/>
            <w:hideMark/>
          </w:tcPr>
          <w:p w14:paraId="66158D4E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VIM-F</w:t>
            </w:r>
          </w:p>
          <w:p w14:paraId="63DAE9B0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VIM-R</w:t>
            </w:r>
          </w:p>
        </w:tc>
        <w:tc>
          <w:tcPr>
            <w:tcW w:w="2689" w:type="pct"/>
            <w:hideMark/>
          </w:tcPr>
          <w:p w14:paraId="6043E48B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GGACCAGCTAACCAACGACA</w:t>
            </w:r>
          </w:p>
          <w:p w14:paraId="27A3A002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GCAGCTCCTGGATTTCCTCT</w:t>
            </w:r>
          </w:p>
        </w:tc>
        <w:tc>
          <w:tcPr>
            <w:tcW w:w="1271" w:type="pct"/>
            <w:hideMark/>
          </w:tcPr>
          <w:p w14:paraId="4B3E3BB3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254</w:t>
            </w:r>
          </w:p>
        </w:tc>
      </w:tr>
      <w:tr w:rsidR="002E3E61" w:rsidRPr="00354545" w14:paraId="3B71C473" w14:textId="77777777" w:rsidTr="00E26098">
        <w:trPr>
          <w:trHeight w:val="624"/>
        </w:trPr>
        <w:tc>
          <w:tcPr>
            <w:tcW w:w="1040" w:type="pct"/>
            <w:hideMark/>
          </w:tcPr>
          <w:p w14:paraId="69200793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ACTB-F</w:t>
            </w:r>
          </w:p>
          <w:p w14:paraId="0CCF7709" w14:textId="77777777" w:rsidR="002E3E61" w:rsidRPr="00354545" w:rsidRDefault="002E3E61" w:rsidP="00E301C4">
            <w:pPr>
              <w:jc w:val="both"/>
              <w:rPr>
                <w:rFonts w:cs="Times New Roman"/>
                <w:i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i/>
                <w:color w:val="000000"/>
                <w:sz w:val="21"/>
                <w:szCs w:val="21"/>
              </w:rPr>
              <w:t>ACTB-R</w:t>
            </w:r>
          </w:p>
        </w:tc>
        <w:tc>
          <w:tcPr>
            <w:tcW w:w="2689" w:type="pct"/>
            <w:hideMark/>
          </w:tcPr>
          <w:p w14:paraId="0E164593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CTGGAACGGTGAAGGTGACA</w:t>
            </w:r>
          </w:p>
          <w:p w14:paraId="0777DFD0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AAGGGACTTCCTGTAACAACGCA</w:t>
            </w:r>
          </w:p>
        </w:tc>
        <w:tc>
          <w:tcPr>
            <w:tcW w:w="1271" w:type="pct"/>
            <w:hideMark/>
          </w:tcPr>
          <w:p w14:paraId="1CD1E603" w14:textId="77777777" w:rsidR="002E3E61" w:rsidRPr="00354545" w:rsidRDefault="002E3E61" w:rsidP="00E301C4">
            <w:pPr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140</w:t>
            </w:r>
          </w:p>
        </w:tc>
      </w:tr>
    </w:tbl>
    <w:p w14:paraId="168A54EF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color w:val="000000"/>
        </w:rPr>
      </w:pPr>
    </w:p>
    <w:p w14:paraId="53E9108B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color w:val="000000"/>
        </w:rPr>
      </w:pPr>
    </w:p>
    <w:p w14:paraId="2F2C756C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bCs/>
          <w:sz w:val="24"/>
        </w:rPr>
        <w:sectPr w:rsidR="002E3E61" w:rsidRPr="0035454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7A16A4D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  <w:vertAlign w:val="superscript"/>
        </w:rPr>
      </w:pPr>
      <w:r w:rsidRPr="00354545">
        <w:rPr>
          <w:rFonts w:ascii="Times New Roman" w:eastAsia="宋体" w:hAnsi="Times New Roman" w:cs="Times New Roman"/>
          <w:b/>
          <w:bCs/>
          <w:sz w:val="24"/>
        </w:rPr>
        <w:lastRenderedPageBreak/>
        <w:t>Table S2</w:t>
      </w:r>
      <w:r w:rsidRPr="00354545">
        <w:rPr>
          <w:rFonts w:ascii="Times New Roman" w:eastAsia="宋体" w:hAnsi="Times New Roman" w:cs="Times New Roman"/>
          <w:sz w:val="24"/>
        </w:rPr>
        <w:t>. Screening results of MTSs culture conditions.</w:t>
      </w:r>
    </w:p>
    <w:p w14:paraId="66780368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color w:val="00000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40"/>
        <w:gridCol w:w="5400"/>
        <w:gridCol w:w="1466"/>
      </w:tblGrid>
      <w:tr w:rsidR="002E3E61" w:rsidRPr="00354545" w14:paraId="61D9EC56" w14:textId="77777777" w:rsidTr="00E26098">
        <w:trPr>
          <w:trHeight w:val="544"/>
        </w:trPr>
        <w:tc>
          <w:tcPr>
            <w:tcW w:w="1440" w:type="dxa"/>
            <w:tcBorders>
              <w:top w:val="single" w:sz="8" w:space="0" w:color="000000"/>
              <w:left w:val="nil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vAlign w:val="center"/>
            <w:hideMark/>
          </w:tcPr>
          <w:p w14:paraId="25279B27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354545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Conditions</w:t>
            </w:r>
          </w:p>
        </w:tc>
        <w:tc>
          <w:tcPr>
            <w:tcW w:w="5400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vAlign w:val="center"/>
            <w:hideMark/>
          </w:tcPr>
          <w:p w14:paraId="7B77EFFF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354545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Results</w:t>
            </w: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vAlign w:val="center"/>
            <w:hideMark/>
          </w:tcPr>
          <w:p w14:paraId="433EF8C1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354545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Standards</w:t>
            </w:r>
          </w:p>
        </w:tc>
      </w:tr>
      <w:tr w:rsidR="002E3E61" w:rsidRPr="00354545" w14:paraId="3CA1441E" w14:textId="77777777" w:rsidTr="00E26098">
        <w:trPr>
          <w:trHeight w:val="993"/>
        </w:trPr>
        <w:tc>
          <w:tcPr>
            <w:tcW w:w="144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vAlign w:val="center"/>
            <w:hideMark/>
          </w:tcPr>
          <w:p w14:paraId="004C927C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54545">
              <w:rPr>
                <w:rFonts w:ascii="Times New Roman" w:eastAsia="宋体" w:hAnsi="Times New Roman" w:cs="Times New Roman"/>
                <w:color w:val="000000"/>
                <w:szCs w:val="21"/>
              </w:rPr>
              <w:t>Equipment</w:t>
            </w:r>
          </w:p>
        </w:tc>
        <w:tc>
          <w:tcPr>
            <w:tcW w:w="5400" w:type="dxa"/>
            <w:vMerge w:val="restart"/>
            <w:tcBorders>
              <w:top w:val="single" w:sz="6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hideMark/>
          </w:tcPr>
          <w:p w14:paraId="149C6076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  <w:r w:rsidRPr="00354545">
              <w:rPr>
                <w:rFonts w:ascii="Times New Roman" w:eastAsia="宋体" w:hAnsi="Times New Roman" w:cs="Times New Roman"/>
                <w:noProof/>
                <w:color w:val="000000"/>
              </w:rPr>
              <w:drawing>
                <wp:inline distT="0" distB="0" distL="0" distR="0" wp14:anchorId="2DE7DE2A" wp14:editId="3342C1E2">
                  <wp:extent cx="3392299" cy="3445934"/>
                  <wp:effectExtent l="0" t="0" r="0" b="254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6164" cy="34600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6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vAlign w:val="center"/>
            <w:hideMark/>
          </w:tcPr>
          <w:p w14:paraId="4E2D584C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54545">
              <w:rPr>
                <w:rFonts w:ascii="Times New Roman" w:eastAsia="宋体" w:hAnsi="Times New Roman" w:cs="Times New Roman"/>
                <w:color w:val="000000"/>
                <w:szCs w:val="21"/>
              </w:rPr>
              <w:t>Degree of aggregation</w:t>
            </w:r>
          </w:p>
        </w:tc>
      </w:tr>
      <w:tr w:rsidR="002E3E61" w:rsidRPr="00354545" w14:paraId="1EA1F91E" w14:textId="77777777" w:rsidTr="00E26098">
        <w:trPr>
          <w:trHeight w:val="934"/>
        </w:trPr>
        <w:tc>
          <w:tcPr>
            <w:tcW w:w="1440" w:type="dxa"/>
            <w:tcBorders>
              <w:top w:val="single" w:sz="8" w:space="0" w:color="000000"/>
              <w:left w:val="nil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vAlign w:val="center"/>
            <w:hideMark/>
          </w:tcPr>
          <w:p w14:paraId="11BEFD28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54545">
              <w:rPr>
                <w:rFonts w:ascii="Times New Roman" w:eastAsia="宋体" w:hAnsi="Times New Roman" w:cs="Times New Roman"/>
                <w:color w:val="000000"/>
                <w:szCs w:val="21"/>
              </w:rPr>
              <w:t>Density</w:t>
            </w:r>
          </w:p>
        </w:tc>
        <w:tc>
          <w:tcPr>
            <w:tcW w:w="540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hideMark/>
          </w:tcPr>
          <w:p w14:paraId="67029B3B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466" w:type="dxa"/>
            <w:tcBorders>
              <w:top w:val="single" w:sz="8" w:space="0" w:color="000000"/>
              <w:left w:val="single" w:sz="8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vAlign w:val="center"/>
            <w:hideMark/>
          </w:tcPr>
          <w:p w14:paraId="6A0A0D02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54545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500 </w:t>
            </w:r>
            <w:r w:rsidRPr="00354545">
              <w:rPr>
                <w:rFonts w:ascii="Times New Roman" w:eastAsia="宋体" w:hAnsi="Times New Roman" w:cs="Times New Roman"/>
                <w:color w:val="000000"/>
                <w:szCs w:val="21"/>
                <w:lang w:val="el-GR"/>
              </w:rPr>
              <w:t>μ</w:t>
            </w:r>
            <w:r w:rsidRPr="00354545">
              <w:rPr>
                <w:rFonts w:ascii="Times New Roman" w:eastAsia="宋体" w:hAnsi="Times New Roman" w:cs="Times New Roman"/>
                <w:color w:val="000000"/>
                <w:szCs w:val="21"/>
              </w:rPr>
              <w:t>m in diameter</w:t>
            </w:r>
          </w:p>
        </w:tc>
      </w:tr>
      <w:tr w:rsidR="002E3E61" w:rsidRPr="00354545" w14:paraId="6A4E0BFA" w14:textId="77777777" w:rsidTr="00E26098">
        <w:trPr>
          <w:trHeight w:val="813"/>
        </w:trPr>
        <w:tc>
          <w:tcPr>
            <w:tcW w:w="144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vAlign w:val="center"/>
            <w:hideMark/>
          </w:tcPr>
          <w:p w14:paraId="46DEC33F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54545">
              <w:rPr>
                <w:rFonts w:ascii="Times New Roman" w:eastAsia="宋体" w:hAnsi="Times New Roman" w:cs="Times New Roman"/>
                <w:color w:val="000000"/>
                <w:szCs w:val="21"/>
              </w:rPr>
              <w:t>Serum conc.</w:t>
            </w:r>
          </w:p>
        </w:tc>
        <w:tc>
          <w:tcPr>
            <w:tcW w:w="540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hideMark/>
          </w:tcPr>
          <w:p w14:paraId="6AF52F6F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46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vAlign w:val="center"/>
            <w:hideMark/>
          </w:tcPr>
          <w:p w14:paraId="5B29B693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54545">
              <w:rPr>
                <w:rFonts w:ascii="Times New Roman" w:eastAsia="宋体" w:hAnsi="Times New Roman" w:cs="Times New Roman"/>
                <w:color w:val="000000"/>
                <w:szCs w:val="21"/>
              </w:rPr>
              <w:t>Tightness and cost</w:t>
            </w:r>
          </w:p>
        </w:tc>
      </w:tr>
      <w:tr w:rsidR="002E3E61" w:rsidRPr="00354545" w14:paraId="0942A70C" w14:textId="77777777" w:rsidTr="00E26098">
        <w:trPr>
          <w:trHeight w:val="1024"/>
        </w:trPr>
        <w:tc>
          <w:tcPr>
            <w:tcW w:w="1440" w:type="dxa"/>
            <w:tcBorders>
              <w:top w:val="single" w:sz="8" w:space="0" w:color="000000"/>
              <w:left w:val="nil"/>
              <w:bottom w:val="single" w:sz="6" w:space="0" w:color="000000"/>
              <w:right w:val="single" w:sz="8" w:space="0" w:color="000000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vAlign w:val="center"/>
            <w:hideMark/>
          </w:tcPr>
          <w:p w14:paraId="4F2E6936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54545">
              <w:rPr>
                <w:rFonts w:ascii="Times New Roman" w:eastAsia="宋体" w:hAnsi="Times New Roman" w:cs="Times New Roman"/>
                <w:color w:val="000000"/>
                <w:szCs w:val="21"/>
              </w:rPr>
              <w:t>Treatment</w:t>
            </w:r>
          </w:p>
        </w:tc>
        <w:tc>
          <w:tcPr>
            <w:tcW w:w="540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hideMark/>
          </w:tcPr>
          <w:p w14:paraId="42870BF7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466" w:type="dxa"/>
            <w:tcBorders>
              <w:top w:val="single" w:sz="6" w:space="0" w:color="000000"/>
              <w:left w:val="single" w:sz="8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vAlign w:val="center"/>
            <w:hideMark/>
          </w:tcPr>
          <w:p w14:paraId="51E2EA48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54545">
              <w:rPr>
                <w:rFonts w:ascii="Times New Roman" w:eastAsia="宋体" w:hAnsi="Times New Roman" w:cs="Times New Roman"/>
                <w:color w:val="000000"/>
                <w:szCs w:val="21"/>
              </w:rPr>
              <w:t>Operation, MTS growth, repeatability</w:t>
            </w:r>
          </w:p>
        </w:tc>
      </w:tr>
      <w:tr w:rsidR="002E3E61" w:rsidRPr="00354545" w14:paraId="04B3340D" w14:textId="77777777" w:rsidTr="00E26098">
        <w:trPr>
          <w:trHeight w:val="1029"/>
        </w:trPr>
        <w:tc>
          <w:tcPr>
            <w:tcW w:w="144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vAlign w:val="center"/>
            <w:hideMark/>
          </w:tcPr>
          <w:p w14:paraId="5D0F377F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54545">
              <w:rPr>
                <w:rFonts w:ascii="Times New Roman" w:eastAsia="宋体" w:hAnsi="Times New Roman" w:cs="Times New Roman"/>
                <w:color w:val="000000"/>
                <w:szCs w:val="21"/>
              </w:rPr>
              <w:t>Supplement</w:t>
            </w:r>
          </w:p>
        </w:tc>
        <w:tc>
          <w:tcPr>
            <w:tcW w:w="540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hideMark/>
          </w:tcPr>
          <w:p w14:paraId="2BD0EF8F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466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63" w:type="dxa"/>
              <w:left w:w="126" w:type="dxa"/>
              <w:bottom w:w="63" w:type="dxa"/>
              <w:right w:w="126" w:type="dxa"/>
            </w:tcMar>
            <w:vAlign w:val="center"/>
            <w:hideMark/>
          </w:tcPr>
          <w:p w14:paraId="0983146C" w14:textId="77777777" w:rsidR="002E3E61" w:rsidRPr="00354545" w:rsidRDefault="002E3E61" w:rsidP="00E301C4">
            <w:pPr>
              <w:adjustRightInd w:val="0"/>
              <w:snapToGrid w:val="0"/>
              <w:spacing w:line="300" w:lineRule="auto"/>
              <w:jc w:val="both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354545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Roundness, tightness, MTS growth </w:t>
            </w:r>
          </w:p>
        </w:tc>
      </w:tr>
    </w:tbl>
    <w:p w14:paraId="69E08EC4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color w:val="000000"/>
        </w:rPr>
      </w:pPr>
    </w:p>
    <w:p w14:paraId="66D1F04F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color w:val="000000"/>
        </w:rPr>
      </w:pPr>
    </w:p>
    <w:p w14:paraId="1EFCF140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color w:val="000000"/>
          <w:sz w:val="24"/>
          <w:szCs w:val="24"/>
        </w:rPr>
        <w:sectPr w:rsidR="002E3E61" w:rsidRPr="0035454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8C36DE7" w14:textId="77777777" w:rsidR="003F56A5" w:rsidRDefault="003F56A5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color w:val="000000"/>
          <w:sz w:val="24"/>
          <w:szCs w:val="24"/>
        </w:rPr>
        <w:sectPr w:rsidR="003F56A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8BFE2F6" w14:textId="0ABCD1A5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  <w:r w:rsidRPr="00354545">
        <w:rPr>
          <w:rFonts w:ascii="Times New Roman" w:eastAsia="宋体" w:hAnsi="Times New Roman" w:cs="Times New Roman"/>
          <w:b/>
          <w:color w:val="000000"/>
          <w:sz w:val="24"/>
          <w:szCs w:val="24"/>
        </w:rPr>
        <w:lastRenderedPageBreak/>
        <w:t xml:space="preserve">Table S3. </w:t>
      </w:r>
      <w:r w:rsidRPr="00354545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GO enrichment results between 2D monolayer culture and 3D MTS under the control condition.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5312"/>
        <w:gridCol w:w="4199"/>
        <w:gridCol w:w="3797"/>
        <w:gridCol w:w="650"/>
      </w:tblGrid>
      <w:tr w:rsidR="002E3E61" w:rsidRPr="00354545" w14:paraId="7FBA782A" w14:textId="77777777" w:rsidTr="003F56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1903" w:type="pct"/>
          </w:tcPr>
          <w:p w14:paraId="2472F8D8" w14:textId="77777777" w:rsidR="002E3E61" w:rsidRPr="00354545" w:rsidRDefault="002E3E61" w:rsidP="00E301C4">
            <w:pPr>
              <w:jc w:val="both"/>
              <w:rPr>
                <w:rFonts w:cs="Times New Roman"/>
                <w:b/>
                <w:sz w:val="21"/>
                <w:szCs w:val="21"/>
              </w:rPr>
            </w:pPr>
            <w:r w:rsidRPr="00354545">
              <w:rPr>
                <w:rFonts w:cs="Times New Roman"/>
                <w:b/>
                <w:sz w:val="21"/>
                <w:szCs w:val="21"/>
              </w:rPr>
              <w:t>Biological process</w:t>
            </w:r>
          </w:p>
        </w:tc>
        <w:tc>
          <w:tcPr>
            <w:tcW w:w="1504" w:type="pct"/>
          </w:tcPr>
          <w:p w14:paraId="69C14B83" w14:textId="77777777" w:rsidR="002E3E61" w:rsidRPr="00354545" w:rsidRDefault="002E3E61" w:rsidP="00E301C4">
            <w:pPr>
              <w:jc w:val="both"/>
              <w:rPr>
                <w:rFonts w:cs="Times New Roman"/>
                <w:b/>
                <w:sz w:val="21"/>
                <w:szCs w:val="21"/>
              </w:rPr>
            </w:pPr>
            <w:r w:rsidRPr="00354545">
              <w:rPr>
                <w:rFonts w:cs="Times New Roman"/>
                <w:b/>
                <w:sz w:val="21"/>
                <w:szCs w:val="21"/>
              </w:rPr>
              <w:t>Cellular component</w:t>
            </w:r>
          </w:p>
        </w:tc>
        <w:tc>
          <w:tcPr>
            <w:tcW w:w="1360" w:type="pct"/>
          </w:tcPr>
          <w:p w14:paraId="377AC0A6" w14:textId="77777777" w:rsidR="002E3E61" w:rsidRPr="00354545" w:rsidRDefault="002E3E61" w:rsidP="00E301C4">
            <w:pPr>
              <w:jc w:val="both"/>
              <w:rPr>
                <w:rFonts w:cs="Times New Roman"/>
                <w:b/>
                <w:sz w:val="21"/>
                <w:szCs w:val="21"/>
              </w:rPr>
            </w:pPr>
            <w:r w:rsidRPr="00354545">
              <w:rPr>
                <w:rFonts w:cs="Times New Roman"/>
                <w:b/>
                <w:sz w:val="21"/>
                <w:szCs w:val="21"/>
              </w:rPr>
              <w:t>Molecular function</w:t>
            </w:r>
          </w:p>
        </w:tc>
        <w:tc>
          <w:tcPr>
            <w:tcW w:w="234" w:type="pct"/>
          </w:tcPr>
          <w:p w14:paraId="7B3D74E5" w14:textId="77777777" w:rsidR="002E3E61" w:rsidRPr="00354545" w:rsidRDefault="002E3E61" w:rsidP="00E301C4">
            <w:pPr>
              <w:jc w:val="both"/>
              <w:rPr>
                <w:rFonts w:cs="Times New Roman"/>
                <w:b/>
                <w:sz w:val="21"/>
                <w:szCs w:val="21"/>
              </w:rPr>
            </w:pPr>
            <w:r w:rsidRPr="00354545">
              <w:rPr>
                <w:rFonts w:cs="Times New Roman"/>
                <w:b/>
                <w:sz w:val="21"/>
                <w:szCs w:val="21"/>
              </w:rPr>
              <w:t>Impact</w:t>
            </w:r>
          </w:p>
        </w:tc>
      </w:tr>
      <w:tr w:rsidR="002E3E61" w:rsidRPr="00354545" w14:paraId="74EACB52" w14:textId="77777777" w:rsidTr="003F56A5">
        <w:trPr>
          <w:trHeight w:val="624"/>
        </w:trPr>
        <w:tc>
          <w:tcPr>
            <w:tcW w:w="1903" w:type="pct"/>
          </w:tcPr>
          <w:p w14:paraId="2FA0D094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Extracellular matrix organization</w:t>
            </w:r>
          </w:p>
        </w:tc>
        <w:tc>
          <w:tcPr>
            <w:tcW w:w="1504" w:type="pct"/>
          </w:tcPr>
          <w:p w14:paraId="476E9834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Extracellular exosome</w:t>
            </w:r>
          </w:p>
        </w:tc>
        <w:tc>
          <w:tcPr>
            <w:tcW w:w="1360" w:type="pct"/>
          </w:tcPr>
          <w:p w14:paraId="78D1E5F1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Calcium ion binding</w:t>
            </w:r>
          </w:p>
        </w:tc>
        <w:tc>
          <w:tcPr>
            <w:tcW w:w="234" w:type="pct"/>
          </w:tcPr>
          <w:p w14:paraId="276F53B3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1DF9C016" w14:textId="77777777" w:rsidTr="003F56A5">
        <w:trPr>
          <w:trHeight w:val="624"/>
        </w:trPr>
        <w:tc>
          <w:tcPr>
            <w:tcW w:w="1903" w:type="pct"/>
          </w:tcPr>
          <w:p w14:paraId="6E870C10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Cellular protein metabolic process</w:t>
            </w:r>
          </w:p>
        </w:tc>
        <w:tc>
          <w:tcPr>
            <w:tcW w:w="1504" w:type="pct"/>
          </w:tcPr>
          <w:p w14:paraId="4DE6A4A4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Extracellular region</w:t>
            </w:r>
          </w:p>
        </w:tc>
        <w:tc>
          <w:tcPr>
            <w:tcW w:w="1360" w:type="pct"/>
          </w:tcPr>
          <w:p w14:paraId="244717E6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Extracellular matrix structural constituent</w:t>
            </w:r>
          </w:p>
        </w:tc>
        <w:tc>
          <w:tcPr>
            <w:tcW w:w="234" w:type="pct"/>
          </w:tcPr>
          <w:p w14:paraId="566C90BE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0C17B4DC" w14:textId="77777777" w:rsidTr="003F56A5">
        <w:trPr>
          <w:trHeight w:val="624"/>
        </w:trPr>
        <w:tc>
          <w:tcPr>
            <w:tcW w:w="1903" w:type="pct"/>
          </w:tcPr>
          <w:p w14:paraId="114AD786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Platelet degranulation</w:t>
            </w:r>
          </w:p>
        </w:tc>
        <w:tc>
          <w:tcPr>
            <w:tcW w:w="1504" w:type="pct"/>
          </w:tcPr>
          <w:p w14:paraId="7F3AE6C0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Collagen-containing extracellular matrix</w:t>
            </w:r>
          </w:p>
        </w:tc>
        <w:tc>
          <w:tcPr>
            <w:tcW w:w="1360" w:type="pct"/>
          </w:tcPr>
          <w:p w14:paraId="11B34100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Integrin binding</w:t>
            </w:r>
          </w:p>
        </w:tc>
        <w:tc>
          <w:tcPr>
            <w:tcW w:w="234" w:type="pct"/>
          </w:tcPr>
          <w:p w14:paraId="24D14A2F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7A39F755" w14:textId="77777777" w:rsidTr="003F56A5">
        <w:trPr>
          <w:trHeight w:val="624"/>
        </w:trPr>
        <w:tc>
          <w:tcPr>
            <w:tcW w:w="1903" w:type="pct"/>
          </w:tcPr>
          <w:p w14:paraId="04820FDA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Collagen fibril organization</w:t>
            </w:r>
          </w:p>
        </w:tc>
        <w:tc>
          <w:tcPr>
            <w:tcW w:w="1504" w:type="pct"/>
          </w:tcPr>
          <w:p w14:paraId="0CA6CCF4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Endoplasmic reticulum lumen</w:t>
            </w:r>
          </w:p>
        </w:tc>
        <w:tc>
          <w:tcPr>
            <w:tcW w:w="1360" w:type="pct"/>
          </w:tcPr>
          <w:p w14:paraId="76116D4D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Chaperone binding</w:t>
            </w:r>
          </w:p>
        </w:tc>
        <w:tc>
          <w:tcPr>
            <w:tcW w:w="234" w:type="pct"/>
          </w:tcPr>
          <w:p w14:paraId="159B19D0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75325A8C" w14:textId="77777777" w:rsidTr="003F56A5">
        <w:trPr>
          <w:trHeight w:val="624"/>
        </w:trPr>
        <w:tc>
          <w:tcPr>
            <w:tcW w:w="1903" w:type="pct"/>
          </w:tcPr>
          <w:p w14:paraId="1CD26F9E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Tissue development</w:t>
            </w:r>
          </w:p>
        </w:tc>
        <w:tc>
          <w:tcPr>
            <w:tcW w:w="1504" w:type="pct"/>
          </w:tcPr>
          <w:p w14:paraId="5010BE10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Basement membrane</w:t>
            </w:r>
          </w:p>
        </w:tc>
        <w:tc>
          <w:tcPr>
            <w:tcW w:w="1360" w:type="pct"/>
          </w:tcPr>
          <w:p w14:paraId="47785B8C" w14:textId="77777777" w:rsidR="003F56A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 xml:space="preserve">Extracellular matrix structural constituent </w:t>
            </w:r>
          </w:p>
          <w:p w14:paraId="2D585876" w14:textId="094216FB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conferring tensile strength</w:t>
            </w:r>
          </w:p>
        </w:tc>
        <w:tc>
          <w:tcPr>
            <w:tcW w:w="234" w:type="pct"/>
          </w:tcPr>
          <w:p w14:paraId="314668E1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7DD74901" w14:textId="77777777" w:rsidTr="003F56A5">
        <w:trPr>
          <w:trHeight w:val="624"/>
        </w:trPr>
        <w:tc>
          <w:tcPr>
            <w:tcW w:w="1903" w:type="pct"/>
          </w:tcPr>
          <w:p w14:paraId="27C8B2C2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Retinoid metabolic process</w:t>
            </w:r>
          </w:p>
        </w:tc>
        <w:tc>
          <w:tcPr>
            <w:tcW w:w="1504" w:type="pct"/>
          </w:tcPr>
          <w:p w14:paraId="597E86BB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Platelet alpha granule lumen</w:t>
            </w:r>
          </w:p>
        </w:tc>
        <w:tc>
          <w:tcPr>
            <w:tcW w:w="1360" w:type="pct"/>
          </w:tcPr>
          <w:p w14:paraId="66038DFF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Heparan sulfate proteoglycan binding</w:t>
            </w:r>
          </w:p>
        </w:tc>
        <w:tc>
          <w:tcPr>
            <w:tcW w:w="234" w:type="pct"/>
          </w:tcPr>
          <w:p w14:paraId="316B5637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4E763F9F" w14:textId="77777777" w:rsidTr="003F56A5">
        <w:trPr>
          <w:trHeight w:val="624"/>
        </w:trPr>
        <w:tc>
          <w:tcPr>
            <w:tcW w:w="1903" w:type="pct"/>
          </w:tcPr>
          <w:p w14:paraId="4718A113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Blood vessel development</w:t>
            </w:r>
          </w:p>
        </w:tc>
        <w:tc>
          <w:tcPr>
            <w:tcW w:w="1504" w:type="pct"/>
          </w:tcPr>
          <w:p w14:paraId="16E83D88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Tertiary granule lumen</w:t>
            </w:r>
          </w:p>
        </w:tc>
        <w:tc>
          <w:tcPr>
            <w:tcW w:w="1360" w:type="pct"/>
          </w:tcPr>
          <w:p w14:paraId="668D45E6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Protein disulfide isomerase activity</w:t>
            </w:r>
          </w:p>
        </w:tc>
        <w:tc>
          <w:tcPr>
            <w:tcW w:w="234" w:type="pct"/>
          </w:tcPr>
          <w:p w14:paraId="54BF6AEF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5C2C45B7" w14:textId="77777777" w:rsidTr="003F56A5">
        <w:trPr>
          <w:trHeight w:val="624"/>
        </w:trPr>
        <w:tc>
          <w:tcPr>
            <w:tcW w:w="1903" w:type="pct"/>
          </w:tcPr>
          <w:p w14:paraId="297386B6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Negative regulation of amyloid fibril formation</w:t>
            </w:r>
          </w:p>
        </w:tc>
        <w:tc>
          <w:tcPr>
            <w:tcW w:w="1504" w:type="pct"/>
          </w:tcPr>
          <w:p w14:paraId="5003C6B0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Laminin-1 complex</w:t>
            </w:r>
          </w:p>
        </w:tc>
        <w:tc>
          <w:tcPr>
            <w:tcW w:w="1360" w:type="pct"/>
          </w:tcPr>
          <w:p w14:paraId="3BEA2E39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proofErr w:type="spellStart"/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Clathrin</w:t>
            </w:r>
            <w:proofErr w:type="spellEnd"/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 xml:space="preserve"> heavy chain binding</w:t>
            </w:r>
          </w:p>
        </w:tc>
        <w:tc>
          <w:tcPr>
            <w:tcW w:w="234" w:type="pct"/>
          </w:tcPr>
          <w:p w14:paraId="21FC03D8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002FF11F" w14:textId="77777777" w:rsidTr="003F56A5">
        <w:trPr>
          <w:trHeight w:val="624"/>
        </w:trPr>
        <w:tc>
          <w:tcPr>
            <w:tcW w:w="1903" w:type="pct"/>
          </w:tcPr>
          <w:p w14:paraId="297B6BED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sz w:val="21"/>
                <w:szCs w:val="21"/>
              </w:rPr>
              <w:t>Protein folding in endoplasmic reticulum</w:t>
            </w:r>
          </w:p>
        </w:tc>
        <w:tc>
          <w:tcPr>
            <w:tcW w:w="1504" w:type="pct"/>
          </w:tcPr>
          <w:p w14:paraId="7EE832E5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Laminin-10 complex</w:t>
            </w:r>
          </w:p>
        </w:tc>
        <w:tc>
          <w:tcPr>
            <w:tcW w:w="1360" w:type="pct"/>
          </w:tcPr>
          <w:p w14:paraId="2CF56631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Propionyl-CoA carboxylase activity</w:t>
            </w:r>
          </w:p>
        </w:tc>
        <w:tc>
          <w:tcPr>
            <w:tcW w:w="234" w:type="pct"/>
          </w:tcPr>
          <w:p w14:paraId="5D5E27F6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6522B975" w14:textId="77777777" w:rsidTr="003F56A5">
        <w:trPr>
          <w:trHeight w:val="624"/>
        </w:trPr>
        <w:tc>
          <w:tcPr>
            <w:tcW w:w="1903" w:type="pct"/>
          </w:tcPr>
          <w:p w14:paraId="59C339C2" w14:textId="77777777" w:rsidR="003F56A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 xml:space="preserve">Collagen-activated tyrosine kinase </w:t>
            </w:r>
          </w:p>
          <w:p w14:paraId="4A41E331" w14:textId="6F5CE4D2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receptor signaling pathway</w:t>
            </w:r>
          </w:p>
        </w:tc>
        <w:tc>
          <w:tcPr>
            <w:tcW w:w="1504" w:type="pct"/>
          </w:tcPr>
          <w:p w14:paraId="5CB599BB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Laminin-11 complex</w:t>
            </w:r>
          </w:p>
        </w:tc>
        <w:tc>
          <w:tcPr>
            <w:tcW w:w="1360" w:type="pct"/>
          </w:tcPr>
          <w:p w14:paraId="3DD7755F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CoA carboxylase activity</w:t>
            </w:r>
          </w:p>
        </w:tc>
        <w:tc>
          <w:tcPr>
            <w:tcW w:w="234" w:type="pct"/>
          </w:tcPr>
          <w:p w14:paraId="0DBEA092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5D4A7240" w14:textId="77777777" w:rsidTr="003F56A5">
        <w:trPr>
          <w:trHeight w:val="624"/>
        </w:trPr>
        <w:tc>
          <w:tcPr>
            <w:tcW w:w="1903" w:type="pct"/>
          </w:tcPr>
          <w:p w14:paraId="0031B518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translational elongation</w:t>
            </w:r>
          </w:p>
        </w:tc>
        <w:tc>
          <w:tcPr>
            <w:tcW w:w="1504" w:type="pct"/>
          </w:tcPr>
          <w:p w14:paraId="0DFD094D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Mitochondrion</w:t>
            </w:r>
          </w:p>
        </w:tc>
        <w:tc>
          <w:tcPr>
            <w:tcW w:w="1360" w:type="pct"/>
          </w:tcPr>
          <w:p w14:paraId="3F5A8F90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RNA binding</w:t>
            </w:r>
          </w:p>
        </w:tc>
        <w:tc>
          <w:tcPr>
            <w:tcW w:w="234" w:type="pct"/>
          </w:tcPr>
          <w:p w14:paraId="10425F30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71BA11B9" w14:textId="77777777" w:rsidTr="003F56A5">
        <w:trPr>
          <w:trHeight w:val="624"/>
        </w:trPr>
        <w:tc>
          <w:tcPr>
            <w:tcW w:w="1903" w:type="pct"/>
          </w:tcPr>
          <w:p w14:paraId="0C0DFBD6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lastRenderedPageBreak/>
              <w:t>Mitochondrial translational termination</w:t>
            </w:r>
          </w:p>
        </w:tc>
        <w:tc>
          <w:tcPr>
            <w:tcW w:w="1504" w:type="pct"/>
          </w:tcPr>
          <w:p w14:paraId="0F82FA84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inner membrane</w:t>
            </w:r>
          </w:p>
        </w:tc>
        <w:tc>
          <w:tcPr>
            <w:tcW w:w="1360" w:type="pct"/>
          </w:tcPr>
          <w:p w14:paraId="2ED14F27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Structural constituent of ribosome</w:t>
            </w:r>
          </w:p>
        </w:tc>
        <w:tc>
          <w:tcPr>
            <w:tcW w:w="234" w:type="pct"/>
          </w:tcPr>
          <w:p w14:paraId="2ED663A9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5EB552F0" w14:textId="77777777" w:rsidTr="003F56A5">
        <w:trPr>
          <w:trHeight w:val="624"/>
        </w:trPr>
        <w:tc>
          <w:tcPr>
            <w:tcW w:w="1903" w:type="pct"/>
          </w:tcPr>
          <w:p w14:paraId="0A46E36A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translation</w:t>
            </w:r>
          </w:p>
        </w:tc>
        <w:tc>
          <w:tcPr>
            <w:tcW w:w="1504" w:type="pct"/>
          </w:tcPr>
          <w:p w14:paraId="5C8F2110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matrix</w:t>
            </w:r>
          </w:p>
        </w:tc>
        <w:tc>
          <w:tcPr>
            <w:tcW w:w="1360" w:type="pct"/>
          </w:tcPr>
          <w:p w14:paraId="79F44E8E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Ubiquitin protein ligase binding</w:t>
            </w:r>
          </w:p>
        </w:tc>
        <w:tc>
          <w:tcPr>
            <w:tcW w:w="234" w:type="pct"/>
          </w:tcPr>
          <w:p w14:paraId="2C76A56F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167FCD87" w14:textId="77777777" w:rsidTr="003F56A5">
        <w:trPr>
          <w:trHeight w:val="624"/>
        </w:trPr>
        <w:tc>
          <w:tcPr>
            <w:tcW w:w="1903" w:type="pct"/>
          </w:tcPr>
          <w:p w14:paraId="6D3BA331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electron transport, NADH to ubiquinone</w:t>
            </w:r>
          </w:p>
        </w:tc>
        <w:tc>
          <w:tcPr>
            <w:tcW w:w="1504" w:type="pct"/>
          </w:tcPr>
          <w:p w14:paraId="23F07F1F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small ribosomal subunit</w:t>
            </w:r>
          </w:p>
        </w:tc>
        <w:tc>
          <w:tcPr>
            <w:tcW w:w="1360" w:type="pct"/>
          </w:tcPr>
          <w:p w14:paraId="5C498687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Chaperone binding</w:t>
            </w:r>
          </w:p>
        </w:tc>
        <w:tc>
          <w:tcPr>
            <w:tcW w:w="234" w:type="pct"/>
          </w:tcPr>
          <w:p w14:paraId="0BBAC0B6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7577EBD5" w14:textId="77777777" w:rsidTr="003F56A5">
        <w:trPr>
          <w:trHeight w:val="624"/>
        </w:trPr>
        <w:tc>
          <w:tcPr>
            <w:tcW w:w="1903" w:type="pct"/>
          </w:tcPr>
          <w:p w14:paraId="3FFC6B7E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Response to unfolded protein</w:t>
            </w:r>
          </w:p>
        </w:tc>
        <w:tc>
          <w:tcPr>
            <w:tcW w:w="1504" w:type="pct"/>
          </w:tcPr>
          <w:p w14:paraId="51B48422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nucleoid</w:t>
            </w:r>
          </w:p>
        </w:tc>
        <w:tc>
          <w:tcPr>
            <w:tcW w:w="1360" w:type="pct"/>
          </w:tcPr>
          <w:p w14:paraId="153DF182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NADH dehydrogenase (ubiquinone) activity</w:t>
            </w:r>
          </w:p>
        </w:tc>
        <w:tc>
          <w:tcPr>
            <w:tcW w:w="234" w:type="pct"/>
          </w:tcPr>
          <w:p w14:paraId="0466C3F3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6D187E04" w14:textId="77777777" w:rsidTr="003F56A5">
        <w:trPr>
          <w:trHeight w:val="624"/>
        </w:trPr>
        <w:tc>
          <w:tcPr>
            <w:tcW w:w="1903" w:type="pct"/>
          </w:tcPr>
          <w:p w14:paraId="149F512E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Chaperone cofactor-dependent protein refolding</w:t>
            </w:r>
          </w:p>
        </w:tc>
        <w:tc>
          <w:tcPr>
            <w:tcW w:w="1504" w:type="pct"/>
          </w:tcPr>
          <w:p w14:paraId="3EF9FC7F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large ribosomal subunit</w:t>
            </w:r>
          </w:p>
        </w:tc>
        <w:tc>
          <w:tcPr>
            <w:tcW w:w="1360" w:type="pct"/>
          </w:tcPr>
          <w:p w14:paraId="1758631D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Muscle alpha-actinin binding</w:t>
            </w:r>
          </w:p>
        </w:tc>
        <w:tc>
          <w:tcPr>
            <w:tcW w:w="234" w:type="pct"/>
          </w:tcPr>
          <w:p w14:paraId="34DF143F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148CB745" w14:textId="77777777" w:rsidTr="003F56A5">
        <w:trPr>
          <w:trHeight w:val="624"/>
        </w:trPr>
        <w:tc>
          <w:tcPr>
            <w:tcW w:w="1903" w:type="pct"/>
          </w:tcPr>
          <w:p w14:paraId="5FA74415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transcription</w:t>
            </w:r>
          </w:p>
        </w:tc>
        <w:tc>
          <w:tcPr>
            <w:tcW w:w="1504" w:type="pct"/>
          </w:tcPr>
          <w:p w14:paraId="2EEBB15F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respiratory chain complex I</w:t>
            </w:r>
          </w:p>
        </w:tc>
        <w:tc>
          <w:tcPr>
            <w:tcW w:w="1360" w:type="pct"/>
          </w:tcPr>
          <w:p w14:paraId="230057E4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rRNA binding</w:t>
            </w:r>
          </w:p>
        </w:tc>
        <w:tc>
          <w:tcPr>
            <w:tcW w:w="234" w:type="pct"/>
          </w:tcPr>
          <w:p w14:paraId="5F387927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6ED27434" w14:textId="77777777" w:rsidTr="003F56A5">
        <w:trPr>
          <w:trHeight w:val="624"/>
        </w:trPr>
        <w:tc>
          <w:tcPr>
            <w:tcW w:w="1903" w:type="pct"/>
          </w:tcPr>
          <w:p w14:paraId="755F8D55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Negative regulation of mitochondrial RNA catabolic process</w:t>
            </w:r>
          </w:p>
        </w:tc>
        <w:tc>
          <w:tcPr>
            <w:tcW w:w="1504" w:type="pct"/>
          </w:tcPr>
          <w:p w14:paraId="6DBDE9B7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 xml:space="preserve">Glutamyl-tRNA (Gln) </w:t>
            </w:r>
            <w:proofErr w:type="spellStart"/>
            <w:r w:rsidRPr="003F56A5">
              <w:rPr>
                <w:rFonts w:eastAsia="等线" w:cs="Times New Roman"/>
                <w:color w:val="000000"/>
                <w:sz w:val="21"/>
                <w:szCs w:val="21"/>
              </w:rPr>
              <w:t>amidotransferase</w:t>
            </w:r>
            <w:proofErr w:type="spellEnd"/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 xml:space="preserve"> complex</w:t>
            </w:r>
          </w:p>
        </w:tc>
        <w:tc>
          <w:tcPr>
            <w:tcW w:w="1360" w:type="pct"/>
          </w:tcPr>
          <w:p w14:paraId="795D3EE0" w14:textId="77777777" w:rsidR="003F56A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 xml:space="preserve">Glutaminyl-tRNA synthase </w:t>
            </w:r>
          </w:p>
          <w:p w14:paraId="29BC0ACB" w14:textId="59A47CD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(</w:t>
            </w:r>
            <w:r w:rsidR="003F56A5" w:rsidRPr="00354545">
              <w:rPr>
                <w:rFonts w:eastAsia="等线" w:cs="Times New Roman"/>
                <w:color w:val="000000"/>
                <w:sz w:val="21"/>
                <w:szCs w:val="21"/>
              </w:rPr>
              <w:t>Glutamine</w:t>
            </w: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-hydrolyzing) activity</w:t>
            </w:r>
          </w:p>
        </w:tc>
        <w:tc>
          <w:tcPr>
            <w:tcW w:w="234" w:type="pct"/>
          </w:tcPr>
          <w:p w14:paraId="2DF6C438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33118D32" w14:textId="77777777" w:rsidTr="003F56A5">
        <w:trPr>
          <w:trHeight w:val="624"/>
        </w:trPr>
        <w:tc>
          <w:tcPr>
            <w:tcW w:w="1903" w:type="pct"/>
          </w:tcPr>
          <w:p w14:paraId="1AC0E342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Negative regulation of chaperone-mediated protein folding</w:t>
            </w:r>
          </w:p>
        </w:tc>
        <w:tc>
          <w:tcPr>
            <w:tcW w:w="1504" w:type="pct"/>
          </w:tcPr>
          <w:p w14:paraId="62182C5F" w14:textId="77777777" w:rsidR="003F56A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 xml:space="preserve">Mitochondrial intermembrane space </w:t>
            </w:r>
          </w:p>
          <w:p w14:paraId="74DB11E5" w14:textId="4D7A2632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protein transporter complex</w:t>
            </w:r>
          </w:p>
        </w:tc>
        <w:tc>
          <w:tcPr>
            <w:tcW w:w="1360" w:type="pct"/>
          </w:tcPr>
          <w:p w14:paraId="134A83DE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ribosome binding</w:t>
            </w:r>
          </w:p>
        </w:tc>
        <w:tc>
          <w:tcPr>
            <w:tcW w:w="234" w:type="pct"/>
          </w:tcPr>
          <w:p w14:paraId="2CB190ED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33060614" w14:textId="77777777" w:rsidTr="003F56A5">
        <w:trPr>
          <w:trHeight w:val="624"/>
        </w:trPr>
        <w:tc>
          <w:tcPr>
            <w:tcW w:w="1903" w:type="pct"/>
          </w:tcPr>
          <w:p w14:paraId="43627A60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Glutaminyl-</w:t>
            </w:r>
            <w:proofErr w:type="spellStart"/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tRNAGln</w:t>
            </w:r>
            <w:proofErr w:type="spellEnd"/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 xml:space="preserve"> biosynthesis via </w:t>
            </w:r>
            <w:proofErr w:type="spellStart"/>
            <w:r w:rsidRPr="003F56A5">
              <w:rPr>
                <w:rFonts w:eastAsia="等线" w:cs="Times New Roman"/>
                <w:color w:val="000000"/>
                <w:sz w:val="21"/>
                <w:szCs w:val="21"/>
              </w:rPr>
              <w:t>transamidation</w:t>
            </w:r>
            <w:proofErr w:type="spellEnd"/>
          </w:p>
        </w:tc>
        <w:tc>
          <w:tcPr>
            <w:tcW w:w="1504" w:type="pct"/>
          </w:tcPr>
          <w:p w14:paraId="2BF9495E" w14:textId="77777777" w:rsidR="003F56A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 xml:space="preserve">TIM23 mitochondrial import inner </w:t>
            </w:r>
          </w:p>
          <w:p w14:paraId="33FD8C18" w14:textId="546B1B0B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membrane translocase complex</w:t>
            </w:r>
          </w:p>
        </w:tc>
        <w:tc>
          <w:tcPr>
            <w:tcW w:w="1360" w:type="pct"/>
          </w:tcPr>
          <w:p w14:paraId="20F438AE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Protein transporter activity</w:t>
            </w:r>
          </w:p>
        </w:tc>
        <w:tc>
          <w:tcPr>
            <w:tcW w:w="234" w:type="pct"/>
          </w:tcPr>
          <w:p w14:paraId="542F3B62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</w:tbl>
    <w:p w14:paraId="09240130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color w:val="000000"/>
        </w:rPr>
      </w:pPr>
    </w:p>
    <w:bookmarkEnd w:id="13"/>
    <w:p w14:paraId="454E52B2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hAnsi="Times New Roman" w:cs="Times New Roman"/>
        </w:rPr>
      </w:pPr>
    </w:p>
    <w:p w14:paraId="68C762B5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color w:val="000000"/>
          <w:sz w:val="24"/>
          <w:szCs w:val="24"/>
        </w:rPr>
        <w:sectPr w:rsidR="002E3E61" w:rsidRPr="00354545" w:rsidSect="003F56A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422B71C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  <w:r w:rsidRPr="00354545">
        <w:rPr>
          <w:rFonts w:ascii="Times New Roman" w:eastAsia="宋体" w:hAnsi="Times New Roman" w:cs="Times New Roman"/>
          <w:b/>
          <w:color w:val="000000"/>
          <w:sz w:val="24"/>
          <w:szCs w:val="24"/>
        </w:rPr>
        <w:lastRenderedPageBreak/>
        <w:t xml:space="preserve">Table S4. </w:t>
      </w:r>
      <w:r w:rsidRPr="00354545">
        <w:rPr>
          <w:rFonts w:ascii="Times New Roman" w:eastAsia="宋体" w:hAnsi="Times New Roman" w:cs="Times New Roman"/>
          <w:bCs/>
          <w:color w:val="000000"/>
          <w:sz w:val="24"/>
          <w:szCs w:val="24"/>
        </w:rPr>
        <w:t>GO enrichment results between 2D monolayer culture and 3D MTS under 5-FU treatment condition.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4854"/>
        <w:gridCol w:w="4137"/>
        <w:gridCol w:w="4199"/>
        <w:gridCol w:w="768"/>
      </w:tblGrid>
      <w:tr w:rsidR="002E3E61" w:rsidRPr="00354545" w14:paraId="4FDC92AC" w14:textId="77777777" w:rsidTr="003F56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tcW w:w="1739" w:type="pct"/>
          </w:tcPr>
          <w:p w14:paraId="02D78298" w14:textId="77777777" w:rsidR="002E3E61" w:rsidRPr="00354545" w:rsidRDefault="002E3E61" w:rsidP="00E301C4">
            <w:pPr>
              <w:jc w:val="both"/>
              <w:rPr>
                <w:rFonts w:cs="Times New Roman"/>
                <w:b/>
                <w:sz w:val="21"/>
                <w:szCs w:val="21"/>
              </w:rPr>
            </w:pPr>
            <w:r w:rsidRPr="00354545">
              <w:rPr>
                <w:rFonts w:cs="Times New Roman"/>
                <w:b/>
                <w:sz w:val="21"/>
                <w:szCs w:val="21"/>
              </w:rPr>
              <w:t>Biological Process</w:t>
            </w:r>
          </w:p>
        </w:tc>
        <w:tc>
          <w:tcPr>
            <w:tcW w:w="1482" w:type="pct"/>
          </w:tcPr>
          <w:p w14:paraId="20B9B765" w14:textId="77777777" w:rsidR="002E3E61" w:rsidRPr="00354545" w:rsidRDefault="002E3E61" w:rsidP="00E301C4">
            <w:pPr>
              <w:jc w:val="both"/>
              <w:rPr>
                <w:rFonts w:cs="Times New Roman"/>
                <w:b/>
                <w:sz w:val="21"/>
                <w:szCs w:val="21"/>
              </w:rPr>
            </w:pPr>
            <w:r w:rsidRPr="00354545">
              <w:rPr>
                <w:rFonts w:cs="Times New Roman"/>
                <w:b/>
                <w:sz w:val="21"/>
                <w:szCs w:val="21"/>
              </w:rPr>
              <w:t>Cellular Component</w:t>
            </w:r>
          </w:p>
        </w:tc>
        <w:tc>
          <w:tcPr>
            <w:tcW w:w="1504" w:type="pct"/>
          </w:tcPr>
          <w:p w14:paraId="0FBD5DB0" w14:textId="77777777" w:rsidR="002E3E61" w:rsidRPr="00354545" w:rsidRDefault="002E3E61" w:rsidP="00E301C4">
            <w:pPr>
              <w:jc w:val="both"/>
              <w:rPr>
                <w:rFonts w:cs="Times New Roman"/>
                <w:b/>
                <w:sz w:val="21"/>
                <w:szCs w:val="21"/>
              </w:rPr>
            </w:pPr>
            <w:r w:rsidRPr="00354545">
              <w:rPr>
                <w:rFonts w:cs="Times New Roman"/>
                <w:b/>
                <w:sz w:val="21"/>
                <w:szCs w:val="21"/>
              </w:rPr>
              <w:t>Molecular Function</w:t>
            </w:r>
          </w:p>
        </w:tc>
        <w:tc>
          <w:tcPr>
            <w:tcW w:w="275" w:type="pct"/>
          </w:tcPr>
          <w:p w14:paraId="6EBFD1B2" w14:textId="77777777" w:rsidR="002E3E61" w:rsidRPr="00354545" w:rsidRDefault="002E3E61" w:rsidP="00E301C4">
            <w:pPr>
              <w:jc w:val="both"/>
              <w:rPr>
                <w:rFonts w:cs="Times New Roman"/>
                <w:b/>
                <w:sz w:val="21"/>
                <w:szCs w:val="21"/>
              </w:rPr>
            </w:pPr>
            <w:r w:rsidRPr="00354545">
              <w:rPr>
                <w:rFonts w:cs="Times New Roman"/>
                <w:b/>
                <w:sz w:val="21"/>
                <w:szCs w:val="21"/>
              </w:rPr>
              <w:t>Impact</w:t>
            </w:r>
          </w:p>
        </w:tc>
      </w:tr>
      <w:tr w:rsidR="002E3E61" w:rsidRPr="00354545" w14:paraId="20C12FE2" w14:textId="77777777" w:rsidTr="003F56A5">
        <w:trPr>
          <w:trHeight w:val="624"/>
        </w:trPr>
        <w:tc>
          <w:tcPr>
            <w:tcW w:w="1739" w:type="pct"/>
          </w:tcPr>
          <w:p w14:paraId="5BF3B7CF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Extracellular matrix structural constituent</w:t>
            </w:r>
          </w:p>
        </w:tc>
        <w:tc>
          <w:tcPr>
            <w:tcW w:w="1482" w:type="pct"/>
          </w:tcPr>
          <w:p w14:paraId="2FDF6C8C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Extracellular exosome</w:t>
            </w:r>
          </w:p>
        </w:tc>
        <w:tc>
          <w:tcPr>
            <w:tcW w:w="1504" w:type="pct"/>
          </w:tcPr>
          <w:p w14:paraId="2954035D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Calcium ion binding</w:t>
            </w:r>
          </w:p>
        </w:tc>
        <w:tc>
          <w:tcPr>
            <w:tcW w:w="275" w:type="pct"/>
          </w:tcPr>
          <w:p w14:paraId="1711CBB9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02968CC8" w14:textId="77777777" w:rsidTr="003F56A5">
        <w:trPr>
          <w:trHeight w:val="624"/>
        </w:trPr>
        <w:tc>
          <w:tcPr>
            <w:tcW w:w="1739" w:type="pct"/>
          </w:tcPr>
          <w:p w14:paraId="2E56A301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Cell adhesion</w:t>
            </w:r>
          </w:p>
        </w:tc>
        <w:tc>
          <w:tcPr>
            <w:tcW w:w="1482" w:type="pct"/>
          </w:tcPr>
          <w:p w14:paraId="4CB83627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Extracellular region</w:t>
            </w:r>
          </w:p>
        </w:tc>
        <w:tc>
          <w:tcPr>
            <w:tcW w:w="1504" w:type="pct"/>
          </w:tcPr>
          <w:p w14:paraId="7D501574" w14:textId="77777777" w:rsidR="003F56A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 xml:space="preserve">Extracellular matrix structural constituent </w:t>
            </w:r>
          </w:p>
          <w:p w14:paraId="5202595F" w14:textId="4C5BEAEB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conferring compression resistance</w:t>
            </w:r>
          </w:p>
        </w:tc>
        <w:tc>
          <w:tcPr>
            <w:tcW w:w="275" w:type="pct"/>
          </w:tcPr>
          <w:p w14:paraId="3F2B7E3C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02EF8723" w14:textId="77777777" w:rsidTr="003F56A5">
        <w:trPr>
          <w:trHeight w:val="624"/>
        </w:trPr>
        <w:tc>
          <w:tcPr>
            <w:tcW w:w="1739" w:type="pct"/>
          </w:tcPr>
          <w:p w14:paraId="64A384FC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Cellular protein metabolic process</w:t>
            </w:r>
          </w:p>
        </w:tc>
        <w:tc>
          <w:tcPr>
            <w:tcW w:w="1482" w:type="pct"/>
          </w:tcPr>
          <w:p w14:paraId="70319774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Endoplasmic reticulum</w:t>
            </w:r>
          </w:p>
        </w:tc>
        <w:tc>
          <w:tcPr>
            <w:tcW w:w="1504" w:type="pct"/>
          </w:tcPr>
          <w:p w14:paraId="398C412A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Integrin binding</w:t>
            </w:r>
          </w:p>
        </w:tc>
        <w:tc>
          <w:tcPr>
            <w:tcW w:w="275" w:type="pct"/>
          </w:tcPr>
          <w:p w14:paraId="54ACC432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461F0D30" w14:textId="77777777" w:rsidTr="003F56A5">
        <w:trPr>
          <w:trHeight w:val="624"/>
        </w:trPr>
        <w:tc>
          <w:tcPr>
            <w:tcW w:w="1739" w:type="pct"/>
          </w:tcPr>
          <w:p w14:paraId="3A1FFC71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Post-translational protein modification</w:t>
            </w:r>
          </w:p>
        </w:tc>
        <w:tc>
          <w:tcPr>
            <w:tcW w:w="1482" w:type="pct"/>
          </w:tcPr>
          <w:p w14:paraId="782453C4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Endoplasmic reticulum lumen</w:t>
            </w:r>
          </w:p>
        </w:tc>
        <w:tc>
          <w:tcPr>
            <w:tcW w:w="1504" w:type="pct"/>
          </w:tcPr>
          <w:p w14:paraId="24AE7972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Iron ion binding</w:t>
            </w:r>
          </w:p>
        </w:tc>
        <w:tc>
          <w:tcPr>
            <w:tcW w:w="275" w:type="pct"/>
          </w:tcPr>
          <w:p w14:paraId="5475CBFA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504CF08C" w14:textId="77777777" w:rsidTr="003F56A5">
        <w:trPr>
          <w:trHeight w:val="624"/>
        </w:trPr>
        <w:tc>
          <w:tcPr>
            <w:tcW w:w="1739" w:type="pct"/>
          </w:tcPr>
          <w:p w14:paraId="3049BC56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Platelet degranulation</w:t>
            </w:r>
          </w:p>
        </w:tc>
        <w:tc>
          <w:tcPr>
            <w:tcW w:w="1482" w:type="pct"/>
          </w:tcPr>
          <w:p w14:paraId="17CAF72D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Collagen-containing Extracellular matrix</w:t>
            </w:r>
          </w:p>
        </w:tc>
        <w:tc>
          <w:tcPr>
            <w:tcW w:w="1504" w:type="pct"/>
          </w:tcPr>
          <w:p w14:paraId="60793B35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Heparin binding</w:t>
            </w:r>
          </w:p>
        </w:tc>
        <w:tc>
          <w:tcPr>
            <w:tcW w:w="275" w:type="pct"/>
          </w:tcPr>
          <w:p w14:paraId="25E1537F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28F7A8F4" w14:textId="77777777" w:rsidTr="003F56A5">
        <w:trPr>
          <w:trHeight w:val="624"/>
        </w:trPr>
        <w:tc>
          <w:tcPr>
            <w:tcW w:w="1739" w:type="pct"/>
          </w:tcPr>
          <w:p w14:paraId="32B51AA7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Receptor-mediated endocytosis</w:t>
            </w:r>
          </w:p>
        </w:tc>
        <w:tc>
          <w:tcPr>
            <w:tcW w:w="1482" w:type="pct"/>
          </w:tcPr>
          <w:p w14:paraId="68CC52CE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Basement membrane</w:t>
            </w:r>
          </w:p>
        </w:tc>
        <w:tc>
          <w:tcPr>
            <w:tcW w:w="1504" w:type="pct"/>
          </w:tcPr>
          <w:p w14:paraId="01919663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Chaperone binding</w:t>
            </w:r>
          </w:p>
        </w:tc>
        <w:tc>
          <w:tcPr>
            <w:tcW w:w="275" w:type="pct"/>
          </w:tcPr>
          <w:p w14:paraId="4942F682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00EEA6D5" w14:textId="77777777" w:rsidTr="003F56A5">
        <w:trPr>
          <w:trHeight w:val="624"/>
        </w:trPr>
        <w:tc>
          <w:tcPr>
            <w:tcW w:w="1739" w:type="pct"/>
          </w:tcPr>
          <w:p w14:paraId="401961C5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Tissue development</w:t>
            </w:r>
          </w:p>
        </w:tc>
        <w:tc>
          <w:tcPr>
            <w:tcW w:w="1482" w:type="pct"/>
          </w:tcPr>
          <w:p w14:paraId="28C8A732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Extracellular matrix</w:t>
            </w:r>
          </w:p>
        </w:tc>
        <w:tc>
          <w:tcPr>
            <w:tcW w:w="1504" w:type="pct"/>
          </w:tcPr>
          <w:p w14:paraId="34C300D5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Laminin binding</w:t>
            </w:r>
          </w:p>
        </w:tc>
        <w:tc>
          <w:tcPr>
            <w:tcW w:w="275" w:type="pct"/>
          </w:tcPr>
          <w:p w14:paraId="3803B2C9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6CAB6DFD" w14:textId="77777777" w:rsidTr="003F56A5">
        <w:trPr>
          <w:trHeight w:val="624"/>
        </w:trPr>
        <w:tc>
          <w:tcPr>
            <w:tcW w:w="1739" w:type="pct"/>
          </w:tcPr>
          <w:p w14:paraId="5E82FCBD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Collagen fibril organization</w:t>
            </w:r>
          </w:p>
        </w:tc>
        <w:tc>
          <w:tcPr>
            <w:tcW w:w="1482" w:type="pct"/>
          </w:tcPr>
          <w:p w14:paraId="6226C3D0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Laminin-1 complex</w:t>
            </w:r>
          </w:p>
        </w:tc>
        <w:tc>
          <w:tcPr>
            <w:tcW w:w="1504" w:type="pct"/>
          </w:tcPr>
          <w:p w14:paraId="276CE8FE" w14:textId="77777777" w:rsidR="003F56A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 xml:space="preserve">Extracellular matrix structural constituent </w:t>
            </w:r>
          </w:p>
          <w:p w14:paraId="0432F01D" w14:textId="04540C6A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conferring tensile strength</w:t>
            </w:r>
          </w:p>
        </w:tc>
        <w:tc>
          <w:tcPr>
            <w:tcW w:w="275" w:type="pct"/>
          </w:tcPr>
          <w:p w14:paraId="31322B14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370701E9" w14:textId="77777777" w:rsidTr="003F56A5">
        <w:trPr>
          <w:trHeight w:val="624"/>
        </w:trPr>
        <w:tc>
          <w:tcPr>
            <w:tcW w:w="1739" w:type="pct"/>
          </w:tcPr>
          <w:p w14:paraId="07A766F1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Transport across blood-brain barrier</w:t>
            </w:r>
          </w:p>
        </w:tc>
        <w:tc>
          <w:tcPr>
            <w:tcW w:w="1482" w:type="pct"/>
          </w:tcPr>
          <w:p w14:paraId="3C24F1E9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Laminin-11 complex</w:t>
            </w:r>
          </w:p>
        </w:tc>
        <w:tc>
          <w:tcPr>
            <w:tcW w:w="1504" w:type="pct"/>
          </w:tcPr>
          <w:p w14:paraId="7061409F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Heparan sulfate proteoglycan binding</w:t>
            </w:r>
          </w:p>
        </w:tc>
        <w:tc>
          <w:tcPr>
            <w:tcW w:w="275" w:type="pct"/>
          </w:tcPr>
          <w:p w14:paraId="5DF910D1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03B067CA" w14:textId="77777777" w:rsidTr="003F56A5">
        <w:trPr>
          <w:trHeight w:val="624"/>
        </w:trPr>
        <w:tc>
          <w:tcPr>
            <w:tcW w:w="1739" w:type="pct"/>
          </w:tcPr>
          <w:p w14:paraId="22E11546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Negative regulation of amyloid fibril formation</w:t>
            </w:r>
          </w:p>
        </w:tc>
        <w:tc>
          <w:tcPr>
            <w:tcW w:w="1482" w:type="pct"/>
          </w:tcPr>
          <w:p w14:paraId="2FF9D8CD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Laminin-10 complex</w:t>
            </w:r>
          </w:p>
        </w:tc>
        <w:tc>
          <w:tcPr>
            <w:tcW w:w="1504" w:type="pct"/>
          </w:tcPr>
          <w:p w14:paraId="7F07F4DA" w14:textId="77777777" w:rsidR="003F56A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 xml:space="preserve">Low-density lipoprotein </w:t>
            </w:r>
          </w:p>
          <w:p w14:paraId="1EFEF70F" w14:textId="183331BE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particle receptor binding</w:t>
            </w:r>
          </w:p>
        </w:tc>
        <w:tc>
          <w:tcPr>
            <w:tcW w:w="275" w:type="pct"/>
          </w:tcPr>
          <w:p w14:paraId="3658B1F9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Up</w:t>
            </w:r>
          </w:p>
        </w:tc>
      </w:tr>
      <w:tr w:rsidR="002E3E61" w:rsidRPr="00354545" w14:paraId="364E1CBB" w14:textId="77777777" w:rsidTr="003F56A5">
        <w:trPr>
          <w:trHeight w:val="624"/>
        </w:trPr>
        <w:tc>
          <w:tcPr>
            <w:tcW w:w="1739" w:type="pct"/>
          </w:tcPr>
          <w:p w14:paraId="218A6B0E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Cell division</w:t>
            </w:r>
          </w:p>
        </w:tc>
        <w:tc>
          <w:tcPr>
            <w:tcW w:w="1482" w:type="pct"/>
          </w:tcPr>
          <w:p w14:paraId="5639B42D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Mitochondrion</w:t>
            </w:r>
          </w:p>
        </w:tc>
        <w:tc>
          <w:tcPr>
            <w:tcW w:w="1504" w:type="pct"/>
          </w:tcPr>
          <w:p w14:paraId="7EC2161C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Identical protein binding</w:t>
            </w:r>
          </w:p>
        </w:tc>
        <w:tc>
          <w:tcPr>
            <w:tcW w:w="275" w:type="pct"/>
          </w:tcPr>
          <w:p w14:paraId="76D7225C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3B0A0FE3" w14:textId="77777777" w:rsidTr="003F56A5">
        <w:trPr>
          <w:trHeight w:val="624"/>
        </w:trPr>
        <w:tc>
          <w:tcPr>
            <w:tcW w:w="1739" w:type="pct"/>
          </w:tcPr>
          <w:p w14:paraId="6DB10EC4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lastRenderedPageBreak/>
              <w:t>Chaperone cofactor-dependent protein refolding</w:t>
            </w:r>
          </w:p>
        </w:tc>
        <w:tc>
          <w:tcPr>
            <w:tcW w:w="1482" w:type="pct"/>
          </w:tcPr>
          <w:p w14:paraId="3C90776E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Extracellular exosome</w:t>
            </w:r>
          </w:p>
        </w:tc>
        <w:tc>
          <w:tcPr>
            <w:tcW w:w="1504" w:type="pct"/>
          </w:tcPr>
          <w:p w14:paraId="0D42851D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ATP binding</w:t>
            </w:r>
          </w:p>
        </w:tc>
        <w:tc>
          <w:tcPr>
            <w:tcW w:w="275" w:type="pct"/>
          </w:tcPr>
          <w:p w14:paraId="4BF96E52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7907F137" w14:textId="77777777" w:rsidTr="003F56A5">
        <w:trPr>
          <w:trHeight w:val="624"/>
        </w:trPr>
        <w:tc>
          <w:tcPr>
            <w:tcW w:w="1739" w:type="pct"/>
          </w:tcPr>
          <w:p w14:paraId="0C1057FA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Cell redox homeostasis</w:t>
            </w:r>
          </w:p>
        </w:tc>
        <w:tc>
          <w:tcPr>
            <w:tcW w:w="1482" w:type="pct"/>
          </w:tcPr>
          <w:p w14:paraId="6A0BC37F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matrix</w:t>
            </w:r>
          </w:p>
        </w:tc>
        <w:tc>
          <w:tcPr>
            <w:tcW w:w="1504" w:type="pct"/>
          </w:tcPr>
          <w:p w14:paraId="6057C962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RNA binding</w:t>
            </w:r>
          </w:p>
        </w:tc>
        <w:tc>
          <w:tcPr>
            <w:tcW w:w="275" w:type="pct"/>
          </w:tcPr>
          <w:p w14:paraId="22D5A42C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13ECBE47" w14:textId="77777777" w:rsidTr="003F56A5">
        <w:trPr>
          <w:trHeight w:val="624"/>
        </w:trPr>
        <w:tc>
          <w:tcPr>
            <w:tcW w:w="1739" w:type="pct"/>
          </w:tcPr>
          <w:p w14:paraId="40BDC4E4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translational elongation</w:t>
            </w:r>
          </w:p>
        </w:tc>
        <w:tc>
          <w:tcPr>
            <w:tcW w:w="1482" w:type="pct"/>
          </w:tcPr>
          <w:p w14:paraId="4B3726AF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inner membrane</w:t>
            </w:r>
          </w:p>
        </w:tc>
        <w:tc>
          <w:tcPr>
            <w:tcW w:w="1504" w:type="pct"/>
          </w:tcPr>
          <w:p w14:paraId="1DD3E8D5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Protein homodimerization activity</w:t>
            </w:r>
          </w:p>
        </w:tc>
        <w:tc>
          <w:tcPr>
            <w:tcW w:w="275" w:type="pct"/>
          </w:tcPr>
          <w:p w14:paraId="65980460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417E1445" w14:textId="77777777" w:rsidTr="003F56A5">
        <w:trPr>
          <w:trHeight w:val="624"/>
        </w:trPr>
        <w:tc>
          <w:tcPr>
            <w:tcW w:w="1739" w:type="pct"/>
          </w:tcPr>
          <w:p w14:paraId="7C4C76BE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translational termination</w:t>
            </w:r>
          </w:p>
        </w:tc>
        <w:tc>
          <w:tcPr>
            <w:tcW w:w="1482" w:type="pct"/>
          </w:tcPr>
          <w:p w14:paraId="1C7445C5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Cytoskeleton</w:t>
            </w:r>
          </w:p>
        </w:tc>
        <w:tc>
          <w:tcPr>
            <w:tcW w:w="1504" w:type="pct"/>
          </w:tcPr>
          <w:p w14:paraId="33A55C07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Ubiquitin protein ligase binding</w:t>
            </w:r>
          </w:p>
        </w:tc>
        <w:tc>
          <w:tcPr>
            <w:tcW w:w="275" w:type="pct"/>
          </w:tcPr>
          <w:p w14:paraId="69C83AA1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3F8AC2DA" w14:textId="77777777" w:rsidTr="003F56A5">
        <w:trPr>
          <w:trHeight w:val="624"/>
        </w:trPr>
        <w:tc>
          <w:tcPr>
            <w:tcW w:w="1739" w:type="pct"/>
          </w:tcPr>
          <w:p w14:paraId="1CDC767B" w14:textId="77777777" w:rsidR="002E3E61" w:rsidRPr="00354545" w:rsidRDefault="002E3E61" w:rsidP="00E301C4">
            <w:pPr>
              <w:widowControl/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translation</w:t>
            </w:r>
          </w:p>
        </w:tc>
        <w:tc>
          <w:tcPr>
            <w:tcW w:w="1482" w:type="pct"/>
          </w:tcPr>
          <w:p w14:paraId="50BA173D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Secretory granule lumen</w:t>
            </w:r>
          </w:p>
        </w:tc>
        <w:tc>
          <w:tcPr>
            <w:tcW w:w="1504" w:type="pct"/>
          </w:tcPr>
          <w:p w14:paraId="0E1A4EBD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Enzyme binding</w:t>
            </w:r>
          </w:p>
        </w:tc>
        <w:tc>
          <w:tcPr>
            <w:tcW w:w="275" w:type="pct"/>
          </w:tcPr>
          <w:p w14:paraId="224B5864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782CEFF0" w14:textId="77777777" w:rsidTr="003F56A5">
        <w:trPr>
          <w:trHeight w:val="624"/>
        </w:trPr>
        <w:tc>
          <w:tcPr>
            <w:tcW w:w="1739" w:type="pct"/>
          </w:tcPr>
          <w:p w14:paraId="49620CD2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Glycerol ether metabolic process</w:t>
            </w:r>
          </w:p>
        </w:tc>
        <w:tc>
          <w:tcPr>
            <w:tcW w:w="1482" w:type="pct"/>
          </w:tcPr>
          <w:p w14:paraId="5192B625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Ficolin-1-rich granule lumen</w:t>
            </w:r>
          </w:p>
        </w:tc>
        <w:tc>
          <w:tcPr>
            <w:tcW w:w="1504" w:type="pct"/>
          </w:tcPr>
          <w:p w14:paraId="04628BD4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Caspase binding</w:t>
            </w:r>
          </w:p>
        </w:tc>
        <w:tc>
          <w:tcPr>
            <w:tcW w:w="275" w:type="pct"/>
          </w:tcPr>
          <w:p w14:paraId="539AE416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2A6235D8" w14:textId="77777777" w:rsidTr="003F56A5">
        <w:trPr>
          <w:trHeight w:val="624"/>
        </w:trPr>
        <w:tc>
          <w:tcPr>
            <w:tcW w:w="1739" w:type="pct"/>
          </w:tcPr>
          <w:p w14:paraId="6EFDC31F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Synaptic vesicle uncoating</w:t>
            </w:r>
          </w:p>
        </w:tc>
        <w:tc>
          <w:tcPr>
            <w:tcW w:w="1482" w:type="pct"/>
          </w:tcPr>
          <w:p w14:paraId="18335CB2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small ribosomal subunit</w:t>
            </w:r>
          </w:p>
        </w:tc>
        <w:tc>
          <w:tcPr>
            <w:tcW w:w="1504" w:type="pct"/>
          </w:tcPr>
          <w:p w14:paraId="0577E9D1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CARD domain binding</w:t>
            </w:r>
          </w:p>
        </w:tc>
        <w:tc>
          <w:tcPr>
            <w:tcW w:w="275" w:type="pct"/>
          </w:tcPr>
          <w:p w14:paraId="64519F89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3702915F" w14:textId="77777777" w:rsidTr="003F56A5">
        <w:trPr>
          <w:trHeight w:val="624"/>
        </w:trPr>
        <w:tc>
          <w:tcPr>
            <w:tcW w:w="1739" w:type="pct"/>
          </w:tcPr>
          <w:p w14:paraId="14B8689A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 xml:space="preserve">Regulation of </w:t>
            </w:r>
            <w:proofErr w:type="spellStart"/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clathrin</w:t>
            </w:r>
            <w:proofErr w:type="spellEnd"/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-dependent endocytosis</w:t>
            </w:r>
          </w:p>
        </w:tc>
        <w:tc>
          <w:tcPr>
            <w:tcW w:w="1482" w:type="pct"/>
          </w:tcPr>
          <w:p w14:paraId="01919A37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nucleoid</w:t>
            </w:r>
          </w:p>
        </w:tc>
        <w:tc>
          <w:tcPr>
            <w:tcW w:w="1504" w:type="pct"/>
          </w:tcPr>
          <w:p w14:paraId="49D5E148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Protein disulfide oxidoreductase activity</w:t>
            </w:r>
          </w:p>
        </w:tc>
        <w:tc>
          <w:tcPr>
            <w:tcW w:w="275" w:type="pct"/>
          </w:tcPr>
          <w:p w14:paraId="2D3074EE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  <w:tr w:rsidR="002E3E61" w:rsidRPr="00354545" w14:paraId="13CAC0D0" w14:textId="77777777" w:rsidTr="003F56A5">
        <w:trPr>
          <w:trHeight w:val="624"/>
        </w:trPr>
        <w:tc>
          <w:tcPr>
            <w:tcW w:w="1739" w:type="pct"/>
          </w:tcPr>
          <w:p w14:paraId="788FCB37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Nucleoside triphosphate biosynthetic process</w:t>
            </w:r>
          </w:p>
        </w:tc>
        <w:tc>
          <w:tcPr>
            <w:tcW w:w="1482" w:type="pct"/>
          </w:tcPr>
          <w:p w14:paraId="3F73F7CA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Mitochondrial large ribosomal subunit</w:t>
            </w:r>
          </w:p>
        </w:tc>
        <w:tc>
          <w:tcPr>
            <w:tcW w:w="1504" w:type="pct"/>
          </w:tcPr>
          <w:p w14:paraId="5EF5CF22" w14:textId="77777777" w:rsidR="002E3E61" w:rsidRPr="00354545" w:rsidRDefault="002E3E61" w:rsidP="00E301C4">
            <w:pPr>
              <w:jc w:val="both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354545">
              <w:rPr>
                <w:rFonts w:eastAsia="等线" w:cs="Times New Roman"/>
                <w:color w:val="000000"/>
                <w:sz w:val="21"/>
                <w:szCs w:val="21"/>
              </w:rPr>
              <w:t>Ubiquitin-like protein ligase binding</w:t>
            </w:r>
          </w:p>
        </w:tc>
        <w:tc>
          <w:tcPr>
            <w:tcW w:w="275" w:type="pct"/>
          </w:tcPr>
          <w:p w14:paraId="17182186" w14:textId="77777777" w:rsidR="002E3E61" w:rsidRPr="00354545" w:rsidRDefault="002E3E61" w:rsidP="00E301C4">
            <w:pPr>
              <w:widowControl/>
              <w:jc w:val="both"/>
              <w:rPr>
                <w:rFonts w:cs="Times New Roman"/>
                <w:color w:val="000000"/>
                <w:sz w:val="21"/>
                <w:szCs w:val="21"/>
              </w:rPr>
            </w:pPr>
            <w:r w:rsidRPr="00354545">
              <w:rPr>
                <w:rFonts w:cs="Times New Roman"/>
                <w:color w:val="000000"/>
                <w:sz w:val="21"/>
                <w:szCs w:val="21"/>
              </w:rPr>
              <w:t>Down</w:t>
            </w:r>
          </w:p>
        </w:tc>
      </w:tr>
    </w:tbl>
    <w:p w14:paraId="6453A8B4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hAnsi="Times New Roman" w:cs="Times New Roman"/>
        </w:rPr>
      </w:pPr>
    </w:p>
    <w:p w14:paraId="787BE39E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</w:p>
    <w:p w14:paraId="43D8299F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b/>
          <w:bCs/>
          <w:sz w:val="24"/>
        </w:rPr>
      </w:pPr>
    </w:p>
    <w:p w14:paraId="6208210B" w14:textId="77777777" w:rsidR="002E3E61" w:rsidRPr="00354545" w:rsidRDefault="002E3E61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</w:p>
    <w:p w14:paraId="5A98EE1E" w14:textId="289E7A7E" w:rsidR="00C92B84" w:rsidRPr="00354545" w:rsidRDefault="00C92B84" w:rsidP="00E301C4">
      <w:pPr>
        <w:adjustRightInd w:val="0"/>
        <w:snapToGrid w:val="0"/>
        <w:spacing w:line="300" w:lineRule="auto"/>
        <w:jc w:val="both"/>
        <w:rPr>
          <w:rFonts w:ascii="Times New Roman" w:eastAsia="宋体" w:hAnsi="Times New Roman" w:cs="Times New Roman"/>
          <w:sz w:val="24"/>
        </w:rPr>
      </w:pPr>
    </w:p>
    <w:sectPr w:rsidR="00C92B84" w:rsidRPr="00354545" w:rsidSect="003F56A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773228" w14:textId="77777777" w:rsidR="00091BC6" w:rsidRDefault="00091BC6" w:rsidP="00C92B84">
      <w:r>
        <w:separator/>
      </w:r>
    </w:p>
  </w:endnote>
  <w:endnote w:type="continuationSeparator" w:id="0">
    <w:p w14:paraId="1462F91D" w14:textId="77777777" w:rsidR="00091BC6" w:rsidRDefault="00091BC6" w:rsidP="00C92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513726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42A18F" w14:textId="5F196B50" w:rsidR="0020362D" w:rsidRDefault="0020362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C87974B" w14:textId="77777777" w:rsidR="0020362D" w:rsidRDefault="002036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86C8C7" w14:textId="77777777" w:rsidR="00091BC6" w:rsidRDefault="00091BC6" w:rsidP="00C92B84">
      <w:r>
        <w:separator/>
      </w:r>
    </w:p>
  </w:footnote>
  <w:footnote w:type="continuationSeparator" w:id="0">
    <w:p w14:paraId="548765B0" w14:textId="77777777" w:rsidR="00091BC6" w:rsidRDefault="00091BC6" w:rsidP="00C92B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CC6B3F"/>
    <w:multiLevelType w:val="hybridMultilevel"/>
    <w:tmpl w:val="291C756C"/>
    <w:lvl w:ilvl="0" w:tplc="ABF44C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Molecular Sys Bi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ww5ftrxxtexw4edze6vf290sfxvs5r5f0rs&quot;&gt;My EndNote Library&lt;record-ids&gt;&lt;item&gt;70&lt;/item&gt;&lt;item&gt;277&lt;/item&gt;&lt;item&gt;885&lt;/item&gt;&lt;item&gt;893&lt;/item&gt;&lt;item&gt;935&lt;/item&gt;&lt;item&gt;939&lt;/item&gt;&lt;item&gt;956&lt;/item&gt;&lt;item&gt;973&lt;/item&gt;&lt;item&gt;985&lt;/item&gt;&lt;item&gt;1317&lt;/item&gt;&lt;item&gt;1324&lt;/item&gt;&lt;item&gt;1336&lt;/item&gt;&lt;item&gt;1341&lt;/item&gt;&lt;item&gt;1363&lt;/item&gt;&lt;item&gt;1497&lt;/item&gt;&lt;item&gt;1498&lt;/item&gt;&lt;item&gt;1561&lt;/item&gt;&lt;item&gt;1562&lt;/item&gt;&lt;item&gt;1570&lt;/item&gt;&lt;item&gt;1621&lt;/item&gt;&lt;item&gt;2443&lt;/item&gt;&lt;item&gt;2453&lt;/item&gt;&lt;item&gt;2458&lt;/item&gt;&lt;item&gt;2460&lt;/item&gt;&lt;item&gt;2464&lt;/item&gt;&lt;item&gt;2465&lt;/item&gt;&lt;item&gt;2466&lt;/item&gt;&lt;item&gt;2489&lt;/item&gt;&lt;item&gt;2507&lt;/item&gt;&lt;item&gt;2513&lt;/item&gt;&lt;item&gt;2516&lt;/item&gt;&lt;item&gt;2536&lt;/item&gt;&lt;item&gt;2540&lt;/item&gt;&lt;item&gt;2544&lt;/item&gt;&lt;item&gt;2559&lt;/item&gt;&lt;item&gt;2572&lt;/item&gt;&lt;item&gt;2576&lt;/item&gt;&lt;item&gt;2578&lt;/item&gt;&lt;item&gt;2580&lt;/item&gt;&lt;item&gt;2591&lt;/item&gt;&lt;item&gt;2593&lt;/item&gt;&lt;item&gt;2595&lt;/item&gt;&lt;item&gt;2596&lt;/item&gt;&lt;item&gt;2602&lt;/item&gt;&lt;item&gt;2605&lt;/item&gt;&lt;item&gt;2608&lt;/item&gt;&lt;item&gt;2609&lt;/item&gt;&lt;item&gt;2611&lt;/item&gt;&lt;item&gt;2613&lt;/item&gt;&lt;item&gt;2614&lt;/item&gt;&lt;item&gt;2615&lt;/item&gt;&lt;item&gt;2616&lt;/item&gt;&lt;item&gt;2617&lt;/item&gt;&lt;item&gt;2620&lt;/item&gt;&lt;item&gt;2626&lt;/item&gt;&lt;item&gt;2630&lt;/item&gt;&lt;item&gt;2632&lt;/item&gt;&lt;item&gt;2633&lt;/item&gt;&lt;item&gt;2634&lt;/item&gt;&lt;item&gt;2640&lt;/item&gt;&lt;item&gt;2641&lt;/item&gt;&lt;item&gt;2642&lt;/item&gt;&lt;item&gt;2643&lt;/item&gt;&lt;item&gt;2650&lt;/item&gt;&lt;item&gt;2654&lt;/item&gt;&lt;item&gt;2655&lt;/item&gt;&lt;item&gt;2656&lt;/item&gt;&lt;item&gt;2657&lt;/item&gt;&lt;item&gt;2662&lt;/item&gt;&lt;item&gt;2663&lt;/item&gt;&lt;item&gt;2665&lt;/item&gt;&lt;item&gt;2668&lt;/item&gt;&lt;item&gt;2669&lt;/item&gt;&lt;item&gt;2670&lt;/item&gt;&lt;item&gt;2671&lt;/item&gt;&lt;item&gt;2672&lt;/item&gt;&lt;item&gt;2673&lt;/item&gt;&lt;item&gt;2683&lt;/item&gt;&lt;item&gt;2684&lt;/item&gt;&lt;item&gt;2685&lt;/item&gt;&lt;item&gt;2687&lt;/item&gt;&lt;item&gt;2843&lt;/item&gt;&lt;item&gt;2844&lt;/item&gt;&lt;item&gt;2868&lt;/item&gt;&lt;item&gt;2901&lt;/item&gt;&lt;item&gt;2903&lt;/item&gt;&lt;item&gt;2905&lt;/item&gt;&lt;item&gt;2908&lt;/item&gt;&lt;item&gt;2910&lt;/item&gt;&lt;item&gt;2915&lt;/item&gt;&lt;item&gt;2917&lt;/item&gt;&lt;item&gt;2919&lt;/item&gt;&lt;/record-ids&gt;&lt;/item&gt;&lt;/Libraries&gt;"/>
  </w:docVars>
  <w:rsids>
    <w:rsidRoot w:val="00A15091"/>
    <w:rsid w:val="0000009C"/>
    <w:rsid w:val="000013E0"/>
    <w:rsid w:val="0000549E"/>
    <w:rsid w:val="0000698F"/>
    <w:rsid w:val="00011B84"/>
    <w:rsid w:val="0001228F"/>
    <w:rsid w:val="00013385"/>
    <w:rsid w:val="00015EF6"/>
    <w:rsid w:val="00021D2D"/>
    <w:rsid w:val="00021F99"/>
    <w:rsid w:val="0002263D"/>
    <w:rsid w:val="00023753"/>
    <w:rsid w:val="00025FAD"/>
    <w:rsid w:val="00026C01"/>
    <w:rsid w:val="00027411"/>
    <w:rsid w:val="00027A9E"/>
    <w:rsid w:val="00030A30"/>
    <w:rsid w:val="00040856"/>
    <w:rsid w:val="0004277D"/>
    <w:rsid w:val="00042E33"/>
    <w:rsid w:val="0004320A"/>
    <w:rsid w:val="00050458"/>
    <w:rsid w:val="000518E4"/>
    <w:rsid w:val="00052D8A"/>
    <w:rsid w:val="000535D6"/>
    <w:rsid w:val="00055D99"/>
    <w:rsid w:val="0006179D"/>
    <w:rsid w:val="00071523"/>
    <w:rsid w:val="00071C7A"/>
    <w:rsid w:val="00075740"/>
    <w:rsid w:val="00075AEC"/>
    <w:rsid w:val="000808BB"/>
    <w:rsid w:val="00082A94"/>
    <w:rsid w:val="000904DE"/>
    <w:rsid w:val="000917C8"/>
    <w:rsid w:val="00091BC6"/>
    <w:rsid w:val="000944EB"/>
    <w:rsid w:val="00096100"/>
    <w:rsid w:val="000A1C00"/>
    <w:rsid w:val="000A1DE9"/>
    <w:rsid w:val="000A36C2"/>
    <w:rsid w:val="000B483F"/>
    <w:rsid w:val="000C3ED1"/>
    <w:rsid w:val="000C5F1D"/>
    <w:rsid w:val="000C74C0"/>
    <w:rsid w:val="000C7F39"/>
    <w:rsid w:val="000D1D59"/>
    <w:rsid w:val="000D2E93"/>
    <w:rsid w:val="000D3E83"/>
    <w:rsid w:val="000D46B3"/>
    <w:rsid w:val="000D4AF1"/>
    <w:rsid w:val="000E1D3E"/>
    <w:rsid w:val="000E20F6"/>
    <w:rsid w:val="000E7D1A"/>
    <w:rsid w:val="000F0463"/>
    <w:rsid w:val="000F67AC"/>
    <w:rsid w:val="000F7D63"/>
    <w:rsid w:val="00100DA0"/>
    <w:rsid w:val="00104450"/>
    <w:rsid w:val="00105224"/>
    <w:rsid w:val="0011600D"/>
    <w:rsid w:val="0011691F"/>
    <w:rsid w:val="00116C14"/>
    <w:rsid w:val="001179F8"/>
    <w:rsid w:val="00121E87"/>
    <w:rsid w:val="00122493"/>
    <w:rsid w:val="00124FBE"/>
    <w:rsid w:val="0012685D"/>
    <w:rsid w:val="001340AB"/>
    <w:rsid w:val="0013459C"/>
    <w:rsid w:val="00135BC2"/>
    <w:rsid w:val="00144A12"/>
    <w:rsid w:val="00144A99"/>
    <w:rsid w:val="00146A96"/>
    <w:rsid w:val="00147F2A"/>
    <w:rsid w:val="0015078C"/>
    <w:rsid w:val="001525FA"/>
    <w:rsid w:val="001538C1"/>
    <w:rsid w:val="00157DB3"/>
    <w:rsid w:val="0016041F"/>
    <w:rsid w:val="0016085F"/>
    <w:rsid w:val="001618F2"/>
    <w:rsid w:val="00162CCE"/>
    <w:rsid w:val="00162EA4"/>
    <w:rsid w:val="0016369F"/>
    <w:rsid w:val="00164E53"/>
    <w:rsid w:val="00165893"/>
    <w:rsid w:val="00174550"/>
    <w:rsid w:val="00174F57"/>
    <w:rsid w:val="00176C4E"/>
    <w:rsid w:val="001809CA"/>
    <w:rsid w:val="00180FB8"/>
    <w:rsid w:val="0018308C"/>
    <w:rsid w:val="0018657D"/>
    <w:rsid w:val="001872EA"/>
    <w:rsid w:val="00191044"/>
    <w:rsid w:val="00191919"/>
    <w:rsid w:val="00192FF0"/>
    <w:rsid w:val="001930CF"/>
    <w:rsid w:val="00193519"/>
    <w:rsid w:val="001945E8"/>
    <w:rsid w:val="001A118D"/>
    <w:rsid w:val="001A1FC7"/>
    <w:rsid w:val="001B4C5F"/>
    <w:rsid w:val="001B5B60"/>
    <w:rsid w:val="001B6B06"/>
    <w:rsid w:val="001C001B"/>
    <w:rsid w:val="001C1036"/>
    <w:rsid w:val="001C348E"/>
    <w:rsid w:val="001C7B53"/>
    <w:rsid w:val="001D06B6"/>
    <w:rsid w:val="001D1053"/>
    <w:rsid w:val="001E0DC6"/>
    <w:rsid w:val="001E4F6B"/>
    <w:rsid w:val="001F06AF"/>
    <w:rsid w:val="001F114D"/>
    <w:rsid w:val="001F19FB"/>
    <w:rsid w:val="001F44F0"/>
    <w:rsid w:val="001F7B0A"/>
    <w:rsid w:val="001F7D50"/>
    <w:rsid w:val="0020362D"/>
    <w:rsid w:val="00204197"/>
    <w:rsid w:val="002048BB"/>
    <w:rsid w:val="002073DC"/>
    <w:rsid w:val="002101F8"/>
    <w:rsid w:val="00210D61"/>
    <w:rsid w:val="0021199A"/>
    <w:rsid w:val="00214CB8"/>
    <w:rsid w:val="00220D7A"/>
    <w:rsid w:val="00221CBF"/>
    <w:rsid w:val="002230A2"/>
    <w:rsid w:val="00223FC0"/>
    <w:rsid w:val="00224564"/>
    <w:rsid w:val="0022619A"/>
    <w:rsid w:val="002270BA"/>
    <w:rsid w:val="00230B59"/>
    <w:rsid w:val="00231FE4"/>
    <w:rsid w:val="002422EB"/>
    <w:rsid w:val="00242969"/>
    <w:rsid w:val="002434C1"/>
    <w:rsid w:val="0024355E"/>
    <w:rsid w:val="002478C8"/>
    <w:rsid w:val="0025176D"/>
    <w:rsid w:val="00252BC2"/>
    <w:rsid w:val="002531EA"/>
    <w:rsid w:val="002534CC"/>
    <w:rsid w:val="00253596"/>
    <w:rsid w:val="0025696C"/>
    <w:rsid w:val="00263EB4"/>
    <w:rsid w:val="002669A8"/>
    <w:rsid w:val="00266A35"/>
    <w:rsid w:val="002811FC"/>
    <w:rsid w:val="00290327"/>
    <w:rsid w:val="002941B0"/>
    <w:rsid w:val="00294DFA"/>
    <w:rsid w:val="00295099"/>
    <w:rsid w:val="0029585D"/>
    <w:rsid w:val="002963CD"/>
    <w:rsid w:val="00297429"/>
    <w:rsid w:val="002A1704"/>
    <w:rsid w:val="002A4515"/>
    <w:rsid w:val="002A4EFF"/>
    <w:rsid w:val="002A6E3E"/>
    <w:rsid w:val="002A7C04"/>
    <w:rsid w:val="002B7336"/>
    <w:rsid w:val="002B7F4B"/>
    <w:rsid w:val="002C16E6"/>
    <w:rsid w:val="002C1E47"/>
    <w:rsid w:val="002C6B8E"/>
    <w:rsid w:val="002C7704"/>
    <w:rsid w:val="002D1521"/>
    <w:rsid w:val="002E34CF"/>
    <w:rsid w:val="002E3E61"/>
    <w:rsid w:val="002E45DA"/>
    <w:rsid w:val="002E7A6F"/>
    <w:rsid w:val="002F2F88"/>
    <w:rsid w:val="002F4020"/>
    <w:rsid w:val="002F5760"/>
    <w:rsid w:val="002F750E"/>
    <w:rsid w:val="00305C6B"/>
    <w:rsid w:val="00305D44"/>
    <w:rsid w:val="0031081E"/>
    <w:rsid w:val="0031276D"/>
    <w:rsid w:val="003157D3"/>
    <w:rsid w:val="0031758A"/>
    <w:rsid w:val="00320A7C"/>
    <w:rsid w:val="00322208"/>
    <w:rsid w:val="003239BA"/>
    <w:rsid w:val="00323DCB"/>
    <w:rsid w:val="00324305"/>
    <w:rsid w:val="00336171"/>
    <w:rsid w:val="003411AE"/>
    <w:rsid w:val="003453AB"/>
    <w:rsid w:val="003464DC"/>
    <w:rsid w:val="003477CA"/>
    <w:rsid w:val="00350312"/>
    <w:rsid w:val="0035040F"/>
    <w:rsid w:val="00354545"/>
    <w:rsid w:val="003621FF"/>
    <w:rsid w:val="00362DA7"/>
    <w:rsid w:val="00363CBA"/>
    <w:rsid w:val="003710CD"/>
    <w:rsid w:val="0037280D"/>
    <w:rsid w:val="0037629E"/>
    <w:rsid w:val="003779B5"/>
    <w:rsid w:val="003803E1"/>
    <w:rsid w:val="00381D6F"/>
    <w:rsid w:val="00383586"/>
    <w:rsid w:val="00390A8E"/>
    <w:rsid w:val="00390BF3"/>
    <w:rsid w:val="00391CA9"/>
    <w:rsid w:val="003962C3"/>
    <w:rsid w:val="003A113C"/>
    <w:rsid w:val="003A165F"/>
    <w:rsid w:val="003A17DC"/>
    <w:rsid w:val="003A2395"/>
    <w:rsid w:val="003A5648"/>
    <w:rsid w:val="003A7355"/>
    <w:rsid w:val="003B0596"/>
    <w:rsid w:val="003B6214"/>
    <w:rsid w:val="003C1787"/>
    <w:rsid w:val="003D2BD9"/>
    <w:rsid w:val="003D497B"/>
    <w:rsid w:val="003D5203"/>
    <w:rsid w:val="003E15D7"/>
    <w:rsid w:val="003E4E15"/>
    <w:rsid w:val="003E5804"/>
    <w:rsid w:val="003F3C2E"/>
    <w:rsid w:val="003F56A5"/>
    <w:rsid w:val="00403FB5"/>
    <w:rsid w:val="004055B0"/>
    <w:rsid w:val="00407949"/>
    <w:rsid w:val="00407D6A"/>
    <w:rsid w:val="00410A50"/>
    <w:rsid w:val="004127C2"/>
    <w:rsid w:val="00414B74"/>
    <w:rsid w:val="004173B5"/>
    <w:rsid w:val="00417834"/>
    <w:rsid w:val="00424389"/>
    <w:rsid w:val="00426423"/>
    <w:rsid w:val="00430070"/>
    <w:rsid w:val="004320E5"/>
    <w:rsid w:val="004321AA"/>
    <w:rsid w:val="00432DE1"/>
    <w:rsid w:val="00435A63"/>
    <w:rsid w:val="00436CAF"/>
    <w:rsid w:val="004411BE"/>
    <w:rsid w:val="0044188E"/>
    <w:rsid w:val="004422B0"/>
    <w:rsid w:val="00443309"/>
    <w:rsid w:val="00444E19"/>
    <w:rsid w:val="0044582A"/>
    <w:rsid w:val="0044584D"/>
    <w:rsid w:val="004504F3"/>
    <w:rsid w:val="004508EE"/>
    <w:rsid w:val="004517B0"/>
    <w:rsid w:val="004521AF"/>
    <w:rsid w:val="00455A1D"/>
    <w:rsid w:val="004563E6"/>
    <w:rsid w:val="00456D1E"/>
    <w:rsid w:val="00457014"/>
    <w:rsid w:val="00460ECD"/>
    <w:rsid w:val="004619C9"/>
    <w:rsid w:val="004634AD"/>
    <w:rsid w:val="004672F0"/>
    <w:rsid w:val="00470037"/>
    <w:rsid w:val="0047069A"/>
    <w:rsid w:val="00470C34"/>
    <w:rsid w:val="004712D1"/>
    <w:rsid w:val="0047200B"/>
    <w:rsid w:val="00473B0C"/>
    <w:rsid w:val="00474752"/>
    <w:rsid w:val="00475E64"/>
    <w:rsid w:val="0047620D"/>
    <w:rsid w:val="004809D9"/>
    <w:rsid w:val="00480EA6"/>
    <w:rsid w:val="00482EDA"/>
    <w:rsid w:val="00487E0B"/>
    <w:rsid w:val="00496C5F"/>
    <w:rsid w:val="004A01A8"/>
    <w:rsid w:val="004A1431"/>
    <w:rsid w:val="004A2473"/>
    <w:rsid w:val="004A25BF"/>
    <w:rsid w:val="004B5E44"/>
    <w:rsid w:val="004C0929"/>
    <w:rsid w:val="004C2B8E"/>
    <w:rsid w:val="004C2F0C"/>
    <w:rsid w:val="004C642D"/>
    <w:rsid w:val="004D18F8"/>
    <w:rsid w:val="004D5A1F"/>
    <w:rsid w:val="004D5F13"/>
    <w:rsid w:val="004D7C1E"/>
    <w:rsid w:val="004F242A"/>
    <w:rsid w:val="004F2612"/>
    <w:rsid w:val="004F2C62"/>
    <w:rsid w:val="004F4F57"/>
    <w:rsid w:val="00502362"/>
    <w:rsid w:val="005036B9"/>
    <w:rsid w:val="00510038"/>
    <w:rsid w:val="00511D27"/>
    <w:rsid w:val="005120D8"/>
    <w:rsid w:val="00514069"/>
    <w:rsid w:val="005143D0"/>
    <w:rsid w:val="005160AA"/>
    <w:rsid w:val="00517532"/>
    <w:rsid w:val="0052073C"/>
    <w:rsid w:val="00520866"/>
    <w:rsid w:val="00523FC4"/>
    <w:rsid w:val="00525F81"/>
    <w:rsid w:val="00526AAF"/>
    <w:rsid w:val="005314C0"/>
    <w:rsid w:val="00531D01"/>
    <w:rsid w:val="005350C0"/>
    <w:rsid w:val="00542795"/>
    <w:rsid w:val="00544159"/>
    <w:rsid w:val="005444E4"/>
    <w:rsid w:val="0054599E"/>
    <w:rsid w:val="005467D3"/>
    <w:rsid w:val="00552004"/>
    <w:rsid w:val="00552A2A"/>
    <w:rsid w:val="00554153"/>
    <w:rsid w:val="005549A8"/>
    <w:rsid w:val="00561E09"/>
    <w:rsid w:val="00564A75"/>
    <w:rsid w:val="00565A49"/>
    <w:rsid w:val="00566A81"/>
    <w:rsid w:val="005702BE"/>
    <w:rsid w:val="00570DCA"/>
    <w:rsid w:val="00571074"/>
    <w:rsid w:val="00573401"/>
    <w:rsid w:val="00575D96"/>
    <w:rsid w:val="005811E0"/>
    <w:rsid w:val="00584AF8"/>
    <w:rsid w:val="00586F1D"/>
    <w:rsid w:val="00592394"/>
    <w:rsid w:val="005A09BA"/>
    <w:rsid w:val="005A4F5A"/>
    <w:rsid w:val="005A4FD4"/>
    <w:rsid w:val="005A71AF"/>
    <w:rsid w:val="005A7A68"/>
    <w:rsid w:val="005B0125"/>
    <w:rsid w:val="005B232F"/>
    <w:rsid w:val="005B483D"/>
    <w:rsid w:val="005B5BBD"/>
    <w:rsid w:val="005B7D75"/>
    <w:rsid w:val="005C71E8"/>
    <w:rsid w:val="005D1029"/>
    <w:rsid w:val="005D2E81"/>
    <w:rsid w:val="005D3C1C"/>
    <w:rsid w:val="005D7437"/>
    <w:rsid w:val="005E24BD"/>
    <w:rsid w:val="005E34CD"/>
    <w:rsid w:val="005E5FAF"/>
    <w:rsid w:val="005E7940"/>
    <w:rsid w:val="005F1CAF"/>
    <w:rsid w:val="005F4B0A"/>
    <w:rsid w:val="005F6596"/>
    <w:rsid w:val="005F7A74"/>
    <w:rsid w:val="00600EF1"/>
    <w:rsid w:val="006012C1"/>
    <w:rsid w:val="00602903"/>
    <w:rsid w:val="00605C5E"/>
    <w:rsid w:val="00606493"/>
    <w:rsid w:val="00606D97"/>
    <w:rsid w:val="006107FE"/>
    <w:rsid w:val="006109F5"/>
    <w:rsid w:val="00610FE0"/>
    <w:rsid w:val="006114A8"/>
    <w:rsid w:val="00611EE2"/>
    <w:rsid w:val="006122B7"/>
    <w:rsid w:val="006144BE"/>
    <w:rsid w:val="00615694"/>
    <w:rsid w:val="006163C2"/>
    <w:rsid w:val="006172FA"/>
    <w:rsid w:val="00617E22"/>
    <w:rsid w:val="00622CDE"/>
    <w:rsid w:val="00623449"/>
    <w:rsid w:val="0062799A"/>
    <w:rsid w:val="00632EEE"/>
    <w:rsid w:val="00637438"/>
    <w:rsid w:val="00637C35"/>
    <w:rsid w:val="00637EA8"/>
    <w:rsid w:val="00641882"/>
    <w:rsid w:val="00642BF8"/>
    <w:rsid w:val="006433B4"/>
    <w:rsid w:val="00645822"/>
    <w:rsid w:val="00645A70"/>
    <w:rsid w:val="00645E01"/>
    <w:rsid w:val="00646F23"/>
    <w:rsid w:val="0065370A"/>
    <w:rsid w:val="00656495"/>
    <w:rsid w:val="00660260"/>
    <w:rsid w:val="00660CF9"/>
    <w:rsid w:val="00661B3E"/>
    <w:rsid w:val="006621C4"/>
    <w:rsid w:val="00677E6C"/>
    <w:rsid w:val="00687D6D"/>
    <w:rsid w:val="00690141"/>
    <w:rsid w:val="00690E88"/>
    <w:rsid w:val="00696433"/>
    <w:rsid w:val="006A3708"/>
    <w:rsid w:val="006A3949"/>
    <w:rsid w:val="006A403C"/>
    <w:rsid w:val="006A4BE1"/>
    <w:rsid w:val="006B4AD7"/>
    <w:rsid w:val="006C12E1"/>
    <w:rsid w:val="006C33C6"/>
    <w:rsid w:val="006D1454"/>
    <w:rsid w:val="006D248D"/>
    <w:rsid w:val="006D2C2C"/>
    <w:rsid w:val="006D74C1"/>
    <w:rsid w:val="006D7F76"/>
    <w:rsid w:val="006E0A71"/>
    <w:rsid w:val="006E3080"/>
    <w:rsid w:val="006E63CC"/>
    <w:rsid w:val="006E77D3"/>
    <w:rsid w:val="006F0285"/>
    <w:rsid w:val="006F4A70"/>
    <w:rsid w:val="006F4B62"/>
    <w:rsid w:val="006F58BC"/>
    <w:rsid w:val="006F7F56"/>
    <w:rsid w:val="007024E5"/>
    <w:rsid w:val="00702AEF"/>
    <w:rsid w:val="00702E2C"/>
    <w:rsid w:val="00702E5C"/>
    <w:rsid w:val="007041B6"/>
    <w:rsid w:val="00707622"/>
    <w:rsid w:val="00713FBA"/>
    <w:rsid w:val="007235CE"/>
    <w:rsid w:val="00724CB5"/>
    <w:rsid w:val="00725637"/>
    <w:rsid w:val="007256C0"/>
    <w:rsid w:val="0073145D"/>
    <w:rsid w:val="00732267"/>
    <w:rsid w:val="00733569"/>
    <w:rsid w:val="00733F22"/>
    <w:rsid w:val="00742EDD"/>
    <w:rsid w:val="007432D9"/>
    <w:rsid w:val="00747D2C"/>
    <w:rsid w:val="0075340E"/>
    <w:rsid w:val="0075341F"/>
    <w:rsid w:val="00753EC2"/>
    <w:rsid w:val="00754B63"/>
    <w:rsid w:val="0075666A"/>
    <w:rsid w:val="00756A4B"/>
    <w:rsid w:val="007570AF"/>
    <w:rsid w:val="007621CA"/>
    <w:rsid w:val="0076448C"/>
    <w:rsid w:val="007644D4"/>
    <w:rsid w:val="00765F93"/>
    <w:rsid w:val="0076773A"/>
    <w:rsid w:val="007678D7"/>
    <w:rsid w:val="00773116"/>
    <w:rsid w:val="0077606F"/>
    <w:rsid w:val="00777812"/>
    <w:rsid w:val="007816B2"/>
    <w:rsid w:val="007823AA"/>
    <w:rsid w:val="0078794C"/>
    <w:rsid w:val="00790F6C"/>
    <w:rsid w:val="00791A2F"/>
    <w:rsid w:val="00792528"/>
    <w:rsid w:val="007979A6"/>
    <w:rsid w:val="007A0977"/>
    <w:rsid w:val="007A10C2"/>
    <w:rsid w:val="007A2F96"/>
    <w:rsid w:val="007A4B0E"/>
    <w:rsid w:val="007A64C8"/>
    <w:rsid w:val="007A73AF"/>
    <w:rsid w:val="007B23A5"/>
    <w:rsid w:val="007B2A53"/>
    <w:rsid w:val="007B30E7"/>
    <w:rsid w:val="007B3154"/>
    <w:rsid w:val="007C0263"/>
    <w:rsid w:val="007C05E1"/>
    <w:rsid w:val="007C157A"/>
    <w:rsid w:val="007C205C"/>
    <w:rsid w:val="007D4435"/>
    <w:rsid w:val="007D4DF7"/>
    <w:rsid w:val="007D603C"/>
    <w:rsid w:val="007D77C2"/>
    <w:rsid w:val="007E29D1"/>
    <w:rsid w:val="007E4597"/>
    <w:rsid w:val="007F2ED0"/>
    <w:rsid w:val="008038A3"/>
    <w:rsid w:val="008139BC"/>
    <w:rsid w:val="00813B68"/>
    <w:rsid w:val="00821F27"/>
    <w:rsid w:val="00822105"/>
    <w:rsid w:val="00822D72"/>
    <w:rsid w:val="00823582"/>
    <w:rsid w:val="00825F4A"/>
    <w:rsid w:val="00826335"/>
    <w:rsid w:val="008270DA"/>
    <w:rsid w:val="00830231"/>
    <w:rsid w:val="00830E6F"/>
    <w:rsid w:val="00834EA5"/>
    <w:rsid w:val="0084008B"/>
    <w:rsid w:val="008414E0"/>
    <w:rsid w:val="00844A8D"/>
    <w:rsid w:val="00847950"/>
    <w:rsid w:val="0085145B"/>
    <w:rsid w:val="008572AE"/>
    <w:rsid w:val="008639F0"/>
    <w:rsid w:val="00864F0F"/>
    <w:rsid w:val="0087175A"/>
    <w:rsid w:val="008761CA"/>
    <w:rsid w:val="008808DC"/>
    <w:rsid w:val="008819F9"/>
    <w:rsid w:val="00882AF9"/>
    <w:rsid w:val="00886447"/>
    <w:rsid w:val="00886A84"/>
    <w:rsid w:val="00887965"/>
    <w:rsid w:val="008879C8"/>
    <w:rsid w:val="00891C36"/>
    <w:rsid w:val="00893151"/>
    <w:rsid w:val="00894294"/>
    <w:rsid w:val="00897138"/>
    <w:rsid w:val="008A1040"/>
    <w:rsid w:val="008A60FA"/>
    <w:rsid w:val="008B1953"/>
    <w:rsid w:val="008C2E3E"/>
    <w:rsid w:val="008C635C"/>
    <w:rsid w:val="008C7AEA"/>
    <w:rsid w:val="008D1E21"/>
    <w:rsid w:val="008D425C"/>
    <w:rsid w:val="008D4AA1"/>
    <w:rsid w:val="008D733E"/>
    <w:rsid w:val="008E2165"/>
    <w:rsid w:val="008E278F"/>
    <w:rsid w:val="008E3CCB"/>
    <w:rsid w:val="008E4121"/>
    <w:rsid w:val="008E76B8"/>
    <w:rsid w:val="008F1216"/>
    <w:rsid w:val="008F5ECC"/>
    <w:rsid w:val="008F74C2"/>
    <w:rsid w:val="009060E4"/>
    <w:rsid w:val="00911C33"/>
    <w:rsid w:val="00911CFF"/>
    <w:rsid w:val="00924275"/>
    <w:rsid w:val="00925066"/>
    <w:rsid w:val="00925221"/>
    <w:rsid w:val="00925E25"/>
    <w:rsid w:val="00930D04"/>
    <w:rsid w:val="009318C8"/>
    <w:rsid w:val="0093342A"/>
    <w:rsid w:val="009334DF"/>
    <w:rsid w:val="00933B22"/>
    <w:rsid w:val="00937482"/>
    <w:rsid w:val="009375A2"/>
    <w:rsid w:val="009435B8"/>
    <w:rsid w:val="0094617D"/>
    <w:rsid w:val="0094652C"/>
    <w:rsid w:val="009477DD"/>
    <w:rsid w:val="00950295"/>
    <w:rsid w:val="00950844"/>
    <w:rsid w:val="009526EC"/>
    <w:rsid w:val="00956E78"/>
    <w:rsid w:val="00960F72"/>
    <w:rsid w:val="00964099"/>
    <w:rsid w:val="00964105"/>
    <w:rsid w:val="00964F51"/>
    <w:rsid w:val="0097416C"/>
    <w:rsid w:val="009749BD"/>
    <w:rsid w:val="00975397"/>
    <w:rsid w:val="009872B6"/>
    <w:rsid w:val="009877BE"/>
    <w:rsid w:val="009919F0"/>
    <w:rsid w:val="009A634F"/>
    <w:rsid w:val="009B068A"/>
    <w:rsid w:val="009B43B4"/>
    <w:rsid w:val="009C0FEB"/>
    <w:rsid w:val="009C369F"/>
    <w:rsid w:val="009D0E63"/>
    <w:rsid w:val="009D5BE5"/>
    <w:rsid w:val="009D5E41"/>
    <w:rsid w:val="009E022D"/>
    <w:rsid w:val="009E242C"/>
    <w:rsid w:val="009E2D3E"/>
    <w:rsid w:val="009E4660"/>
    <w:rsid w:val="009E55E1"/>
    <w:rsid w:val="009F01E5"/>
    <w:rsid w:val="009F22B6"/>
    <w:rsid w:val="009F3FB5"/>
    <w:rsid w:val="00A00622"/>
    <w:rsid w:val="00A02FB2"/>
    <w:rsid w:val="00A035F4"/>
    <w:rsid w:val="00A0732B"/>
    <w:rsid w:val="00A15091"/>
    <w:rsid w:val="00A15725"/>
    <w:rsid w:val="00A15A3F"/>
    <w:rsid w:val="00A17BE1"/>
    <w:rsid w:val="00A23E57"/>
    <w:rsid w:val="00A25A10"/>
    <w:rsid w:val="00A25FCE"/>
    <w:rsid w:val="00A3363D"/>
    <w:rsid w:val="00A359FB"/>
    <w:rsid w:val="00A438E0"/>
    <w:rsid w:val="00A43F86"/>
    <w:rsid w:val="00A44330"/>
    <w:rsid w:val="00A44A59"/>
    <w:rsid w:val="00A45FF6"/>
    <w:rsid w:val="00A51135"/>
    <w:rsid w:val="00A51A50"/>
    <w:rsid w:val="00A60F54"/>
    <w:rsid w:val="00A61582"/>
    <w:rsid w:val="00A6402F"/>
    <w:rsid w:val="00A67E3D"/>
    <w:rsid w:val="00A71453"/>
    <w:rsid w:val="00A74BE6"/>
    <w:rsid w:val="00A74C23"/>
    <w:rsid w:val="00A76E5B"/>
    <w:rsid w:val="00A774FB"/>
    <w:rsid w:val="00A80A42"/>
    <w:rsid w:val="00A81E35"/>
    <w:rsid w:val="00A8602E"/>
    <w:rsid w:val="00A9463C"/>
    <w:rsid w:val="00A96B9A"/>
    <w:rsid w:val="00A96F0B"/>
    <w:rsid w:val="00AA0FF6"/>
    <w:rsid w:val="00AA274B"/>
    <w:rsid w:val="00AA2B00"/>
    <w:rsid w:val="00AA41C2"/>
    <w:rsid w:val="00AA63E7"/>
    <w:rsid w:val="00AB45E6"/>
    <w:rsid w:val="00AB4787"/>
    <w:rsid w:val="00AB5B12"/>
    <w:rsid w:val="00AB706E"/>
    <w:rsid w:val="00AB79A6"/>
    <w:rsid w:val="00AC16D1"/>
    <w:rsid w:val="00AD09E3"/>
    <w:rsid w:val="00AD0AB2"/>
    <w:rsid w:val="00AD2575"/>
    <w:rsid w:val="00AD382B"/>
    <w:rsid w:val="00AD43DD"/>
    <w:rsid w:val="00AD554E"/>
    <w:rsid w:val="00AD7A8B"/>
    <w:rsid w:val="00AE080D"/>
    <w:rsid w:val="00AE0830"/>
    <w:rsid w:val="00AE1D40"/>
    <w:rsid w:val="00AE24AF"/>
    <w:rsid w:val="00AE3874"/>
    <w:rsid w:val="00AE7DC7"/>
    <w:rsid w:val="00B04068"/>
    <w:rsid w:val="00B04275"/>
    <w:rsid w:val="00B04290"/>
    <w:rsid w:val="00B04C94"/>
    <w:rsid w:val="00B05491"/>
    <w:rsid w:val="00B1063E"/>
    <w:rsid w:val="00B11FCB"/>
    <w:rsid w:val="00B153D0"/>
    <w:rsid w:val="00B15629"/>
    <w:rsid w:val="00B20AC3"/>
    <w:rsid w:val="00B248F5"/>
    <w:rsid w:val="00B312E1"/>
    <w:rsid w:val="00B32355"/>
    <w:rsid w:val="00B35FCD"/>
    <w:rsid w:val="00B3702C"/>
    <w:rsid w:val="00B3715D"/>
    <w:rsid w:val="00B42DF5"/>
    <w:rsid w:val="00B46C18"/>
    <w:rsid w:val="00B5292C"/>
    <w:rsid w:val="00B54B87"/>
    <w:rsid w:val="00B61C3D"/>
    <w:rsid w:val="00B61C79"/>
    <w:rsid w:val="00B62087"/>
    <w:rsid w:val="00B6217C"/>
    <w:rsid w:val="00B6535D"/>
    <w:rsid w:val="00B673E0"/>
    <w:rsid w:val="00B7440B"/>
    <w:rsid w:val="00B7628C"/>
    <w:rsid w:val="00B8116E"/>
    <w:rsid w:val="00B82C85"/>
    <w:rsid w:val="00B83B24"/>
    <w:rsid w:val="00B86A3C"/>
    <w:rsid w:val="00B92A5F"/>
    <w:rsid w:val="00BA020D"/>
    <w:rsid w:val="00BA0FC3"/>
    <w:rsid w:val="00BA2100"/>
    <w:rsid w:val="00BA5C81"/>
    <w:rsid w:val="00BB1295"/>
    <w:rsid w:val="00BB169F"/>
    <w:rsid w:val="00BB3AB0"/>
    <w:rsid w:val="00BB42A1"/>
    <w:rsid w:val="00BB547C"/>
    <w:rsid w:val="00BB5874"/>
    <w:rsid w:val="00BC127C"/>
    <w:rsid w:val="00BC54FF"/>
    <w:rsid w:val="00BC63E2"/>
    <w:rsid w:val="00BC7EA0"/>
    <w:rsid w:val="00BD1574"/>
    <w:rsid w:val="00BD157C"/>
    <w:rsid w:val="00BD2425"/>
    <w:rsid w:val="00BE1F6A"/>
    <w:rsid w:val="00BE7A74"/>
    <w:rsid w:val="00BE7DC6"/>
    <w:rsid w:val="00BF1CCB"/>
    <w:rsid w:val="00BF1FFD"/>
    <w:rsid w:val="00BF289F"/>
    <w:rsid w:val="00BF307E"/>
    <w:rsid w:val="00BF3AA6"/>
    <w:rsid w:val="00BF4839"/>
    <w:rsid w:val="00BF5229"/>
    <w:rsid w:val="00BF55CB"/>
    <w:rsid w:val="00C0321B"/>
    <w:rsid w:val="00C039AB"/>
    <w:rsid w:val="00C03C36"/>
    <w:rsid w:val="00C06372"/>
    <w:rsid w:val="00C14644"/>
    <w:rsid w:val="00C15715"/>
    <w:rsid w:val="00C15723"/>
    <w:rsid w:val="00C15B72"/>
    <w:rsid w:val="00C23565"/>
    <w:rsid w:val="00C251D5"/>
    <w:rsid w:val="00C25C22"/>
    <w:rsid w:val="00C26F03"/>
    <w:rsid w:val="00C3129E"/>
    <w:rsid w:val="00C31E4C"/>
    <w:rsid w:val="00C32BEE"/>
    <w:rsid w:val="00C32E88"/>
    <w:rsid w:val="00C3333D"/>
    <w:rsid w:val="00C37800"/>
    <w:rsid w:val="00C401BC"/>
    <w:rsid w:val="00C417E2"/>
    <w:rsid w:val="00C41CDB"/>
    <w:rsid w:val="00C43E43"/>
    <w:rsid w:val="00C475EC"/>
    <w:rsid w:val="00C47C99"/>
    <w:rsid w:val="00C52F1A"/>
    <w:rsid w:val="00C5417B"/>
    <w:rsid w:val="00C552AF"/>
    <w:rsid w:val="00C56C85"/>
    <w:rsid w:val="00C611E6"/>
    <w:rsid w:val="00C62156"/>
    <w:rsid w:val="00C65701"/>
    <w:rsid w:val="00C7116A"/>
    <w:rsid w:val="00C730CD"/>
    <w:rsid w:val="00C738E4"/>
    <w:rsid w:val="00C73D2C"/>
    <w:rsid w:val="00C7566A"/>
    <w:rsid w:val="00C759F1"/>
    <w:rsid w:val="00C759F8"/>
    <w:rsid w:val="00C76AAF"/>
    <w:rsid w:val="00C833E1"/>
    <w:rsid w:val="00C86BC7"/>
    <w:rsid w:val="00C92B84"/>
    <w:rsid w:val="00C94E6E"/>
    <w:rsid w:val="00CA1109"/>
    <w:rsid w:val="00CA1D0F"/>
    <w:rsid w:val="00CA2776"/>
    <w:rsid w:val="00CA3874"/>
    <w:rsid w:val="00CA4FC0"/>
    <w:rsid w:val="00CA66DD"/>
    <w:rsid w:val="00CA793A"/>
    <w:rsid w:val="00CB03D9"/>
    <w:rsid w:val="00CB1C8B"/>
    <w:rsid w:val="00CB422B"/>
    <w:rsid w:val="00CB73E5"/>
    <w:rsid w:val="00CC1696"/>
    <w:rsid w:val="00CC60CA"/>
    <w:rsid w:val="00CC7FC3"/>
    <w:rsid w:val="00CD1EE4"/>
    <w:rsid w:val="00CD1FA3"/>
    <w:rsid w:val="00CD5F8C"/>
    <w:rsid w:val="00CD70C8"/>
    <w:rsid w:val="00CE177B"/>
    <w:rsid w:val="00CE6A54"/>
    <w:rsid w:val="00CE791A"/>
    <w:rsid w:val="00CF188D"/>
    <w:rsid w:val="00CF49E7"/>
    <w:rsid w:val="00D043FF"/>
    <w:rsid w:val="00D04665"/>
    <w:rsid w:val="00D04CD2"/>
    <w:rsid w:val="00D0529D"/>
    <w:rsid w:val="00D140A8"/>
    <w:rsid w:val="00D144F9"/>
    <w:rsid w:val="00D1515A"/>
    <w:rsid w:val="00D15C85"/>
    <w:rsid w:val="00D17E01"/>
    <w:rsid w:val="00D22C52"/>
    <w:rsid w:val="00D23B73"/>
    <w:rsid w:val="00D2413B"/>
    <w:rsid w:val="00D26CDB"/>
    <w:rsid w:val="00D367EC"/>
    <w:rsid w:val="00D41C3C"/>
    <w:rsid w:val="00D46368"/>
    <w:rsid w:val="00D47B73"/>
    <w:rsid w:val="00D47E83"/>
    <w:rsid w:val="00D51B12"/>
    <w:rsid w:val="00D54729"/>
    <w:rsid w:val="00D562BE"/>
    <w:rsid w:val="00D5693D"/>
    <w:rsid w:val="00D57A5D"/>
    <w:rsid w:val="00D6044C"/>
    <w:rsid w:val="00D60B89"/>
    <w:rsid w:val="00D64596"/>
    <w:rsid w:val="00D64F22"/>
    <w:rsid w:val="00D72178"/>
    <w:rsid w:val="00D7278F"/>
    <w:rsid w:val="00D72A57"/>
    <w:rsid w:val="00D72FB6"/>
    <w:rsid w:val="00D752EB"/>
    <w:rsid w:val="00D77716"/>
    <w:rsid w:val="00D777AC"/>
    <w:rsid w:val="00D839C4"/>
    <w:rsid w:val="00D85039"/>
    <w:rsid w:val="00D85B62"/>
    <w:rsid w:val="00D85B81"/>
    <w:rsid w:val="00D92A09"/>
    <w:rsid w:val="00D95452"/>
    <w:rsid w:val="00DA01DB"/>
    <w:rsid w:val="00DA2B1B"/>
    <w:rsid w:val="00DA3BD0"/>
    <w:rsid w:val="00DA4DD4"/>
    <w:rsid w:val="00DB37F7"/>
    <w:rsid w:val="00DB6FC1"/>
    <w:rsid w:val="00DC09D2"/>
    <w:rsid w:val="00DC21F2"/>
    <w:rsid w:val="00DC49DA"/>
    <w:rsid w:val="00DC6562"/>
    <w:rsid w:val="00DE32AF"/>
    <w:rsid w:val="00DE3F6D"/>
    <w:rsid w:val="00DF0D1B"/>
    <w:rsid w:val="00DF407D"/>
    <w:rsid w:val="00DF498B"/>
    <w:rsid w:val="00DF7905"/>
    <w:rsid w:val="00DF7D5C"/>
    <w:rsid w:val="00E009AB"/>
    <w:rsid w:val="00E01A89"/>
    <w:rsid w:val="00E02094"/>
    <w:rsid w:val="00E020FF"/>
    <w:rsid w:val="00E02581"/>
    <w:rsid w:val="00E02FC8"/>
    <w:rsid w:val="00E03393"/>
    <w:rsid w:val="00E03BA8"/>
    <w:rsid w:val="00E1641B"/>
    <w:rsid w:val="00E20A68"/>
    <w:rsid w:val="00E21DA2"/>
    <w:rsid w:val="00E233B0"/>
    <w:rsid w:val="00E236B6"/>
    <w:rsid w:val="00E27DF6"/>
    <w:rsid w:val="00E301C4"/>
    <w:rsid w:val="00E32FDF"/>
    <w:rsid w:val="00E333F1"/>
    <w:rsid w:val="00E36072"/>
    <w:rsid w:val="00E419FB"/>
    <w:rsid w:val="00E4442B"/>
    <w:rsid w:val="00E451D8"/>
    <w:rsid w:val="00E45E11"/>
    <w:rsid w:val="00E46D22"/>
    <w:rsid w:val="00E4726A"/>
    <w:rsid w:val="00E53181"/>
    <w:rsid w:val="00E53D36"/>
    <w:rsid w:val="00E54BCE"/>
    <w:rsid w:val="00E557A1"/>
    <w:rsid w:val="00E56C15"/>
    <w:rsid w:val="00E64A13"/>
    <w:rsid w:val="00E658A7"/>
    <w:rsid w:val="00E658E6"/>
    <w:rsid w:val="00E66A98"/>
    <w:rsid w:val="00E75538"/>
    <w:rsid w:val="00E76414"/>
    <w:rsid w:val="00E82194"/>
    <w:rsid w:val="00E837BD"/>
    <w:rsid w:val="00E855E6"/>
    <w:rsid w:val="00E87F5B"/>
    <w:rsid w:val="00E92640"/>
    <w:rsid w:val="00E9519F"/>
    <w:rsid w:val="00E96E55"/>
    <w:rsid w:val="00EA3C96"/>
    <w:rsid w:val="00EA69F6"/>
    <w:rsid w:val="00EA7CE3"/>
    <w:rsid w:val="00EB1393"/>
    <w:rsid w:val="00EB2AD8"/>
    <w:rsid w:val="00EB33F8"/>
    <w:rsid w:val="00EB4BC3"/>
    <w:rsid w:val="00EB7D7B"/>
    <w:rsid w:val="00EC280F"/>
    <w:rsid w:val="00EC3678"/>
    <w:rsid w:val="00EC5CEE"/>
    <w:rsid w:val="00ED0F71"/>
    <w:rsid w:val="00ED4C86"/>
    <w:rsid w:val="00EE794A"/>
    <w:rsid w:val="00EF008E"/>
    <w:rsid w:val="00EF14DD"/>
    <w:rsid w:val="00EF23D8"/>
    <w:rsid w:val="00EF2591"/>
    <w:rsid w:val="00F023B9"/>
    <w:rsid w:val="00F0259A"/>
    <w:rsid w:val="00F04775"/>
    <w:rsid w:val="00F04862"/>
    <w:rsid w:val="00F05733"/>
    <w:rsid w:val="00F103F0"/>
    <w:rsid w:val="00F15432"/>
    <w:rsid w:val="00F16529"/>
    <w:rsid w:val="00F21CC4"/>
    <w:rsid w:val="00F308E6"/>
    <w:rsid w:val="00F35791"/>
    <w:rsid w:val="00F4132E"/>
    <w:rsid w:val="00F42AD7"/>
    <w:rsid w:val="00F434D6"/>
    <w:rsid w:val="00F4508F"/>
    <w:rsid w:val="00F45863"/>
    <w:rsid w:val="00F476CE"/>
    <w:rsid w:val="00F5264F"/>
    <w:rsid w:val="00F54545"/>
    <w:rsid w:val="00F547B5"/>
    <w:rsid w:val="00F55448"/>
    <w:rsid w:val="00F55715"/>
    <w:rsid w:val="00F607C6"/>
    <w:rsid w:val="00F609F5"/>
    <w:rsid w:val="00F61DD2"/>
    <w:rsid w:val="00F7042E"/>
    <w:rsid w:val="00F705BE"/>
    <w:rsid w:val="00F744F2"/>
    <w:rsid w:val="00F75C43"/>
    <w:rsid w:val="00F7609D"/>
    <w:rsid w:val="00F76734"/>
    <w:rsid w:val="00F772E2"/>
    <w:rsid w:val="00F77FDE"/>
    <w:rsid w:val="00F83F13"/>
    <w:rsid w:val="00F90EB3"/>
    <w:rsid w:val="00F90FA1"/>
    <w:rsid w:val="00F93926"/>
    <w:rsid w:val="00F93FBB"/>
    <w:rsid w:val="00F9727D"/>
    <w:rsid w:val="00F97943"/>
    <w:rsid w:val="00FA0026"/>
    <w:rsid w:val="00FA0CC6"/>
    <w:rsid w:val="00FA58B8"/>
    <w:rsid w:val="00FA7122"/>
    <w:rsid w:val="00FB3CED"/>
    <w:rsid w:val="00FB4104"/>
    <w:rsid w:val="00FB460B"/>
    <w:rsid w:val="00FB48B7"/>
    <w:rsid w:val="00FB5054"/>
    <w:rsid w:val="00FC02E8"/>
    <w:rsid w:val="00FC2051"/>
    <w:rsid w:val="00FC47ED"/>
    <w:rsid w:val="00FC4CE4"/>
    <w:rsid w:val="00FC5EE3"/>
    <w:rsid w:val="00FE0F7A"/>
    <w:rsid w:val="00FE1A07"/>
    <w:rsid w:val="00FF0C1F"/>
    <w:rsid w:val="00FF2BFF"/>
    <w:rsid w:val="00FF729C"/>
    <w:rsid w:val="00FF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D0EAF3"/>
  <w15:chartTrackingRefBased/>
  <w15:docId w15:val="{D6B1C606-C656-4336-95A7-79C3AF461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63CD"/>
  </w:style>
  <w:style w:type="paragraph" w:styleId="Heading1">
    <w:name w:val="heading 1"/>
    <w:basedOn w:val="Normal"/>
    <w:next w:val="Normal"/>
    <w:link w:val="Heading1Char"/>
    <w:uiPriority w:val="9"/>
    <w:qFormat/>
    <w:rsid w:val="002963CD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63C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63CD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63C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63C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63C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63C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63C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63C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2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2B8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2B8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2B84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92B84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C92B84"/>
  </w:style>
  <w:style w:type="character" w:customStyle="1" w:styleId="CommentTextChar">
    <w:name w:val="Comment Text Char"/>
    <w:basedOn w:val="DefaultParagraphFont"/>
    <w:link w:val="CommentText"/>
    <w:uiPriority w:val="99"/>
    <w:rsid w:val="00C92B84"/>
  </w:style>
  <w:style w:type="paragraph" w:styleId="BalloonText">
    <w:name w:val="Balloon Text"/>
    <w:basedOn w:val="Normal"/>
    <w:link w:val="BalloonTextChar"/>
    <w:uiPriority w:val="99"/>
    <w:semiHidden/>
    <w:unhideWhenUsed/>
    <w:rsid w:val="00C92B8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B84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C92B84"/>
    <w:pPr>
      <w:jc w:val="center"/>
    </w:pPr>
    <w:rPr>
      <w:rFonts w:ascii="等线" w:eastAsia="等线" w:hAnsi="等线"/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C92B84"/>
    <w:rPr>
      <w:rFonts w:ascii="等线" w:eastAsia="等线" w:hAnsi="等线"/>
      <w:noProof/>
    </w:rPr>
  </w:style>
  <w:style w:type="paragraph" w:customStyle="1" w:styleId="EndNoteBibliography">
    <w:name w:val="EndNote Bibliography"/>
    <w:basedOn w:val="Normal"/>
    <w:link w:val="EndNoteBibliography0"/>
    <w:rsid w:val="00C92B84"/>
    <w:pPr>
      <w:spacing w:line="240" w:lineRule="auto"/>
    </w:pPr>
    <w:rPr>
      <w:rFonts w:ascii="等线" w:eastAsia="等线" w:hAnsi="等线"/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C92B84"/>
    <w:rPr>
      <w:rFonts w:ascii="等线" w:eastAsia="等线" w:hAnsi="等线"/>
      <w:noProof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58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5893"/>
    <w:rPr>
      <w:b/>
      <w:bCs/>
    </w:rPr>
  </w:style>
  <w:style w:type="paragraph" w:styleId="Revision">
    <w:name w:val="Revision"/>
    <w:hidden/>
    <w:uiPriority w:val="99"/>
    <w:semiHidden/>
    <w:rsid w:val="00165893"/>
  </w:style>
  <w:style w:type="character" w:styleId="Hyperlink">
    <w:name w:val="Hyperlink"/>
    <w:basedOn w:val="DefaultParagraphFont"/>
    <w:uiPriority w:val="99"/>
    <w:unhideWhenUsed/>
    <w:rsid w:val="001658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5893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963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63CD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63CD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63CD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63CD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63CD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63CD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63CD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63CD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963CD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2963CD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63CD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63C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963CD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2963CD"/>
    <w:rPr>
      <w:b/>
      <w:bCs/>
    </w:rPr>
  </w:style>
  <w:style w:type="character" w:styleId="Emphasis">
    <w:name w:val="Emphasis"/>
    <w:basedOn w:val="DefaultParagraphFont"/>
    <w:uiPriority w:val="20"/>
    <w:qFormat/>
    <w:rsid w:val="002963CD"/>
    <w:rPr>
      <w:i/>
      <w:iCs/>
    </w:rPr>
  </w:style>
  <w:style w:type="paragraph" w:styleId="NoSpacing">
    <w:name w:val="No Spacing"/>
    <w:uiPriority w:val="1"/>
    <w:qFormat/>
    <w:rsid w:val="002963C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2963CD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63C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63CD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63CD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2963C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2963C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2963CD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2963CD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2963CD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963CD"/>
    <w:pPr>
      <w:outlineLvl w:val="9"/>
    </w:pPr>
  </w:style>
  <w:style w:type="character" w:styleId="PlaceholderText">
    <w:name w:val="Placeholder Text"/>
    <w:basedOn w:val="DefaultParagraphFont"/>
    <w:uiPriority w:val="99"/>
    <w:semiHidden/>
    <w:rsid w:val="00FC4CE4"/>
    <w:rPr>
      <w:color w:val="808080"/>
    </w:rPr>
  </w:style>
  <w:style w:type="table" w:customStyle="1" w:styleId="a">
    <w:name w:val="三线表"/>
    <w:basedOn w:val="TableNormal"/>
    <w:qFormat/>
    <w:rsid w:val="00162CCE"/>
    <w:pPr>
      <w:widowControl w:val="0"/>
      <w:adjustRightInd w:val="0"/>
      <w:snapToGrid w:val="0"/>
      <w:spacing w:after="0" w:line="300" w:lineRule="auto"/>
      <w:jc w:val="center"/>
    </w:pPr>
    <w:rPr>
      <w:rFonts w:ascii="Times New Roman" w:eastAsia="宋体" w:hAnsi="Times New Roman"/>
      <w:sz w:val="18"/>
    </w:rPr>
    <w:tblPr>
      <w:jc w:val="center"/>
      <w:tblBorders>
        <w:top w:val="single" w:sz="12" w:space="0" w:color="auto"/>
        <w:bottom w:val="single" w:sz="12" w:space="0" w:color="auto"/>
      </w:tblBorders>
    </w:tblPr>
    <w:trPr>
      <w:jc w:val="center"/>
    </w:trPr>
    <w:tcPr>
      <w:tcMar>
        <w:left w:w="0" w:type="dxa"/>
        <w:right w:w="0" w:type="dxa"/>
      </w:tcMar>
      <w:vAlign w:val="center"/>
    </w:tcPr>
    <w:tblStylePr w:type="firstRow">
      <w:pPr>
        <w:wordWrap/>
        <w:adjustRightInd w:val="0"/>
        <w:snapToGrid w:val="0"/>
        <w:contextualSpacing w:val="0"/>
        <w:mirrorIndents w:val="0"/>
      </w:pPr>
      <w:tblPr/>
      <w:trPr>
        <w:cantSplit/>
        <w:tblHeader/>
      </w:trPr>
      <w:tcPr>
        <w:tcBorders>
          <w:bottom w:val="single" w:sz="4" w:space="0" w:color="auto"/>
        </w:tcBorders>
      </w:tcPr>
    </w:tblStylePr>
    <w:tblStylePr w:type="lastRow">
      <w:pPr>
        <w:wordWrap/>
        <w:spacing w:afterLines="0" w:after="0" w:afterAutospacing="0"/>
      </w:pPr>
    </w:tblStylePr>
  </w:style>
  <w:style w:type="paragraph" w:customStyle="1" w:styleId="a0">
    <w:name w:val="表格"/>
    <w:basedOn w:val="Normal"/>
    <w:next w:val="Normal"/>
    <w:qFormat/>
    <w:rsid w:val="002E3E61"/>
    <w:pPr>
      <w:widowControl w:val="0"/>
      <w:spacing w:after="0" w:line="300" w:lineRule="auto"/>
      <w:jc w:val="center"/>
    </w:pPr>
    <w:rPr>
      <w:rFonts w:ascii="Times New Roman" w:eastAsia="宋体" w:hAnsi="Times New Roman"/>
      <w:noProof/>
      <w:kern w:val="2"/>
      <w:sz w:val="21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2036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anwang@ecust.edu.cn" TargetMode="External"/><Relationship Id="rId13" Type="http://schemas.openxmlformats.org/officeDocument/2006/relationships/image" Target="media/image4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6.tiff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8BFBC-2877-4A7A-8FC7-783E8D297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15</Pages>
  <Words>2044</Words>
  <Characters>11651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linwang</dc:creator>
  <cp:keywords/>
  <dc:description/>
  <cp:lastModifiedBy>guanwang@ecust.edu.cn</cp:lastModifiedBy>
  <cp:revision>34</cp:revision>
  <dcterms:created xsi:type="dcterms:W3CDTF">2021-06-20T07:52:00Z</dcterms:created>
  <dcterms:modified xsi:type="dcterms:W3CDTF">2021-07-27T11:53:00Z</dcterms:modified>
</cp:coreProperties>
</file>