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70559" w14:textId="77777777" w:rsidR="008958D3" w:rsidRPr="00ED150A" w:rsidRDefault="00000000" w:rsidP="00ED150A">
      <w:pPr>
        <w:pStyle w:val="1"/>
        <w:spacing w:line="360" w:lineRule="auto"/>
        <w:jc w:val="both"/>
        <w:rPr>
          <w:rFonts w:ascii="Times New Roman" w:hAnsi="Times New Roman" w:cs="Times New Roman"/>
        </w:rPr>
      </w:pPr>
      <w:r w:rsidRPr="00ED150A">
        <w:rPr>
          <w:rFonts w:ascii="Times New Roman" w:hAnsi="Times New Roman" w:cs="Times New Roman"/>
        </w:rPr>
        <w:t>Questionnaire on Nursing Practice for Transcutaneous Femoral Vein Temporary Vascular Access in Artificial Liver Support Therapy</w:t>
      </w:r>
    </w:p>
    <w:p w14:paraId="2C44DAB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This questionnaire aims to assess current nursing practices related to transcutaneous femoral vein temporary vascular access for artificial liver support therapy. Please select the most appropriate answer for each question based on your actual clinical experience. All responses are anonymous and used solely for research purposes.</w:t>
      </w:r>
    </w:p>
    <w:p w14:paraId="68882900" w14:textId="77777777" w:rsidR="008958D3" w:rsidRPr="00ED150A" w:rsidRDefault="00000000" w:rsidP="00ED150A">
      <w:pPr>
        <w:pStyle w:val="21"/>
        <w:spacing w:line="360" w:lineRule="auto"/>
        <w:jc w:val="both"/>
        <w:rPr>
          <w:rFonts w:ascii="Times New Roman" w:hAnsi="Times New Roman" w:cs="Times New Roman"/>
        </w:rPr>
      </w:pPr>
      <w:r w:rsidRPr="00ED150A">
        <w:rPr>
          <w:rFonts w:ascii="Times New Roman" w:hAnsi="Times New Roman" w:cs="Times New Roman"/>
        </w:rPr>
        <w:t>Section A – General Information</w:t>
      </w:r>
    </w:p>
    <w:p w14:paraId="4A99C283"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1. Gender □ Male □ Female</w:t>
      </w:r>
    </w:p>
    <w:p w14:paraId="07C7E972"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2. Age (years) □ 20–30 □ 31–40 □ &gt;40</w:t>
      </w:r>
    </w:p>
    <w:p w14:paraId="1B536354"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3. Years of work experience □ 1–5 □ 6–15 □ &gt;15</w:t>
      </w:r>
    </w:p>
    <w:p w14:paraId="691647B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4. Education level □ Associate □ Bachelor □ Master</w:t>
      </w:r>
    </w:p>
    <w:p w14:paraId="16CAD64F"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5. Professional title □ Nurse □ Nurse Practitioner □ Head Nurse □ Chief Nurse</w:t>
      </w:r>
    </w:p>
    <w:p w14:paraId="7E8C5476"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6. Member of vascular access team □ Yes □ No</w:t>
      </w:r>
    </w:p>
    <w:p w14:paraId="689122CF"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7. Teaching mentor □ Yes □ No</w:t>
      </w:r>
    </w:p>
    <w:p w14:paraId="22F1476D"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8. Number of related trainings within the past year □ 0 □ 1–2 □ ≥3</w:t>
      </w:r>
    </w:p>
    <w:p w14:paraId="1D4DED7A"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9. Main learning method □ Lecture □ Workshop □ Self-study □ Online course</w:t>
      </w:r>
    </w:p>
    <w:p w14:paraId="519C22BB"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10. Main reasons affecting vascular access practice □ Heavy workload □ Lack of knowledge/evidence □ Complex procedures □ Other (please specify __________)</w:t>
      </w:r>
    </w:p>
    <w:p w14:paraId="6DED4FB9" w14:textId="77777777" w:rsidR="008958D3" w:rsidRPr="00ED150A" w:rsidRDefault="00000000" w:rsidP="00ED150A">
      <w:pPr>
        <w:pStyle w:val="21"/>
        <w:spacing w:line="360" w:lineRule="auto"/>
        <w:jc w:val="both"/>
        <w:rPr>
          <w:rFonts w:ascii="Times New Roman" w:hAnsi="Times New Roman" w:cs="Times New Roman"/>
        </w:rPr>
      </w:pPr>
      <w:r w:rsidRPr="00ED150A">
        <w:rPr>
          <w:rFonts w:ascii="Times New Roman" w:hAnsi="Times New Roman" w:cs="Times New Roman"/>
        </w:rPr>
        <w:t>Section B – Nursing Practice Evaluation</w:t>
      </w:r>
    </w:p>
    <w:p w14:paraId="44186CB6"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Each item is rated on a 4-point Likert scale: 1 = Never 2 = Sometimes 3 = Often 4 = Always</w:t>
      </w:r>
    </w:p>
    <w:tbl>
      <w:tblPr>
        <w:tblStyle w:val="aff1"/>
        <w:tblW w:w="5000" w:type="pct"/>
        <w:tblLook w:val="04A0" w:firstRow="1" w:lastRow="0" w:firstColumn="1" w:lastColumn="0" w:noHBand="0" w:noVBand="1"/>
      </w:tblPr>
      <w:tblGrid>
        <w:gridCol w:w="2502"/>
        <w:gridCol w:w="656"/>
        <w:gridCol w:w="5698"/>
      </w:tblGrid>
      <w:tr w:rsidR="008958D3" w:rsidRPr="00ED150A" w14:paraId="43587CEA" w14:textId="77777777" w:rsidTr="00ED150A">
        <w:tc>
          <w:tcPr>
            <w:tcW w:w="1413" w:type="pct"/>
          </w:tcPr>
          <w:p w14:paraId="780F495F" w14:textId="77777777" w:rsidR="008958D3" w:rsidRPr="00ED150A" w:rsidRDefault="00000000" w:rsidP="00ED150A">
            <w:pPr>
              <w:spacing w:line="360" w:lineRule="auto"/>
              <w:jc w:val="both"/>
              <w:rPr>
                <w:rFonts w:ascii="Times New Roman" w:hAnsi="Times New Roman" w:cs="Times New Roman"/>
                <w:b/>
                <w:bCs/>
              </w:rPr>
            </w:pPr>
            <w:r w:rsidRPr="00ED150A">
              <w:rPr>
                <w:rFonts w:ascii="Times New Roman" w:hAnsi="Times New Roman" w:cs="Times New Roman"/>
                <w:b/>
                <w:bCs/>
              </w:rPr>
              <w:t>Domain</w:t>
            </w:r>
          </w:p>
        </w:tc>
        <w:tc>
          <w:tcPr>
            <w:tcW w:w="370" w:type="pct"/>
          </w:tcPr>
          <w:p w14:paraId="7D7EB7BF" w14:textId="77777777" w:rsidR="008958D3" w:rsidRPr="00ED150A" w:rsidRDefault="00000000" w:rsidP="00ED150A">
            <w:pPr>
              <w:spacing w:line="360" w:lineRule="auto"/>
              <w:jc w:val="both"/>
              <w:rPr>
                <w:rFonts w:ascii="Times New Roman" w:hAnsi="Times New Roman" w:cs="Times New Roman"/>
                <w:b/>
                <w:bCs/>
              </w:rPr>
            </w:pPr>
            <w:r w:rsidRPr="00ED150A">
              <w:rPr>
                <w:rFonts w:ascii="Times New Roman" w:hAnsi="Times New Roman" w:cs="Times New Roman"/>
                <w:b/>
                <w:bCs/>
              </w:rPr>
              <w:t>Item</w:t>
            </w:r>
          </w:p>
        </w:tc>
        <w:tc>
          <w:tcPr>
            <w:tcW w:w="3217" w:type="pct"/>
          </w:tcPr>
          <w:p w14:paraId="015C0C82" w14:textId="77777777" w:rsidR="008958D3" w:rsidRPr="00ED150A" w:rsidRDefault="00000000" w:rsidP="00ED150A">
            <w:pPr>
              <w:spacing w:line="360" w:lineRule="auto"/>
              <w:jc w:val="both"/>
              <w:rPr>
                <w:rFonts w:ascii="Times New Roman" w:hAnsi="Times New Roman" w:cs="Times New Roman"/>
                <w:b/>
                <w:bCs/>
              </w:rPr>
            </w:pPr>
            <w:r w:rsidRPr="00ED150A">
              <w:rPr>
                <w:rFonts w:ascii="Times New Roman" w:hAnsi="Times New Roman" w:cs="Times New Roman"/>
                <w:b/>
                <w:bCs/>
              </w:rPr>
              <w:t>Statement</w:t>
            </w:r>
          </w:p>
        </w:tc>
      </w:tr>
      <w:tr w:rsidR="008958D3" w:rsidRPr="00ED150A" w14:paraId="70667506" w14:textId="77777777" w:rsidTr="00ED150A">
        <w:tc>
          <w:tcPr>
            <w:tcW w:w="1413" w:type="pct"/>
          </w:tcPr>
          <w:p w14:paraId="34BD04D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Vascular Access Establishment</w:t>
            </w:r>
          </w:p>
        </w:tc>
        <w:tc>
          <w:tcPr>
            <w:tcW w:w="370" w:type="pct"/>
          </w:tcPr>
          <w:p w14:paraId="527047C8"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w:t>
            </w:r>
          </w:p>
        </w:tc>
        <w:tc>
          <w:tcPr>
            <w:tcW w:w="3217" w:type="pct"/>
          </w:tcPr>
          <w:p w14:paraId="387EB805"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The operator meets qualification and training requirements.</w:t>
            </w:r>
          </w:p>
        </w:tc>
      </w:tr>
      <w:tr w:rsidR="008958D3" w:rsidRPr="00ED150A" w14:paraId="7D3DF659" w14:textId="77777777" w:rsidTr="00ED150A">
        <w:tc>
          <w:tcPr>
            <w:tcW w:w="1413" w:type="pct"/>
          </w:tcPr>
          <w:p w14:paraId="25A465E3" w14:textId="77777777" w:rsidR="008958D3" w:rsidRPr="00ED150A" w:rsidRDefault="008958D3" w:rsidP="00ED150A">
            <w:pPr>
              <w:spacing w:line="360" w:lineRule="auto"/>
              <w:jc w:val="both"/>
              <w:rPr>
                <w:rFonts w:ascii="Times New Roman" w:hAnsi="Times New Roman" w:cs="Times New Roman"/>
              </w:rPr>
            </w:pPr>
          </w:p>
        </w:tc>
        <w:tc>
          <w:tcPr>
            <w:tcW w:w="370" w:type="pct"/>
          </w:tcPr>
          <w:p w14:paraId="2EE56EF0"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A2</w:t>
            </w:r>
          </w:p>
        </w:tc>
        <w:tc>
          <w:tcPr>
            <w:tcW w:w="3217" w:type="pct"/>
          </w:tcPr>
          <w:p w14:paraId="32DDACE1"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The puncture site and environment meet aseptic and safety standards.</w:t>
            </w:r>
          </w:p>
        </w:tc>
      </w:tr>
      <w:tr w:rsidR="008958D3" w:rsidRPr="00ED150A" w14:paraId="2D2F244A" w14:textId="77777777" w:rsidTr="00ED150A">
        <w:tc>
          <w:tcPr>
            <w:tcW w:w="1413" w:type="pct"/>
          </w:tcPr>
          <w:p w14:paraId="4D20A087" w14:textId="77777777" w:rsidR="008958D3" w:rsidRPr="00ED150A" w:rsidRDefault="008958D3" w:rsidP="00ED150A">
            <w:pPr>
              <w:spacing w:line="360" w:lineRule="auto"/>
              <w:jc w:val="both"/>
              <w:rPr>
                <w:rFonts w:ascii="Times New Roman" w:hAnsi="Times New Roman" w:cs="Times New Roman"/>
              </w:rPr>
            </w:pPr>
          </w:p>
        </w:tc>
        <w:tc>
          <w:tcPr>
            <w:tcW w:w="370" w:type="pct"/>
          </w:tcPr>
          <w:p w14:paraId="77BB3FF8"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A3</w:t>
            </w:r>
          </w:p>
        </w:tc>
        <w:tc>
          <w:tcPr>
            <w:tcW w:w="3217" w:type="pct"/>
          </w:tcPr>
          <w:p w14:paraId="659200A2"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The range of skin preparation is sufficient and standardized.</w:t>
            </w:r>
          </w:p>
        </w:tc>
      </w:tr>
      <w:tr w:rsidR="008958D3" w:rsidRPr="00ED150A" w14:paraId="3EBD97EA" w14:textId="77777777" w:rsidTr="00ED150A">
        <w:tc>
          <w:tcPr>
            <w:tcW w:w="1413" w:type="pct"/>
          </w:tcPr>
          <w:p w14:paraId="048FF1C5" w14:textId="77777777" w:rsidR="008958D3" w:rsidRPr="00ED150A" w:rsidRDefault="008958D3" w:rsidP="00ED150A">
            <w:pPr>
              <w:spacing w:line="360" w:lineRule="auto"/>
              <w:jc w:val="both"/>
              <w:rPr>
                <w:rFonts w:ascii="Times New Roman" w:hAnsi="Times New Roman" w:cs="Times New Roman"/>
              </w:rPr>
            </w:pPr>
          </w:p>
        </w:tc>
        <w:tc>
          <w:tcPr>
            <w:tcW w:w="370" w:type="pct"/>
          </w:tcPr>
          <w:p w14:paraId="213ABF9A"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A4</w:t>
            </w:r>
          </w:p>
        </w:tc>
        <w:tc>
          <w:tcPr>
            <w:tcW w:w="3217" w:type="pct"/>
          </w:tcPr>
          <w:p w14:paraId="65D530CA"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Hand hygiene and aseptic technique are strictly followed.</w:t>
            </w:r>
          </w:p>
        </w:tc>
      </w:tr>
      <w:tr w:rsidR="008958D3" w:rsidRPr="00ED150A" w14:paraId="7A37C209" w14:textId="77777777" w:rsidTr="00ED150A">
        <w:tc>
          <w:tcPr>
            <w:tcW w:w="1413" w:type="pct"/>
          </w:tcPr>
          <w:p w14:paraId="0A79C061"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Management during Catheterization</w:t>
            </w:r>
          </w:p>
        </w:tc>
        <w:tc>
          <w:tcPr>
            <w:tcW w:w="370" w:type="pct"/>
          </w:tcPr>
          <w:p w14:paraId="7BD610F1"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A5</w:t>
            </w:r>
          </w:p>
        </w:tc>
        <w:tc>
          <w:tcPr>
            <w:tcW w:w="3217" w:type="pct"/>
          </w:tcPr>
          <w:p w14:paraId="5E54E73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Secondary catheter fixation is routinely performed.</w:t>
            </w:r>
          </w:p>
        </w:tc>
      </w:tr>
      <w:tr w:rsidR="008958D3" w:rsidRPr="00ED150A" w14:paraId="6C8FE399" w14:textId="77777777" w:rsidTr="00ED150A">
        <w:tc>
          <w:tcPr>
            <w:tcW w:w="1413" w:type="pct"/>
          </w:tcPr>
          <w:p w14:paraId="481BB9EC" w14:textId="77777777" w:rsidR="008958D3" w:rsidRPr="00ED150A" w:rsidRDefault="008958D3" w:rsidP="00ED150A">
            <w:pPr>
              <w:spacing w:line="360" w:lineRule="auto"/>
              <w:jc w:val="both"/>
              <w:rPr>
                <w:rFonts w:ascii="Times New Roman" w:hAnsi="Times New Roman" w:cs="Times New Roman"/>
              </w:rPr>
            </w:pPr>
          </w:p>
        </w:tc>
        <w:tc>
          <w:tcPr>
            <w:tcW w:w="370" w:type="pct"/>
          </w:tcPr>
          <w:p w14:paraId="6AB866E0"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A6</w:t>
            </w:r>
          </w:p>
        </w:tc>
        <w:tc>
          <w:tcPr>
            <w:tcW w:w="3217" w:type="pct"/>
          </w:tcPr>
          <w:p w14:paraId="3F4F9EE7"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Dressing is changed according to protocol or when contaminated.</w:t>
            </w:r>
          </w:p>
        </w:tc>
      </w:tr>
      <w:tr w:rsidR="008958D3" w:rsidRPr="00ED150A" w14:paraId="724306DC" w14:textId="77777777" w:rsidTr="00ED150A">
        <w:tc>
          <w:tcPr>
            <w:tcW w:w="1413" w:type="pct"/>
          </w:tcPr>
          <w:p w14:paraId="671B630F" w14:textId="77777777" w:rsidR="008958D3" w:rsidRPr="00ED150A" w:rsidRDefault="008958D3" w:rsidP="00ED150A">
            <w:pPr>
              <w:spacing w:line="360" w:lineRule="auto"/>
              <w:jc w:val="both"/>
              <w:rPr>
                <w:rFonts w:ascii="Times New Roman" w:hAnsi="Times New Roman" w:cs="Times New Roman"/>
              </w:rPr>
            </w:pPr>
          </w:p>
        </w:tc>
        <w:tc>
          <w:tcPr>
            <w:tcW w:w="370" w:type="pct"/>
          </w:tcPr>
          <w:p w14:paraId="20B427AB"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A7</w:t>
            </w:r>
          </w:p>
        </w:tc>
        <w:tc>
          <w:tcPr>
            <w:tcW w:w="3217" w:type="pct"/>
          </w:tcPr>
          <w:p w14:paraId="3A629035"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Catheter is clearly labeled and recorded.</w:t>
            </w:r>
          </w:p>
        </w:tc>
      </w:tr>
      <w:tr w:rsidR="008958D3" w:rsidRPr="00ED150A" w14:paraId="1A60EFD1" w14:textId="77777777" w:rsidTr="00ED150A">
        <w:tc>
          <w:tcPr>
            <w:tcW w:w="1413" w:type="pct"/>
          </w:tcPr>
          <w:p w14:paraId="106B1C50" w14:textId="77777777" w:rsidR="008958D3" w:rsidRPr="00ED150A" w:rsidRDefault="008958D3" w:rsidP="00ED150A">
            <w:pPr>
              <w:spacing w:line="360" w:lineRule="auto"/>
              <w:jc w:val="both"/>
              <w:rPr>
                <w:rFonts w:ascii="Times New Roman" w:hAnsi="Times New Roman" w:cs="Times New Roman"/>
              </w:rPr>
            </w:pPr>
          </w:p>
        </w:tc>
        <w:tc>
          <w:tcPr>
            <w:tcW w:w="370" w:type="pct"/>
          </w:tcPr>
          <w:p w14:paraId="7829DC3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A8</w:t>
            </w:r>
          </w:p>
        </w:tc>
        <w:tc>
          <w:tcPr>
            <w:tcW w:w="3217" w:type="pct"/>
          </w:tcPr>
          <w:p w14:paraId="78F2EC52"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Bleeding or exudation is promptly managed.</w:t>
            </w:r>
          </w:p>
        </w:tc>
      </w:tr>
      <w:tr w:rsidR="008958D3" w:rsidRPr="00ED150A" w14:paraId="1B06B00C" w14:textId="77777777" w:rsidTr="00ED150A">
        <w:tc>
          <w:tcPr>
            <w:tcW w:w="1413" w:type="pct"/>
          </w:tcPr>
          <w:p w14:paraId="13DCD94E" w14:textId="77777777" w:rsidR="008958D3" w:rsidRPr="00ED150A" w:rsidRDefault="008958D3" w:rsidP="00ED150A">
            <w:pPr>
              <w:spacing w:line="360" w:lineRule="auto"/>
              <w:jc w:val="both"/>
              <w:rPr>
                <w:rFonts w:ascii="Times New Roman" w:hAnsi="Times New Roman" w:cs="Times New Roman"/>
              </w:rPr>
            </w:pPr>
          </w:p>
        </w:tc>
        <w:tc>
          <w:tcPr>
            <w:tcW w:w="370" w:type="pct"/>
          </w:tcPr>
          <w:p w14:paraId="1A89378A"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A9</w:t>
            </w:r>
          </w:p>
        </w:tc>
        <w:tc>
          <w:tcPr>
            <w:tcW w:w="3217" w:type="pct"/>
          </w:tcPr>
          <w:p w14:paraId="1D24776F"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Catheter fixation is stable and secure.</w:t>
            </w:r>
          </w:p>
        </w:tc>
      </w:tr>
      <w:tr w:rsidR="008958D3" w:rsidRPr="00ED150A" w14:paraId="5911D1EE" w14:textId="77777777" w:rsidTr="00ED150A">
        <w:tc>
          <w:tcPr>
            <w:tcW w:w="1413" w:type="pct"/>
          </w:tcPr>
          <w:p w14:paraId="6A9C8437" w14:textId="77777777" w:rsidR="008958D3" w:rsidRPr="00ED150A" w:rsidRDefault="008958D3" w:rsidP="00ED150A">
            <w:pPr>
              <w:spacing w:line="360" w:lineRule="auto"/>
              <w:jc w:val="both"/>
              <w:rPr>
                <w:rFonts w:ascii="Times New Roman" w:hAnsi="Times New Roman" w:cs="Times New Roman"/>
              </w:rPr>
            </w:pPr>
          </w:p>
        </w:tc>
        <w:tc>
          <w:tcPr>
            <w:tcW w:w="370" w:type="pct"/>
          </w:tcPr>
          <w:p w14:paraId="1189133E"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A10</w:t>
            </w:r>
          </w:p>
        </w:tc>
        <w:tc>
          <w:tcPr>
            <w:tcW w:w="3217" w:type="pct"/>
          </w:tcPr>
          <w:p w14:paraId="52B3DC28"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Leg circumference is measured regularly.</w:t>
            </w:r>
          </w:p>
        </w:tc>
      </w:tr>
      <w:tr w:rsidR="008958D3" w:rsidRPr="00ED150A" w14:paraId="50F01F0B" w14:textId="77777777" w:rsidTr="00ED150A">
        <w:tc>
          <w:tcPr>
            <w:tcW w:w="1413" w:type="pct"/>
          </w:tcPr>
          <w:p w14:paraId="1BAF8AC7" w14:textId="77777777" w:rsidR="008958D3" w:rsidRPr="00ED150A" w:rsidRDefault="008958D3" w:rsidP="00ED150A">
            <w:pPr>
              <w:spacing w:line="360" w:lineRule="auto"/>
              <w:jc w:val="both"/>
              <w:rPr>
                <w:rFonts w:ascii="Times New Roman" w:hAnsi="Times New Roman" w:cs="Times New Roman"/>
              </w:rPr>
            </w:pPr>
          </w:p>
        </w:tc>
        <w:tc>
          <w:tcPr>
            <w:tcW w:w="370" w:type="pct"/>
          </w:tcPr>
          <w:p w14:paraId="386BBCAD"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A11</w:t>
            </w:r>
          </w:p>
        </w:tc>
        <w:tc>
          <w:tcPr>
            <w:tcW w:w="3217" w:type="pct"/>
          </w:tcPr>
          <w:p w14:paraId="1831FE29"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Patients are guided to perform limb functional exercises.</w:t>
            </w:r>
          </w:p>
        </w:tc>
      </w:tr>
      <w:tr w:rsidR="008958D3" w:rsidRPr="00ED150A" w14:paraId="6F9CE593" w14:textId="77777777" w:rsidTr="00ED150A">
        <w:tc>
          <w:tcPr>
            <w:tcW w:w="1413" w:type="pct"/>
          </w:tcPr>
          <w:p w14:paraId="26E3D305" w14:textId="77777777" w:rsidR="008958D3" w:rsidRPr="00ED150A" w:rsidRDefault="008958D3" w:rsidP="00ED150A">
            <w:pPr>
              <w:spacing w:line="360" w:lineRule="auto"/>
              <w:jc w:val="both"/>
              <w:rPr>
                <w:rFonts w:ascii="Times New Roman" w:hAnsi="Times New Roman" w:cs="Times New Roman"/>
              </w:rPr>
            </w:pPr>
          </w:p>
        </w:tc>
        <w:tc>
          <w:tcPr>
            <w:tcW w:w="370" w:type="pct"/>
          </w:tcPr>
          <w:p w14:paraId="0D23417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A12</w:t>
            </w:r>
          </w:p>
        </w:tc>
        <w:tc>
          <w:tcPr>
            <w:tcW w:w="3217" w:type="pct"/>
          </w:tcPr>
          <w:p w14:paraId="1C93DD48"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Catheter-related complications (infection, DVT, bleeding, hematoma) are correctly identified and managed.</w:t>
            </w:r>
          </w:p>
        </w:tc>
      </w:tr>
      <w:tr w:rsidR="008958D3" w:rsidRPr="00ED150A" w14:paraId="48426430" w14:textId="77777777" w:rsidTr="00ED150A">
        <w:tc>
          <w:tcPr>
            <w:tcW w:w="1413" w:type="pct"/>
          </w:tcPr>
          <w:p w14:paraId="7120311C" w14:textId="77777777" w:rsidR="008958D3" w:rsidRPr="00ED150A" w:rsidRDefault="008958D3" w:rsidP="00ED150A">
            <w:pPr>
              <w:spacing w:line="360" w:lineRule="auto"/>
              <w:jc w:val="both"/>
              <w:rPr>
                <w:rFonts w:ascii="Times New Roman" w:hAnsi="Times New Roman" w:cs="Times New Roman"/>
              </w:rPr>
            </w:pPr>
          </w:p>
        </w:tc>
        <w:tc>
          <w:tcPr>
            <w:tcW w:w="370" w:type="pct"/>
          </w:tcPr>
          <w:p w14:paraId="7B08F0FC"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A13</w:t>
            </w:r>
          </w:p>
        </w:tc>
        <w:tc>
          <w:tcPr>
            <w:tcW w:w="3217" w:type="pct"/>
          </w:tcPr>
          <w:p w14:paraId="2111F074"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Catheter-related health education is provided to patients.</w:t>
            </w:r>
          </w:p>
        </w:tc>
      </w:tr>
      <w:tr w:rsidR="008958D3" w:rsidRPr="00ED150A" w14:paraId="2B88F53E" w14:textId="77777777" w:rsidTr="00ED150A">
        <w:tc>
          <w:tcPr>
            <w:tcW w:w="1413" w:type="pct"/>
          </w:tcPr>
          <w:p w14:paraId="360A5B4E"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Catheter Removal</w:t>
            </w:r>
          </w:p>
        </w:tc>
        <w:tc>
          <w:tcPr>
            <w:tcW w:w="370" w:type="pct"/>
          </w:tcPr>
          <w:p w14:paraId="465D9F52"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A14</w:t>
            </w:r>
          </w:p>
        </w:tc>
        <w:tc>
          <w:tcPr>
            <w:tcW w:w="3217" w:type="pct"/>
          </w:tcPr>
          <w:p w14:paraId="10B5DA6B"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Indications for catheter removal are properly assessed.</w:t>
            </w:r>
          </w:p>
        </w:tc>
      </w:tr>
      <w:tr w:rsidR="008958D3" w:rsidRPr="00ED150A" w14:paraId="74721A4D" w14:textId="77777777" w:rsidTr="00ED150A">
        <w:tc>
          <w:tcPr>
            <w:tcW w:w="1413" w:type="pct"/>
          </w:tcPr>
          <w:p w14:paraId="4035121B" w14:textId="77777777" w:rsidR="008958D3" w:rsidRPr="00ED150A" w:rsidRDefault="008958D3" w:rsidP="00ED150A">
            <w:pPr>
              <w:spacing w:line="360" w:lineRule="auto"/>
              <w:jc w:val="both"/>
              <w:rPr>
                <w:rFonts w:ascii="Times New Roman" w:hAnsi="Times New Roman" w:cs="Times New Roman"/>
              </w:rPr>
            </w:pPr>
          </w:p>
        </w:tc>
        <w:tc>
          <w:tcPr>
            <w:tcW w:w="370" w:type="pct"/>
          </w:tcPr>
          <w:p w14:paraId="4F0473B1"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A15</w:t>
            </w:r>
          </w:p>
        </w:tc>
        <w:tc>
          <w:tcPr>
            <w:tcW w:w="3217" w:type="pct"/>
          </w:tcPr>
          <w:p w14:paraId="78D73DFD"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Discarded catheters are disposed of safely.</w:t>
            </w:r>
          </w:p>
        </w:tc>
      </w:tr>
      <w:tr w:rsidR="008958D3" w:rsidRPr="00ED150A" w14:paraId="2F2A11E4" w14:textId="77777777" w:rsidTr="00ED150A">
        <w:tc>
          <w:tcPr>
            <w:tcW w:w="1413" w:type="pct"/>
          </w:tcPr>
          <w:p w14:paraId="586804DE" w14:textId="77777777" w:rsidR="008958D3" w:rsidRPr="00ED150A" w:rsidRDefault="008958D3" w:rsidP="00ED150A">
            <w:pPr>
              <w:spacing w:line="360" w:lineRule="auto"/>
              <w:jc w:val="both"/>
              <w:rPr>
                <w:rFonts w:ascii="Times New Roman" w:hAnsi="Times New Roman" w:cs="Times New Roman"/>
              </w:rPr>
            </w:pPr>
          </w:p>
        </w:tc>
        <w:tc>
          <w:tcPr>
            <w:tcW w:w="370" w:type="pct"/>
          </w:tcPr>
          <w:p w14:paraId="298F8D18"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A16</w:t>
            </w:r>
          </w:p>
        </w:tc>
        <w:tc>
          <w:tcPr>
            <w:tcW w:w="3217" w:type="pct"/>
          </w:tcPr>
          <w:p w14:paraId="0324A066"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Post-removal hemostasis is performed appropriately.</w:t>
            </w:r>
          </w:p>
        </w:tc>
      </w:tr>
    </w:tbl>
    <w:p w14:paraId="7BFD3171" w14:textId="77777777" w:rsidR="008958D3" w:rsidRPr="00ED150A" w:rsidRDefault="00000000" w:rsidP="00ED150A">
      <w:pPr>
        <w:spacing w:line="360" w:lineRule="auto"/>
        <w:jc w:val="both"/>
        <w:rPr>
          <w:rFonts w:ascii="Times New Roman" w:hAnsi="Times New Roman" w:cs="Times New Roman"/>
        </w:rPr>
      </w:pPr>
      <w:r w:rsidRPr="00ED150A">
        <w:rPr>
          <w:rFonts w:ascii="Times New Roman" w:hAnsi="Times New Roman" w:cs="Times New Roman"/>
        </w:rPr>
        <w:t>Total score: sum of all items (range: 16–64 points).</w:t>
      </w:r>
    </w:p>
    <w:sectPr w:rsidR="008958D3" w:rsidRPr="00ED15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4527743">
    <w:abstractNumId w:val="8"/>
  </w:num>
  <w:num w:numId="2" w16cid:durableId="2089955549">
    <w:abstractNumId w:val="6"/>
  </w:num>
  <w:num w:numId="3" w16cid:durableId="2136410281">
    <w:abstractNumId w:val="5"/>
  </w:num>
  <w:num w:numId="4" w16cid:durableId="276454193">
    <w:abstractNumId w:val="4"/>
  </w:num>
  <w:num w:numId="5" w16cid:durableId="575241222">
    <w:abstractNumId w:val="7"/>
  </w:num>
  <w:num w:numId="6" w16cid:durableId="1327440828">
    <w:abstractNumId w:val="3"/>
  </w:num>
  <w:num w:numId="7" w16cid:durableId="479545324">
    <w:abstractNumId w:val="2"/>
  </w:num>
  <w:num w:numId="8" w16cid:durableId="1452019794">
    <w:abstractNumId w:val="1"/>
  </w:num>
  <w:num w:numId="9" w16cid:durableId="95533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20B15"/>
    <w:rsid w:val="008958D3"/>
    <w:rsid w:val="00AA1D8D"/>
    <w:rsid w:val="00B47730"/>
    <w:rsid w:val="00CB0664"/>
    <w:rsid w:val="00ED15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08F3E6"/>
  <w14:defaultImageDpi w14:val="300"/>
  <w15:docId w15:val="{99F905B4-1E48-421F-B756-D97314D57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2043</Characters>
  <Application>Microsoft Office Word</Application>
  <DocSecurity>0</DocSecurity>
  <Lines>107</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Jiameng Sage</cp:lastModifiedBy>
  <cp:revision>2</cp:revision>
  <dcterms:created xsi:type="dcterms:W3CDTF">2013-12-23T23:15:00Z</dcterms:created>
  <dcterms:modified xsi:type="dcterms:W3CDTF">2025-10-17T23:35:00Z</dcterms:modified>
  <cp:category/>
</cp:coreProperties>
</file>