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155405" w14:textId="77777777" w:rsidR="006B1F09" w:rsidRDefault="006B1F09" w:rsidP="006B1F09">
      <w:pPr>
        <w:pStyle w:val="Heading1"/>
        <w:jc w:val="both"/>
        <w:rPr>
          <w:lang w:val="en-US"/>
        </w:rPr>
      </w:pPr>
      <w:r>
        <w:rPr>
          <w:lang w:val="en-US"/>
        </w:rPr>
        <w:t>Appendix</w:t>
      </w:r>
    </w:p>
    <w:p w14:paraId="4044F6B1" w14:textId="77777777" w:rsidR="006B1F09" w:rsidRPr="00C651A7" w:rsidRDefault="006B1F09" w:rsidP="006B1F09">
      <w:pPr>
        <w:jc w:val="both"/>
        <w:rPr>
          <w:lang w:val="en-US"/>
        </w:rPr>
      </w:pPr>
    </w:p>
    <w:p w14:paraId="30B8CAF4" w14:textId="77777777" w:rsidR="006B1F09" w:rsidRDefault="006B1F09" w:rsidP="006B1F09">
      <w:pPr>
        <w:pStyle w:val="FootnoteText"/>
        <w:keepNext/>
        <w:spacing w:line="360" w:lineRule="auto"/>
        <w:ind w:left="720"/>
        <w:jc w:val="both"/>
      </w:pPr>
      <w:r>
        <w:rPr>
          <w:noProof/>
          <w:lang w:eastAsia="fi-FI"/>
        </w:rPr>
        <w:drawing>
          <wp:inline distT="0" distB="0" distL="0" distR="0" wp14:anchorId="39E6F369" wp14:editId="6C14C48E">
            <wp:extent cx="4572000" cy="2636520"/>
            <wp:effectExtent l="0" t="0" r="0" b="11430"/>
            <wp:docPr id="138" name="Chart 138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6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C4EC6A3" w14:textId="77777777" w:rsidR="006B1F09" w:rsidRDefault="006B1F09" w:rsidP="006B1F09">
      <w:pPr>
        <w:pStyle w:val="Caption"/>
        <w:jc w:val="both"/>
      </w:pPr>
      <w:bookmarkStart w:id="0" w:name="_Ref204937457"/>
    </w:p>
    <w:p w14:paraId="35272672" w14:textId="77777777" w:rsidR="006B1F09" w:rsidRDefault="006B1F09" w:rsidP="006B1F09">
      <w:pPr>
        <w:pStyle w:val="Caption"/>
        <w:jc w:val="both"/>
      </w:pPr>
      <w:bookmarkStart w:id="1" w:name="_Ref205900424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7</w:t>
      </w:r>
      <w:r>
        <w:fldChar w:fldCharType="end"/>
      </w:r>
      <w:bookmarkEnd w:id="0"/>
      <w:bookmarkEnd w:id="1"/>
      <w:r>
        <w:t>. The TFP growth in the Finnish ICT sector and the long-term trend. Source: Statistics Finland and own calculations</w:t>
      </w:r>
    </w:p>
    <w:tbl>
      <w:tblPr>
        <w:tblW w:w="8196" w:type="dxa"/>
        <w:jc w:val="center"/>
        <w:tblLook w:val="04A0" w:firstRow="1" w:lastRow="0" w:firstColumn="1" w:lastColumn="0" w:noHBand="0" w:noVBand="1"/>
      </w:tblPr>
      <w:tblGrid>
        <w:gridCol w:w="2904"/>
        <w:gridCol w:w="1764"/>
        <w:gridCol w:w="1764"/>
        <w:gridCol w:w="1764"/>
      </w:tblGrid>
      <w:tr w:rsidR="006B1F09" w:rsidRPr="00C651A7" w14:paraId="553D6435" w14:textId="77777777" w:rsidTr="00CB28A5">
        <w:trPr>
          <w:trHeight w:val="329"/>
          <w:jc w:val="center"/>
        </w:trPr>
        <w:tc>
          <w:tcPr>
            <w:tcW w:w="290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noWrap/>
            <w:vAlign w:val="bottom"/>
            <w:hideMark/>
          </w:tcPr>
          <w:p w14:paraId="39FAA4FA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  <w:lang w:val="en-US"/>
              </w:rPr>
            </w:pPr>
            <w:r w:rsidRPr="00C651A7">
              <w:rPr>
                <w:rFonts w:eastAsia="Times New Roman" w:cs="Times New Roman"/>
                <w:color w:val="000000"/>
                <w:lang w:val="en-US"/>
              </w:rPr>
              <w:t> </w:t>
            </w:r>
          </w:p>
        </w:tc>
        <w:tc>
          <w:tcPr>
            <w:tcW w:w="1764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5F97E22F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ICT</w:t>
            </w:r>
          </w:p>
        </w:tc>
        <w:tc>
          <w:tcPr>
            <w:tcW w:w="1764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60CD1D55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NIT</w:t>
            </w:r>
          </w:p>
        </w:tc>
        <w:tc>
          <w:tcPr>
            <w:tcW w:w="1764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37EB342D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S</w:t>
            </w:r>
          </w:p>
        </w:tc>
      </w:tr>
      <w:tr w:rsidR="006B1F09" w:rsidRPr="00C651A7" w14:paraId="07478B63" w14:textId="77777777" w:rsidTr="00CB28A5">
        <w:trPr>
          <w:trHeight w:val="329"/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3A387F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ICT-capital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96218C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0.03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91E7A8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0.01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0CBCE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0.02</w:t>
            </w:r>
          </w:p>
        </w:tc>
      </w:tr>
      <w:tr w:rsidR="006B1F09" w:rsidRPr="00C651A7" w14:paraId="3C0D88B6" w14:textId="77777777" w:rsidTr="00CB28A5">
        <w:trPr>
          <w:trHeight w:val="313"/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EBAF781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NIT-capital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B605F3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0F1F4E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30DFFC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0.17</w:t>
            </w:r>
          </w:p>
        </w:tc>
      </w:tr>
      <w:tr w:rsidR="006B1F09" w:rsidRPr="00C651A7" w14:paraId="2E17F81D" w14:textId="77777777" w:rsidTr="00CB28A5">
        <w:trPr>
          <w:trHeight w:val="313"/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E427080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Service intermediate goods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E2DC29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0.20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24B588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0.17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551BC9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0.27</w:t>
            </w:r>
          </w:p>
        </w:tc>
      </w:tr>
      <w:tr w:rsidR="006B1F09" w:rsidRPr="00C651A7" w14:paraId="5B8EB2CB" w14:textId="77777777" w:rsidTr="00CB28A5">
        <w:trPr>
          <w:trHeight w:val="313"/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8964161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Labor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572610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0.18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C2F5F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0.24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21726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0.39</w:t>
            </w:r>
          </w:p>
        </w:tc>
      </w:tr>
      <w:tr w:rsidR="006B1F09" w:rsidRPr="00C651A7" w14:paraId="06C1CC81" w14:textId="77777777" w:rsidTr="00CB28A5">
        <w:trPr>
          <w:trHeight w:val="313"/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6DF31C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ICT intermediate goods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143915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0.35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DED882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0.02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4D310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0.05</w:t>
            </w:r>
          </w:p>
        </w:tc>
      </w:tr>
      <w:tr w:rsidR="006B1F09" w:rsidRPr="00C651A7" w14:paraId="7D59EB42" w14:textId="77777777" w:rsidTr="00CB28A5">
        <w:trPr>
          <w:trHeight w:val="313"/>
          <w:jc w:val="center"/>
        </w:trPr>
        <w:tc>
          <w:tcPr>
            <w:tcW w:w="290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3CF3379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NIT intermediate goods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F69527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0.12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C4DE18" w14:textId="77777777" w:rsidR="006B1F09" w:rsidRPr="00C651A7" w:rsidRDefault="006B1F09" w:rsidP="00CB28A5">
            <w:pPr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0.44</w:t>
            </w: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93241" w14:textId="77777777" w:rsidR="006B1F09" w:rsidRPr="00C651A7" w:rsidRDefault="006B1F09" w:rsidP="00CB28A5">
            <w:pPr>
              <w:keepNext/>
              <w:spacing w:after="0" w:line="360" w:lineRule="auto"/>
              <w:jc w:val="both"/>
              <w:rPr>
                <w:rFonts w:eastAsia="Times New Roman" w:cs="Times New Roman"/>
                <w:color w:val="000000"/>
              </w:rPr>
            </w:pPr>
            <w:r w:rsidRPr="00C651A7">
              <w:rPr>
                <w:rFonts w:eastAsia="Times New Roman" w:cs="Times New Roman"/>
                <w:color w:val="000000"/>
              </w:rPr>
              <w:t>0.10</w:t>
            </w:r>
          </w:p>
        </w:tc>
      </w:tr>
    </w:tbl>
    <w:p w14:paraId="7DA348B8" w14:textId="77777777" w:rsidR="006B1F09" w:rsidRDefault="006B1F09" w:rsidP="006B1F09">
      <w:pPr>
        <w:pStyle w:val="Caption"/>
        <w:jc w:val="both"/>
      </w:pPr>
      <w:bookmarkStart w:id="2" w:name="_Ref204941628"/>
    </w:p>
    <w:p w14:paraId="7C29C3E2" w14:textId="77777777" w:rsidR="006B1F09" w:rsidRDefault="006B1F09" w:rsidP="006B1F09">
      <w:pPr>
        <w:pStyle w:val="Caption"/>
        <w:jc w:val="both"/>
      </w:pPr>
      <w:bookmarkStart w:id="3" w:name="_Ref205901124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fldChar w:fldCharType="end"/>
      </w:r>
      <w:bookmarkEnd w:id="2"/>
      <w:bookmarkEnd w:id="3"/>
      <w:r>
        <w:t xml:space="preserve">. Factor shares in sectoral Cobb-Douglas production functions. </w:t>
      </w:r>
      <w:r w:rsidRPr="002024FF">
        <w:t xml:space="preserve">ICT = ICT related manufacturing and services; </w:t>
      </w:r>
      <w:r>
        <w:t>traditional services = other private and public services</w:t>
      </w:r>
      <w:r w:rsidRPr="002024FF">
        <w:t xml:space="preserve">; </w:t>
      </w:r>
      <w:r>
        <w:t>NIT</w:t>
      </w:r>
      <w:r w:rsidRPr="002024FF">
        <w:t xml:space="preserve"> = other industries, excluding primary production</w:t>
      </w:r>
    </w:p>
    <w:p w14:paraId="694CBDD8" w14:textId="77777777" w:rsidR="006B1F09" w:rsidRDefault="006B1F09" w:rsidP="006B1F09">
      <w:pPr>
        <w:keepNext/>
        <w:jc w:val="both"/>
      </w:pPr>
      <w:r>
        <w:rPr>
          <w:noProof/>
          <w:lang w:val="en-US"/>
        </w:rPr>
        <w:lastRenderedPageBreak/>
        <w:drawing>
          <wp:inline distT="0" distB="0" distL="0" distR="0" wp14:anchorId="73C56B60" wp14:editId="77B54260">
            <wp:extent cx="6266180" cy="4206216"/>
            <wp:effectExtent l="0" t="0" r="1270" b="4445"/>
            <wp:docPr id="713712115" name="Picture 44" descr="A group of different colored ba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712115" name="Picture 44" descr="A group of different colored ba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277" cy="42197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01BF457" w14:textId="77777777" w:rsidR="006B1F09" w:rsidRDefault="006B1F09" w:rsidP="006B1F09">
      <w:pPr>
        <w:pStyle w:val="Caption"/>
        <w:jc w:val="both"/>
      </w:pPr>
      <w:bookmarkStart w:id="4" w:name="_Ref205215283"/>
      <w:bookmarkStart w:id="5" w:name="_Ref205205485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8</w:t>
      </w:r>
      <w:r>
        <w:fldChar w:fldCharType="end"/>
      </w:r>
      <w:bookmarkEnd w:id="4"/>
      <w:r>
        <w:t>. Nominal factor-share changes during the mid-1990s to mid-2000s period of the ICT revolution</w:t>
      </w:r>
      <w:bookmarkEnd w:id="5"/>
      <w:r>
        <w:t xml:space="preserve"> </w:t>
      </w:r>
    </w:p>
    <w:p w14:paraId="0B798487" w14:textId="77777777" w:rsidR="006B1F09" w:rsidRPr="004A5F63" w:rsidRDefault="006B1F09" w:rsidP="006B1F09">
      <w:pPr>
        <w:rPr>
          <w:lang w:val="en-US"/>
        </w:rPr>
      </w:pPr>
    </w:p>
    <w:p w14:paraId="4FDDD721" w14:textId="77777777" w:rsidR="006B1F09" w:rsidRPr="00B102BC" w:rsidRDefault="006B1F09" w:rsidP="006B1F09">
      <w:pPr>
        <w:jc w:val="both"/>
        <w:rPr>
          <w:lang w:val="en-US"/>
        </w:rPr>
      </w:pPr>
    </w:p>
    <w:p w14:paraId="0C92EDA6" w14:textId="77777777" w:rsidR="006B1F09" w:rsidRDefault="006B1F09" w:rsidP="006B1F09">
      <w:pPr>
        <w:pStyle w:val="ListParagraph"/>
        <w:keepNext/>
        <w:jc w:val="both"/>
      </w:pPr>
      <w:r>
        <w:rPr>
          <w:noProof/>
          <w:lang w:eastAsia="fi-FI"/>
        </w:rPr>
        <w:lastRenderedPageBreak/>
        <w:drawing>
          <wp:inline distT="0" distB="0" distL="0" distR="0" wp14:anchorId="7FC04A7E" wp14:editId="0EF6BA17">
            <wp:extent cx="5227983" cy="3409122"/>
            <wp:effectExtent l="0" t="0" r="0" b="1270"/>
            <wp:docPr id="139" name="Chart 13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7BB3B8EA" w14:textId="77777777" w:rsidR="006B1F09" w:rsidRDefault="006B1F09" w:rsidP="006B1F09">
      <w:pPr>
        <w:pStyle w:val="Caption"/>
        <w:jc w:val="both"/>
      </w:pPr>
      <w:bookmarkStart w:id="6" w:name="_Ref204939083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9</w:t>
      </w:r>
      <w:r>
        <w:fldChar w:fldCharType="end"/>
      </w:r>
      <w:bookmarkEnd w:id="6"/>
      <w:r>
        <w:t xml:space="preserve">. </w:t>
      </w:r>
      <w:r w:rsidRPr="0055431B">
        <w:t>A fitted line to the consumption data with the intratemporal elasticity of substitution receiving the value 0.5.</w:t>
      </w:r>
      <w:r w:rsidRPr="000A1B5D">
        <w:t xml:space="preserve"> </w:t>
      </w:r>
      <w:r>
        <w:t>Y-axis: the log</w:t>
      </w:r>
      <w:r w:rsidRPr="00D94F95">
        <w:t>ratio of real consumption between trad</w:t>
      </w:r>
      <w:r>
        <w:t>itional</w:t>
      </w:r>
      <w:r w:rsidRPr="00D94F95">
        <w:t xml:space="preserve"> services and manufact</w:t>
      </w:r>
      <w:r>
        <w:t>uring. X-axis: the log-</w:t>
      </w:r>
      <w:r w:rsidRPr="00FB5F78">
        <w:t>ratio of prices between trad</w:t>
      </w:r>
      <w:r>
        <w:t>itional</w:t>
      </w:r>
      <w:r w:rsidRPr="00FB5F78">
        <w:t xml:space="preserve"> services and manuf</w:t>
      </w:r>
      <w:r>
        <w:t>acturing. Source: Statistics Finland and own calculations</w:t>
      </w:r>
    </w:p>
    <w:p w14:paraId="38C9F161" w14:textId="77777777" w:rsidR="006B1F09" w:rsidRDefault="006B1F09" w:rsidP="006B1F09">
      <w:pPr>
        <w:keepNext/>
        <w:spacing w:line="240" w:lineRule="auto"/>
        <w:jc w:val="center"/>
      </w:pPr>
      <w:r w:rsidRPr="009C692B">
        <w:rPr>
          <w:noProof/>
          <w14:ligatures w14:val="standardContextual"/>
        </w:rPr>
        <w:drawing>
          <wp:inline distT="0" distB="0" distL="0" distR="0" wp14:anchorId="2A4DB0A4" wp14:editId="017E4478">
            <wp:extent cx="4630409" cy="4027170"/>
            <wp:effectExtent l="0" t="0" r="0" b="0"/>
            <wp:docPr id="82389079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BC3F060C-730C-D014-7871-C1F0DEE5D264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63DE032" w14:textId="77777777" w:rsidR="006B1F09" w:rsidRDefault="006B1F09" w:rsidP="006B1F09">
      <w:pPr>
        <w:pStyle w:val="Caption"/>
      </w:pPr>
      <w:bookmarkStart w:id="7" w:name="_Ref205365066"/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10</w:t>
      </w:r>
      <w:r>
        <w:fldChar w:fldCharType="end"/>
      </w:r>
      <w:bookmarkEnd w:id="7"/>
      <w:r>
        <w:t>. One-year real interest rate in different scenarios for different years. Period t marks the starting year of the GenAI shock (2023)</w:t>
      </w:r>
    </w:p>
    <w:p w14:paraId="7ECE9C5A" w14:textId="77777777" w:rsidR="006B1F09" w:rsidRPr="00AC5952" w:rsidRDefault="006B1F09" w:rsidP="006B1F09">
      <w:pPr>
        <w:jc w:val="both"/>
        <w:rPr>
          <w:lang w:val="en-US"/>
        </w:rPr>
      </w:pPr>
    </w:p>
    <w:tbl>
      <w:tblPr>
        <w:tblW w:w="10040" w:type="dxa"/>
        <w:tblLook w:val="04A0" w:firstRow="1" w:lastRow="0" w:firstColumn="1" w:lastColumn="0" w:noHBand="0" w:noVBand="1"/>
      </w:tblPr>
      <w:tblGrid>
        <w:gridCol w:w="1400"/>
        <w:gridCol w:w="960"/>
        <w:gridCol w:w="960"/>
        <w:gridCol w:w="960"/>
        <w:gridCol w:w="960"/>
        <w:gridCol w:w="960"/>
        <w:gridCol w:w="960"/>
        <w:gridCol w:w="960"/>
        <w:gridCol w:w="960"/>
        <w:gridCol w:w="960"/>
      </w:tblGrid>
      <w:tr w:rsidR="006B1F09" w:rsidRPr="003972C3" w14:paraId="05C0AEB9" w14:textId="77777777" w:rsidTr="00CB28A5">
        <w:trPr>
          <w:trHeight w:val="624"/>
        </w:trPr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511FC1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14:paraId="5E3C2114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US"/>
              </w:rPr>
              <w:t>NIT</w:t>
            </w: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 xml:space="preserve"> sector investment per GDP,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14:paraId="43CDE0AB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Service sector investment per GDP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single" w:sz="4" w:space="0" w:color="000000"/>
            </w:tcBorders>
            <w:vAlign w:val="bottom"/>
            <w:hideMark/>
          </w:tcPr>
          <w:p w14:paraId="4C30E93F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 xml:space="preserve"> ICT sector investment per GDP</w:t>
            </w:r>
          </w:p>
        </w:tc>
        <w:tc>
          <w:tcPr>
            <w:tcW w:w="288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0B70E9A9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Aggregate investment per GDP</w:t>
            </w:r>
          </w:p>
        </w:tc>
      </w:tr>
      <w:tr w:rsidR="006B1F09" w:rsidRPr="003972C3" w14:paraId="3A48D9A3" w14:textId="77777777" w:rsidTr="00CB28A5">
        <w:trPr>
          <w:trHeight w:val="588"/>
        </w:trPr>
        <w:tc>
          <w:tcPr>
            <w:tcW w:w="1400" w:type="dxa"/>
            <w:tcBorders>
              <w:top w:val="nil"/>
              <w:left w:val="nil"/>
              <w:bottom w:val="double" w:sz="6" w:space="0" w:color="auto"/>
              <w:right w:val="nil"/>
            </w:tcBorders>
            <w:noWrap/>
            <w:vAlign w:val="bottom"/>
            <w:hideMark/>
          </w:tcPr>
          <w:p w14:paraId="4BFB96C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DD3D9D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 xml:space="preserve"> ICT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14:paraId="1357B6AA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US"/>
              </w:rPr>
              <w:t>NIT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270750C8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 xml:space="preserve"> ICT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14:paraId="5EB2C4E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US"/>
              </w:rPr>
              <w:t>NIT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0B3886E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 xml:space="preserve"> ICT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vAlign w:val="center"/>
            <w:hideMark/>
          </w:tcPr>
          <w:p w14:paraId="129BC2C8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US"/>
              </w:rPr>
              <w:t>NIT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7C8C1FFC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ICT capital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26B402A1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>
              <w:rPr>
                <w:rFonts w:ascii="Aptos Narrow" w:eastAsia="Times New Roman" w:hAnsi="Aptos Narrow" w:cs="Times New Roman"/>
                <w:color w:val="000000"/>
                <w:lang w:val="en-US"/>
              </w:rPr>
              <w:t>NIT</w:t>
            </w: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 xml:space="preserve"> capital</w:t>
            </w:r>
          </w:p>
        </w:tc>
        <w:tc>
          <w:tcPr>
            <w:tcW w:w="960" w:type="dxa"/>
            <w:tcBorders>
              <w:top w:val="nil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2D5AC88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Total</w:t>
            </w:r>
          </w:p>
        </w:tc>
      </w:tr>
      <w:tr w:rsidR="006B1F09" w:rsidRPr="003972C3" w14:paraId="2F82D4E7" w14:textId="77777777" w:rsidTr="00CB28A5">
        <w:trPr>
          <w:trHeight w:val="300"/>
        </w:trPr>
        <w:tc>
          <w:tcPr>
            <w:tcW w:w="9080" w:type="dxa"/>
            <w:gridSpan w:val="9"/>
            <w:tcBorders>
              <w:top w:val="double" w:sz="6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D2223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  <w:t>Benchmark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76CC2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</w:p>
        </w:tc>
      </w:tr>
      <w:tr w:rsidR="006B1F09" w:rsidRPr="003972C3" w14:paraId="0345E094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2E689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6EB442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60E2E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5B027B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7B079D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8.7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0178F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496CC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A05C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B50F8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13.7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E191B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16.2</w:t>
            </w:r>
          </w:p>
        </w:tc>
      </w:tr>
      <w:tr w:rsidR="006B1F09" w:rsidRPr="003972C3" w14:paraId="78E41491" w14:textId="77777777" w:rsidTr="00CB28A5">
        <w:trPr>
          <w:trHeight w:val="288"/>
        </w:trPr>
        <w:tc>
          <w:tcPr>
            <w:tcW w:w="908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530FC" w14:textId="77777777" w:rsidR="006B1F09" w:rsidRPr="003972C3" w:rsidRDefault="006B1F09" w:rsidP="00CB28A5">
            <w:pPr>
              <w:spacing w:before="240"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  <w:t>Baseline exposure, only labor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F50C41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</w:p>
        </w:tc>
      </w:tr>
      <w:tr w:rsidR="006B1F09" w:rsidRPr="003972C3" w14:paraId="797C4559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0F601A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AA2AA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32167E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95958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950C0B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8.6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FBD2D9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481F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89830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741E72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13.6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C0EE2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16.1</w:t>
            </w:r>
          </w:p>
        </w:tc>
      </w:tr>
      <w:tr w:rsidR="006B1F09" w:rsidRPr="003972C3" w14:paraId="111F02D9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F7D4DC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Difference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CF10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5691EC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8ED9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2E9DA2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620E1E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46C92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5D51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4C81BD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1A0AD9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-0.2</w:t>
            </w:r>
          </w:p>
        </w:tc>
      </w:tr>
      <w:tr w:rsidR="006B1F09" w:rsidRPr="0074336B" w14:paraId="61B7B4FD" w14:textId="77777777" w:rsidTr="00CB28A5">
        <w:trPr>
          <w:trHeight w:val="288"/>
        </w:trPr>
        <w:tc>
          <w:tcPr>
            <w:tcW w:w="908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CF467" w14:textId="77777777" w:rsidR="006B1F09" w:rsidRPr="003972C3" w:rsidRDefault="006B1F09" w:rsidP="00CB28A5">
            <w:pPr>
              <w:spacing w:before="240"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  <w:t>Baseline exposure, labor and capital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F90EC1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</w:p>
        </w:tc>
      </w:tr>
      <w:tr w:rsidR="006B1F09" w:rsidRPr="003972C3" w14:paraId="4C3A4CB6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FA7348F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984C4F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B43DED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B8950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9DE8C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8.5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1B72C1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0E4469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63320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82439A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13.5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852B8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16.0</w:t>
            </w:r>
          </w:p>
        </w:tc>
      </w:tr>
      <w:tr w:rsidR="006B1F09" w:rsidRPr="003972C3" w14:paraId="796ED3B2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9DC339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Difference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574B2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EA20B4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F592EC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12596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C8D07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BAF96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FE65D7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95D44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FC91B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-0.2</w:t>
            </w:r>
          </w:p>
        </w:tc>
      </w:tr>
      <w:tr w:rsidR="006B1F09" w:rsidRPr="0074336B" w14:paraId="5839D6A2" w14:textId="77777777" w:rsidTr="00CB28A5">
        <w:trPr>
          <w:trHeight w:val="288"/>
        </w:trPr>
        <w:tc>
          <w:tcPr>
            <w:tcW w:w="9080" w:type="dxa"/>
            <w:gridSpan w:val="9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C590A" w14:textId="77777777" w:rsidR="006B1F09" w:rsidRPr="003972C3" w:rsidRDefault="006B1F09" w:rsidP="00CB28A5">
            <w:pPr>
              <w:spacing w:before="240"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  <w:t>AI, extended capacities, only labor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B0946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</w:p>
        </w:tc>
      </w:tr>
      <w:tr w:rsidR="006B1F09" w:rsidRPr="003972C3" w14:paraId="0BCF620D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DEBED14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F2E52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D7DDA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3.2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203FE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FDB0C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8.4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348E9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50B52F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43C22A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7C99EE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13.3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29FCAD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15.8</w:t>
            </w:r>
          </w:p>
        </w:tc>
      </w:tr>
      <w:tr w:rsidR="006B1F09" w:rsidRPr="003972C3" w14:paraId="1E3734D5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DF14119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Difference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B34A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FF929C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A81708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8855C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4EFB1A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03BF14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C649AA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4F214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C78B48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-0.5</w:t>
            </w:r>
          </w:p>
        </w:tc>
      </w:tr>
      <w:tr w:rsidR="006B1F09" w:rsidRPr="0074336B" w14:paraId="60ACBC11" w14:textId="77777777" w:rsidTr="00CB28A5">
        <w:trPr>
          <w:trHeight w:val="288"/>
        </w:trPr>
        <w:tc>
          <w:tcPr>
            <w:tcW w:w="1004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F28387" w14:textId="77777777" w:rsidR="006B1F09" w:rsidRPr="003972C3" w:rsidRDefault="006B1F09" w:rsidP="00CB28A5">
            <w:pPr>
              <w:spacing w:before="240" w:after="0" w:line="240" w:lineRule="auto"/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b/>
                <w:bCs/>
                <w:color w:val="000000"/>
                <w:lang w:val="en-US"/>
              </w:rPr>
              <w:t>Baseline exposure, only labor, 1pps increase in ICT factor share / decline in labor share</w:t>
            </w:r>
          </w:p>
        </w:tc>
      </w:tr>
      <w:tr w:rsidR="006B1F09" w:rsidRPr="003972C3" w14:paraId="6F2AC4E9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DB7B2D6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54B3B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7ED2D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3.0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6A47E9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55810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7.7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4392AE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5EEC6A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1.9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A051C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D629C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6CBA10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15.2</w:t>
            </w:r>
          </w:p>
        </w:tc>
      </w:tr>
      <w:tr w:rsidR="006B1F09" w:rsidRPr="003972C3" w14:paraId="361B958E" w14:textId="77777777" w:rsidTr="00CB28A5">
        <w:trPr>
          <w:trHeight w:val="288"/>
        </w:trPr>
        <w:tc>
          <w:tcPr>
            <w:tcW w:w="1400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6D11B53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Difference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2229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58964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4A44E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904285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-1.0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54974D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93D142D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3BECD2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0.0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F91267" w14:textId="77777777" w:rsidR="006B1F09" w:rsidRPr="003972C3" w:rsidRDefault="006B1F09" w:rsidP="00CB28A5">
            <w:pPr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-1.1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43B249" w14:textId="77777777" w:rsidR="006B1F09" w:rsidRPr="003972C3" w:rsidRDefault="006B1F09" w:rsidP="00CB28A5">
            <w:pPr>
              <w:keepNext/>
              <w:spacing w:after="0" w:line="240" w:lineRule="auto"/>
              <w:jc w:val="both"/>
              <w:rPr>
                <w:rFonts w:ascii="Aptos Narrow" w:eastAsia="Times New Roman" w:hAnsi="Aptos Narrow" w:cs="Times New Roman"/>
                <w:color w:val="000000"/>
                <w:lang w:val="en-US"/>
              </w:rPr>
            </w:pPr>
            <w:r w:rsidRPr="003972C3">
              <w:rPr>
                <w:rFonts w:ascii="Aptos Narrow" w:eastAsia="Times New Roman" w:hAnsi="Aptos Narrow" w:cs="Times New Roman"/>
                <w:color w:val="000000"/>
                <w:lang w:val="en-US"/>
              </w:rPr>
              <w:t>-1.1</w:t>
            </w:r>
          </w:p>
        </w:tc>
      </w:tr>
    </w:tbl>
    <w:p w14:paraId="5B453157" w14:textId="77777777" w:rsidR="006B1F09" w:rsidRDefault="006B1F09" w:rsidP="006B1F09">
      <w:pPr>
        <w:pStyle w:val="Caption"/>
        <w:jc w:val="both"/>
      </w:pPr>
    </w:p>
    <w:p w14:paraId="0882BEC2" w14:textId="77777777" w:rsidR="006B1F09" w:rsidRDefault="006B1F09" w:rsidP="006B1F09">
      <w:pPr>
        <w:pStyle w:val="Caption"/>
        <w:jc w:val="both"/>
      </w:pPr>
      <w:bookmarkStart w:id="8" w:name="_Ref204939284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fldChar w:fldCharType="end"/>
      </w:r>
      <w:bookmarkEnd w:id="8"/>
      <w:r>
        <w:t xml:space="preserve">. </w:t>
      </w:r>
      <w:r w:rsidRPr="00AC5952">
        <w:t>investment rates</w:t>
      </w:r>
      <w:r>
        <w:t xml:space="preserve"> in the scenarios. </w:t>
      </w:r>
      <w:r w:rsidRPr="002024FF">
        <w:t xml:space="preserve">ICT = ICT related manufacturing and services; </w:t>
      </w:r>
      <w:r>
        <w:t>traditional services = other private and public services</w:t>
      </w:r>
      <w:r w:rsidRPr="002024FF">
        <w:t xml:space="preserve">; </w:t>
      </w:r>
      <w:r>
        <w:t>NIT</w:t>
      </w:r>
      <w:r w:rsidRPr="002024FF">
        <w:t xml:space="preserve"> = other industries, excluding primary production</w:t>
      </w:r>
    </w:p>
    <w:p w14:paraId="1ADCDE63" w14:textId="77777777" w:rsidR="006B1F09" w:rsidRPr="0074336B" w:rsidRDefault="006B1F09" w:rsidP="006B1F09">
      <w:pPr>
        <w:rPr>
          <w:lang w:val="en-US"/>
        </w:rPr>
      </w:pPr>
    </w:p>
    <w:p w14:paraId="264C4180" w14:textId="77777777" w:rsidR="006B1F09" w:rsidRPr="0074336B" w:rsidRDefault="006B1F09" w:rsidP="006B1F09">
      <w:pPr>
        <w:rPr>
          <w:lang w:val="en-US"/>
        </w:rPr>
      </w:pPr>
    </w:p>
    <w:p w14:paraId="5679948E" w14:textId="77777777" w:rsidR="006B1F09" w:rsidRPr="0074336B" w:rsidRDefault="006B1F09" w:rsidP="006B1F09">
      <w:pPr>
        <w:rPr>
          <w:lang w:val="en-US"/>
        </w:rPr>
      </w:pPr>
    </w:p>
    <w:p w14:paraId="1144E940" w14:textId="77777777" w:rsidR="006B1F09" w:rsidRPr="0074336B" w:rsidRDefault="006B1F09" w:rsidP="006B1F09">
      <w:pPr>
        <w:rPr>
          <w:lang w:val="en-US"/>
        </w:rPr>
      </w:pPr>
    </w:p>
    <w:p w14:paraId="1BB4F1AD" w14:textId="77777777" w:rsidR="006B1F09" w:rsidRDefault="006B1F09" w:rsidP="006B1F09">
      <w:pPr>
        <w:rPr>
          <w:b/>
          <w:bCs/>
          <w:color w:val="156082" w:themeColor="accent1"/>
          <w:sz w:val="18"/>
          <w:szCs w:val="18"/>
          <w:lang w:val="en-US"/>
        </w:rPr>
      </w:pPr>
    </w:p>
    <w:p w14:paraId="07A840E2" w14:textId="77777777" w:rsidR="006B1F09" w:rsidRPr="0074336B" w:rsidRDefault="006B1F09" w:rsidP="006B1F09">
      <w:pPr>
        <w:tabs>
          <w:tab w:val="left" w:pos="1512"/>
        </w:tabs>
        <w:rPr>
          <w:lang w:val="en-US"/>
        </w:rPr>
      </w:pPr>
      <w:r>
        <w:rPr>
          <w:lang w:val="en-US"/>
        </w:rPr>
        <w:tab/>
      </w:r>
    </w:p>
    <w:p w14:paraId="5CCDD912" w14:textId="77777777" w:rsidR="00EB4A2D" w:rsidRDefault="00EB4A2D"/>
    <w:sectPr w:rsidR="00EB4A2D" w:rsidSect="006B1F09">
      <w:footerReference w:type="default" r:id="rId8"/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517638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541274C" w14:textId="77777777" w:rsidR="006B1F09" w:rsidRDefault="006B1F0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F8D5EA2" w14:textId="77777777" w:rsidR="006B1F09" w:rsidRDefault="006B1F09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F09"/>
    <w:rsid w:val="00331BAB"/>
    <w:rsid w:val="005C0D39"/>
    <w:rsid w:val="006B1F0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9426B"/>
  <w15:chartTrackingRefBased/>
  <w15:docId w15:val="{C6F38DEA-BE5A-49C7-A3B3-26E534F42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1F09"/>
    <w:pPr>
      <w:spacing w:line="259" w:lineRule="auto"/>
    </w:pPr>
    <w:rPr>
      <w:kern w:val="0"/>
      <w:sz w:val="22"/>
      <w:szCs w:val="22"/>
      <w:lang w:val="fi-FI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B1F0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F0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F0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F0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F0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F0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F0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F0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F0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F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F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F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F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F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F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F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F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F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F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B1F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F0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B1F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F09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B1F09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6B1F09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B1F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F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F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F09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unhideWhenUsed/>
    <w:rsid w:val="006B1F0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B1F09"/>
    <w:rPr>
      <w:kern w:val="0"/>
      <w:sz w:val="20"/>
      <w:szCs w:val="20"/>
      <w:lang w:val="fi-FI"/>
      <w14:ligatures w14:val="non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6B1F09"/>
  </w:style>
  <w:style w:type="paragraph" w:styleId="Caption">
    <w:name w:val="caption"/>
    <w:basedOn w:val="Normal"/>
    <w:next w:val="Normal"/>
    <w:uiPriority w:val="35"/>
    <w:unhideWhenUsed/>
    <w:qFormat/>
    <w:rsid w:val="006B1F09"/>
    <w:pPr>
      <w:spacing w:after="200" w:line="240" w:lineRule="auto"/>
    </w:pPr>
    <w:rPr>
      <w:b/>
      <w:bCs/>
      <w:color w:val="156082" w:themeColor="accent1"/>
      <w:sz w:val="18"/>
      <w:szCs w:val="1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6B1F09"/>
    <w:pPr>
      <w:tabs>
        <w:tab w:val="center" w:pos="4819"/>
        <w:tab w:val="right" w:pos="9638"/>
      </w:tabs>
      <w:spacing w:after="0" w:line="240" w:lineRule="auto"/>
      <w:jc w:val="both"/>
    </w:pPr>
  </w:style>
  <w:style w:type="character" w:customStyle="1" w:styleId="FooterChar">
    <w:name w:val="Footer Char"/>
    <w:basedOn w:val="DefaultParagraphFont"/>
    <w:link w:val="Footer"/>
    <w:uiPriority w:val="99"/>
    <w:rsid w:val="006B1F09"/>
    <w:rPr>
      <w:kern w:val="0"/>
      <w:sz w:val="22"/>
      <w:szCs w:val="22"/>
      <w:lang w:val="fi-FI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chart" Target="charts/chart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chart" Target="charts/chart1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tku\Documents\ETLA\Aalto\Structural%20change\DATA\Section%202%20pictures\Pictures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https://etlaeva-my.sharepoint.com/personal/tero_kuusi_etla_fi/Documents/2025/BF%20kasvumalli/Tuloksia_us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Sheet3!$C$24</c:f>
              <c:strCache>
                <c:ptCount val="1"/>
                <c:pt idx="0">
                  <c:v>TFP growth in the ICT sector</c:v>
                </c:pt>
              </c:strCache>
            </c:strRef>
          </c:tx>
          <c:spPr>
            <a:ln>
              <a:solidFill>
                <a:schemeClr val="tx1"/>
              </a:solidFill>
            </a:ln>
          </c:spPr>
          <c:marker>
            <c:symbol val="none"/>
          </c:marker>
          <c:cat>
            <c:numRef>
              <c:f>Sheet3!$D$2:$AP$2</c:f>
              <c:numCache>
                <c:formatCode>General</c:formatCode>
                <c:ptCount val="39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</c:numCache>
            </c:numRef>
          </c:cat>
          <c:val>
            <c:numRef>
              <c:f>Sheet3!$D$24:$AP$24</c:f>
              <c:numCache>
                <c:formatCode>General</c:formatCode>
                <c:ptCount val="39"/>
                <c:pt idx="0">
                  <c:v>0.38433343353688743</c:v>
                </c:pt>
                <c:pt idx="1">
                  <c:v>0.37940758438507283</c:v>
                </c:pt>
                <c:pt idx="2">
                  <c:v>0.38732255532477022</c:v>
                </c:pt>
                <c:pt idx="3">
                  <c:v>0.39914785546530102</c:v>
                </c:pt>
                <c:pt idx="4">
                  <c:v>0.43851734231542833</c:v>
                </c:pt>
                <c:pt idx="5">
                  <c:v>0.45177827384248942</c:v>
                </c:pt>
                <c:pt idx="6">
                  <c:v>0.47470691895398176</c:v>
                </c:pt>
                <c:pt idx="7">
                  <c:v>0.48990951826779938</c:v>
                </c:pt>
                <c:pt idx="8">
                  <c:v>0.4996192810513907</c:v>
                </c:pt>
                <c:pt idx="9">
                  <c:v>0.50612559313698813</c:v>
                </c:pt>
                <c:pt idx="10">
                  <c:v>0.52985306149116984</c:v>
                </c:pt>
                <c:pt idx="11">
                  <c:v>0.54973785460503088</c:v>
                </c:pt>
                <c:pt idx="12">
                  <c:v>0.56383200941271283</c:v>
                </c:pt>
                <c:pt idx="13">
                  <c:v>0.58388554514089941</c:v>
                </c:pt>
                <c:pt idx="14">
                  <c:v>0.59530657214043525</c:v>
                </c:pt>
                <c:pt idx="15">
                  <c:v>0.58747683760348313</c:v>
                </c:pt>
                <c:pt idx="16">
                  <c:v>0.62057296404726203</c:v>
                </c:pt>
                <c:pt idx="17">
                  <c:v>0.65511888062645018</c:v>
                </c:pt>
                <c:pt idx="18">
                  <c:v>0.68390617078576155</c:v>
                </c:pt>
                <c:pt idx="19">
                  <c:v>0.69417498351201778</c:v>
                </c:pt>
                <c:pt idx="20">
                  <c:v>0.71485626293316507</c:v>
                </c:pt>
                <c:pt idx="21">
                  <c:v>0.74581654685635712</c:v>
                </c:pt>
                <c:pt idx="22">
                  <c:v>0.80828969782900961</c:v>
                </c:pt>
                <c:pt idx="23">
                  <c:v>0.84770831932406943</c:v>
                </c:pt>
                <c:pt idx="24">
                  <c:v>0.90346753323258677</c:v>
                </c:pt>
                <c:pt idx="25">
                  <c:v>0.88518799815710447</c:v>
                </c:pt>
                <c:pt idx="26">
                  <c:v>0.90894721120961686</c:v>
                </c:pt>
                <c:pt idx="27">
                  <c:v>0.93365938791437231</c:v>
                </c:pt>
                <c:pt idx="28">
                  <c:v>0.95343769738978423</c:v>
                </c:pt>
                <c:pt idx="29">
                  <c:v>0.97372361487731085</c:v>
                </c:pt>
                <c:pt idx="30">
                  <c:v>1.0085370143584025</c:v>
                </c:pt>
                <c:pt idx="31">
                  <c:v>1.0750708581848289</c:v>
                </c:pt>
                <c:pt idx="32">
                  <c:v>1.0801665658565847</c:v>
                </c:pt>
                <c:pt idx="33">
                  <c:v>1</c:v>
                </c:pt>
                <c:pt idx="34">
                  <c:v>1.0187025807945462</c:v>
                </c:pt>
                <c:pt idx="35">
                  <c:v>1.0061419939866605</c:v>
                </c:pt>
                <c:pt idx="36">
                  <c:v>0.96515746262925217</c:v>
                </c:pt>
                <c:pt idx="37">
                  <c:v>1.0157340047548595</c:v>
                </c:pt>
                <c:pt idx="38">
                  <c:v>1.044345833189968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BC21-48F5-82E5-6E68C31DDFE9}"/>
            </c:ext>
          </c:extLst>
        </c:ser>
        <c:ser>
          <c:idx val="1"/>
          <c:order val="1"/>
          <c:tx>
            <c:strRef>
              <c:f>Sheet3!$C$25</c:f>
              <c:strCache>
                <c:ptCount val="1"/>
                <c:pt idx="0">
                  <c:v>The long-term trend</c:v>
                </c:pt>
              </c:strCache>
            </c:strRef>
          </c:tx>
          <c:spPr>
            <a:ln>
              <a:solidFill>
                <a:schemeClr val="tx1"/>
              </a:solidFill>
              <a:prstDash val="sysDash"/>
            </a:ln>
          </c:spPr>
          <c:marker>
            <c:symbol val="none"/>
          </c:marker>
          <c:cat>
            <c:numRef>
              <c:f>Sheet3!$D$2:$AP$2</c:f>
              <c:numCache>
                <c:formatCode>General</c:formatCode>
                <c:ptCount val="39"/>
                <c:pt idx="0">
                  <c:v>1976</c:v>
                </c:pt>
                <c:pt idx="1">
                  <c:v>1977</c:v>
                </c:pt>
                <c:pt idx="2">
                  <c:v>1978</c:v>
                </c:pt>
                <c:pt idx="3">
                  <c:v>1979</c:v>
                </c:pt>
                <c:pt idx="4">
                  <c:v>1980</c:v>
                </c:pt>
                <c:pt idx="5">
                  <c:v>1981</c:v>
                </c:pt>
                <c:pt idx="6">
                  <c:v>1982</c:v>
                </c:pt>
                <c:pt idx="7">
                  <c:v>1983</c:v>
                </c:pt>
                <c:pt idx="8">
                  <c:v>1984</c:v>
                </c:pt>
                <c:pt idx="9">
                  <c:v>1985</c:v>
                </c:pt>
                <c:pt idx="10">
                  <c:v>1986</c:v>
                </c:pt>
                <c:pt idx="11">
                  <c:v>1987</c:v>
                </c:pt>
                <c:pt idx="12">
                  <c:v>1988</c:v>
                </c:pt>
                <c:pt idx="13">
                  <c:v>1989</c:v>
                </c:pt>
                <c:pt idx="14">
                  <c:v>1990</c:v>
                </c:pt>
                <c:pt idx="15">
                  <c:v>1991</c:v>
                </c:pt>
                <c:pt idx="16">
                  <c:v>1992</c:v>
                </c:pt>
                <c:pt idx="17">
                  <c:v>1993</c:v>
                </c:pt>
                <c:pt idx="18">
                  <c:v>1994</c:v>
                </c:pt>
                <c:pt idx="19">
                  <c:v>1995</c:v>
                </c:pt>
                <c:pt idx="20">
                  <c:v>1996</c:v>
                </c:pt>
                <c:pt idx="21">
                  <c:v>1997</c:v>
                </c:pt>
                <c:pt idx="22">
                  <c:v>1998</c:v>
                </c:pt>
                <c:pt idx="23">
                  <c:v>1999</c:v>
                </c:pt>
                <c:pt idx="24">
                  <c:v>2000</c:v>
                </c:pt>
                <c:pt idx="25">
                  <c:v>2001</c:v>
                </c:pt>
                <c:pt idx="26">
                  <c:v>2002</c:v>
                </c:pt>
                <c:pt idx="27">
                  <c:v>2003</c:v>
                </c:pt>
                <c:pt idx="28">
                  <c:v>2004</c:v>
                </c:pt>
                <c:pt idx="29">
                  <c:v>2005</c:v>
                </c:pt>
                <c:pt idx="30">
                  <c:v>2006</c:v>
                </c:pt>
                <c:pt idx="31">
                  <c:v>2007</c:v>
                </c:pt>
                <c:pt idx="32">
                  <c:v>2008</c:v>
                </c:pt>
                <c:pt idx="33">
                  <c:v>2009</c:v>
                </c:pt>
                <c:pt idx="34">
                  <c:v>2010</c:v>
                </c:pt>
                <c:pt idx="35">
                  <c:v>2011</c:v>
                </c:pt>
                <c:pt idx="36">
                  <c:v>2012</c:v>
                </c:pt>
                <c:pt idx="37">
                  <c:v>2013</c:v>
                </c:pt>
                <c:pt idx="38">
                  <c:v>2014</c:v>
                </c:pt>
              </c:numCache>
            </c:numRef>
          </c:cat>
          <c:val>
            <c:numRef>
              <c:f>Sheet3!$D$25:$AP$25</c:f>
              <c:numCache>
                <c:formatCode>General</c:formatCode>
                <c:ptCount val="39"/>
                <c:pt idx="0">
                  <c:v>0.3444333217915343</c:v>
                </c:pt>
                <c:pt idx="1">
                  <c:v>0.36458282822777477</c:v>
                </c:pt>
                <c:pt idx="2">
                  <c:v>0.38473233466401524</c:v>
                </c:pt>
                <c:pt idx="3">
                  <c:v>0.40488184110025571</c:v>
                </c:pt>
                <c:pt idx="4">
                  <c:v>0.42503134753649618</c:v>
                </c:pt>
                <c:pt idx="5">
                  <c:v>0.44518085397273666</c:v>
                </c:pt>
                <c:pt idx="6">
                  <c:v>0.46533036040897713</c:v>
                </c:pt>
                <c:pt idx="7">
                  <c:v>0.4854798668452176</c:v>
                </c:pt>
                <c:pt idx="8">
                  <c:v>0.50562937328145807</c:v>
                </c:pt>
                <c:pt idx="9">
                  <c:v>0.52577887971769854</c:v>
                </c:pt>
                <c:pt idx="10">
                  <c:v>0.54592838615393902</c:v>
                </c:pt>
                <c:pt idx="11">
                  <c:v>0.56607789259017949</c:v>
                </c:pt>
                <c:pt idx="12">
                  <c:v>0.58622739902641285</c:v>
                </c:pt>
                <c:pt idx="13">
                  <c:v>0.60637690546265333</c:v>
                </c:pt>
                <c:pt idx="14">
                  <c:v>0.6265264118988938</c:v>
                </c:pt>
                <c:pt idx="15">
                  <c:v>0.64667591833513427</c:v>
                </c:pt>
                <c:pt idx="16">
                  <c:v>0.66682542477137474</c:v>
                </c:pt>
                <c:pt idx="17">
                  <c:v>0.68697493120761521</c:v>
                </c:pt>
                <c:pt idx="18">
                  <c:v>0.70712443764385569</c:v>
                </c:pt>
                <c:pt idx="19">
                  <c:v>0.72727394408009616</c:v>
                </c:pt>
                <c:pt idx="20">
                  <c:v>0.74742345051633663</c:v>
                </c:pt>
                <c:pt idx="21">
                  <c:v>0.7675729569525771</c:v>
                </c:pt>
                <c:pt idx="22">
                  <c:v>0.78772246338881757</c:v>
                </c:pt>
                <c:pt idx="23">
                  <c:v>0.80787196982505804</c:v>
                </c:pt>
                <c:pt idx="24">
                  <c:v>0.82802147626129852</c:v>
                </c:pt>
                <c:pt idx="25">
                  <c:v>0.84817098269753899</c:v>
                </c:pt>
                <c:pt idx="26">
                  <c:v>0.86832048913377946</c:v>
                </c:pt>
                <c:pt idx="27">
                  <c:v>0.88846999557001993</c:v>
                </c:pt>
                <c:pt idx="28">
                  <c:v>0.9086195020062604</c:v>
                </c:pt>
                <c:pt idx="29">
                  <c:v>0.92876900844250088</c:v>
                </c:pt>
                <c:pt idx="30">
                  <c:v>0.94891851487874135</c:v>
                </c:pt>
                <c:pt idx="31">
                  <c:v>0.96906802131498182</c:v>
                </c:pt>
                <c:pt idx="32">
                  <c:v>0.98921752775122229</c:v>
                </c:pt>
                <c:pt idx="33">
                  <c:v>1.0093670341874628</c:v>
                </c:pt>
                <c:pt idx="34">
                  <c:v>1.0295165406237032</c:v>
                </c:pt>
                <c:pt idx="35">
                  <c:v>1.0496660470599437</c:v>
                </c:pt>
                <c:pt idx="36">
                  <c:v>1.0698155534961771</c:v>
                </c:pt>
                <c:pt idx="37">
                  <c:v>1.0899650599324175</c:v>
                </c:pt>
                <c:pt idx="38">
                  <c:v>1.110114566368658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BC21-48F5-82E5-6E68C31DDFE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09293568"/>
        <c:axId val="130534784"/>
      </c:lineChart>
      <c:catAx>
        <c:axId val="10929356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crossAx val="130534784"/>
        <c:crosses val="autoZero"/>
        <c:auto val="1"/>
        <c:lblAlgn val="ctr"/>
        <c:lblOffset val="100"/>
        <c:noMultiLvlLbl val="0"/>
      </c:catAx>
      <c:valAx>
        <c:axId val="130534784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US"/>
                  <a:t>2009 =</a:t>
                </a:r>
                <a:r>
                  <a:rPr lang="en-US" baseline="0"/>
                  <a:t> 1</a:t>
                </a:r>
                <a:endParaRPr lang="en-US"/>
              </a:p>
            </c:rich>
          </c:tx>
          <c:overlay val="0"/>
        </c:title>
        <c:numFmt formatCode="General" sourceLinked="1"/>
        <c:majorTickMark val="none"/>
        <c:minorTickMark val="none"/>
        <c:tickLblPos val="nextTo"/>
        <c:spPr>
          <a:ln w="9525">
            <a:noFill/>
          </a:ln>
        </c:spPr>
        <c:crossAx val="109293568"/>
        <c:crosses val="autoZero"/>
        <c:crossBetween val="between"/>
      </c:valAx>
    </c:plotArea>
    <c:legend>
      <c:legendPos val="b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361506554666213"/>
          <c:y val="5.710362955748266E-2"/>
          <c:w val="0.84154339507512976"/>
          <c:h val="0.80000598394542644"/>
        </c:manualLayout>
      </c:layout>
      <c:scatterChart>
        <c:scatterStyle val="lineMarker"/>
        <c:varyColors val="0"/>
        <c:ser>
          <c:idx val="0"/>
          <c:order val="0"/>
          <c:tx>
            <c:v>Aineisto (1991-2011)</c:v>
          </c:tx>
          <c:spPr>
            <a:ln w="28575">
              <a:noFill/>
            </a:ln>
          </c:spPr>
          <c:marker>
            <c:spPr>
              <a:solidFill>
                <a:schemeClr val="tx1"/>
              </a:solidFill>
              <a:ln>
                <a:noFill/>
              </a:ln>
            </c:spPr>
          </c:marker>
          <c:xVal>
            <c:numRef>
              <c:f>Elasticity!$I$19:$I$39</c:f>
              <c:numCache>
                <c:formatCode>General</c:formatCode>
                <c:ptCount val="21"/>
                <c:pt idx="0">
                  <c:v>0.18739239999999999</c:v>
                </c:pt>
                <c:pt idx="1">
                  <c:v>0.19458210000000001</c:v>
                </c:pt>
                <c:pt idx="2">
                  <c:v>0.1813766</c:v>
                </c:pt>
                <c:pt idx="3">
                  <c:v>0.17940110000000001</c:v>
                </c:pt>
                <c:pt idx="4">
                  <c:v>0.23034950000000001</c:v>
                </c:pt>
                <c:pt idx="5">
                  <c:v>0.2386421</c:v>
                </c:pt>
                <c:pt idx="6">
                  <c:v>0.25019400000000003</c:v>
                </c:pt>
                <c:pt idx="7">
                  <c:v>0.280136</c:v>
                </c:pt>
                <c:pt idx="8">
                  <c:v>0.29470809999999997</c:v>
                </c:pt>
                <c:pt idx="9">
                  <c:v>0.32648870000000002</c:v>
                </c:pt>
                <c:pt idx="10">
                  <c:v>0.34995880000000001</c:v>
                </c:pt>
                <c:pt idx="11">
                  <c:v>0.37951249999999997</c:v>
                </c:pt>
                <c:pt idx="12">
                  <c:v>0.38467400000000002</c:v>
                </c:pt>
                <c:pt idx="13">
                  <c:v>0.41712640000000001</c:v>
                </c:pt>
                <c:pt idx="14">
                  <c:v>0.43374879999999999</c:v>
                </c:pt>
                <c:pt idx="15">
                  <c:v>0.46279029999999999</c:v>
                </c:pt>
                <c:pt idx="16">
                  <c:v>0.50343380000000004</c:v>
                </c:pt>
                <c:pt idx="17">
                  <c:v>0.51190939999999996</c:v>
                </c:pt>
                <c:pt idx="18">
                  <c:v>0.53968050000000001</c:v>
                </c:pt>
                <c:pt idx="19">
                  <c:v>0.55705720000000003</c:v>
                </c:pt>
                <c:pt idx="20">
                  <c:v>0.55330840000000003</c:v>
                </c:pt>
              </c:numCache>
            </c:numRef>
          </c:xVal>
          <c:yVal>
            <c:numRef>
              <c:f>Elasticity!$J$19:$J$39</c:f>
              <c:numCache>
                <c:formatCode>General</c:formatCode>
                <c:ptCount val="21"/>
                <c:pt idx="0">
                  <c:v>0.3646257</c:v>
                </c:pt>
                <c:pt idx="1">
                  <c:v>0.41008030000000001</c:v>
                </c:pt>
                <c:pt idx="2">
                  <c:v>0.42852269999999998</c:v>
                </c:pt>
                <c:pt idx="3">
                  <c:v>0.42129620000000001</c:v>
                </c:pt>
                <c:pt idx="4">
                  <c:v>0.40742279999999997</c:v>
                </c:pt>
                <c:pt idx="5">
                  <c:v>0.39503480000000002</c:v>
                </c:pt>
                <c:pt idx="6">
                  <c:v>0.38174960000000002</c:v>
                </c:pt>
                <c:pt idx="7">
                  <c:v>0.35023110000000002</c:v>
                </c:pt>
                <c:pt idx="8">
                  <c:v>0.34349770000000002</c:v>
                </c:pt>
                <c:pt idx="9">
                  <c:v>0.3394546</c:v>
                </c:pt>
                <c:pt idx="10">
                  <c:v>0.32838679999999998</c:v>
                </c:pt>
                <c:pt idx="11">
                  <c:v>0.3137276</c:v>
                </c:pt>
                <c:pt idx="12">
                  <c:v>0.27875440000000001</c:v>
                </c:pt>
                <c:pt idx="13">
                  <c:v>0.2794933</c:v>
                </c:pt>
                <c:pt idx="14">
                  <c:v>0.27078210000000003</c:v>
                </c:pt>
                <c:pt idx="15">
                  <c:v>0.2492251</c:v>
                </c:pt>
                <c:pt idx="16">
                  <c:v>0.22991900000000001</c:v>
                </c:pt>
                <c:pt idx="17">
                  <c:v>0.2285442</c:v>
                </c:pt>
                <c:pt idx="18">
                  <c:v>0.25573689999999999</c:v>
                </c:pt>
                <c:pt idx="19">
                  <c:v>0.2100303</c:v>
                </c:pt>
                <c:pt idx="20">
                  <c:v>0.19762250000000001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DEF-4E28-BAF8-1CF0306330F8}"/>
            </c:ext>
          </c:extLst>
        </c:ser>
        <c:ser>
          <c:idx val="1"/>
          <c:order val="1"/>
          <c:tx>
            <c:v>Joustoa 0.5 vastaava sovite</c:v>
          </c:tx>
          <c:spPr>
            <a:ln w="25400">
              <a:solidFill>
                <a:schemeClr val="tx1"/>
              </a:solidFill>
            </a:ln>
          </c:spPr>
          <c:marker>
            <c:symbol val="none"/>
          </c:marker>
          <c:xVal>
            <c:numRef>
              <c:f>Elasticity!$I$19:$I$39</c:f>
              <c:numCache>
                <c:formatCode>General</c:formatCode>
                <c:ptCount val="21"/>
                <c:pt idx="0">
                  <c:v>0.18739239999999999</c:v>
                </c:pt>
                <c:pt idx="1">
                  <c:v>0.19458210000000001</c:v>
                </c:pt>
                <c:pt idx="2">
                  <c:v>0.1813766</c:v>
                </c:pt>
                <c:pt idx="3">
                  <c:v>0.17940110000000001</c:v>
                </c:pt>
                <c:pt idx="4">
                  <c:v>0.23034950000000001</c:v>
                </c:pt>
                <c:pt idx="5">
                  <c:v>0.2386421</c:v>
                </c:pt>
                <c:pt idx="6">
                  <c:v>0.25019400000000003</c:v>
                </c:pt>
                <c:pt idx="7">
                  <c:v>0.280136</c:v>
                </c:pt>
                <c:pt idx="8">
                  <c:v>0.29470809999999997</c:v>
                </c:pt>
                <c:pt idx="9">
                  <c:v>0.32648870000000002</c:v>
                </c:pt>
                <c:pt idx="10">
                  <c:v>0.34995880000000001</c:v>
                </c:pt>
                <c:pt idx="11">
                  <c:v>0.37951249999999997</c:v>
                </c:pt>
                <c:pt idx="12">
                  <c:v>0.38467400000000002</c:v>
                </c:pt>
                <c:pt idx="13">
                  <c:v>0.41712640000000001</c:v>
                </c:pt>
                <c:pt idx="14">
                  <c:v>0.43374879999999999</c:v>
                </c:pt>
                <c:pt idx="15">
                  <c:v>0.46279029999999999</c:v>
                </c:pt>
                <c:pt idx="16">
                  <c:v>0.50343380000000004</c:v>
                </c:pt>
                <c:pt idx="17">
                  <c:v>0.51190939999999996</c:v>
                </c:pt>
                <c:pt idx="18">
                  <c:v>0.53968050000000001</c:v>
                </c:pt>
                <c:pt idx="19">
                  <c:v>0.55705720000000003</c:v>
                </c:pt>
                <c:pt idx="20">
                  <c:v>0.55330840000000003</c:v>
                </c:pt>
              </c:numCache>
            </c:numRef>
          </c:xVal>
          <c:yVal>
            <c:numRef>
              <c:f>Elasticity!$K$19:$K$39</c:f>
              <c:numCache>
                <c:formatCode>General</c:formatCode>
                <c:ptCount val="21"/>
                <c:pt idx="0">
                  <c:v>0.40213110000000002</c:v>
                </c:pt>
                <c:pt idx="1">
                  <c:v>0.39853620000000001</c:v>
                </c:pt>
                <c:pt idx="2">
                  <c:v>0.40513900000000003</c:v>
                </c:pt>
                <c:pt idx="3">
                  <c:v>0.40612670000000001</c:v>
                </c:pt>
                <c:pt idx="4">
                  <c:v>0.3806525</c:v>
                </c:pt>
                <c:pt idx="5">
                  <c:v>0.37650620000000001</c:v>
                </c:pt>
                <c:pt idx="6">
                  <c:v>0.37073030000000001</c:v>
                </c:pt>
                <c:pt idx="7">
                  <c:v>0.3557593</c:v>
                </c:pt>
                <c:pt idx="8">
                  <c:v>0.34847329999999999</c:v>
                </c:pt>
                <c:pt idx="9">
                  <c:v>0.33258300000000002</c:v>
                </c:pt>
                <c:pt idx="10">
                  <c:v>0.32084790000000002</c:v>
                </c:pt>
                <c:pt idx="11">
                  <c:v>0.30607099999999998</c:v>
                </c:pt>
                <c:pt idx="12">
                  <c:v>0.30349029999999999</c:v>
                </c:pt>
                <c:pt idx="13">
                  <c:v>0.28726410000000002</c:v>
                </c:pt>
                <c:pt idx="14">
                  <c:v>0.2789529</c:v>
                </c:pt>
                <c:pt idx="15">
                  <c:v>0.26443220000000001</c:v>
                </c:pt>
                <c:pt idx="16">
                  <c:v>0.24411040000000001</c:v>
                </c:pt>
                <c:pt idx="17">
                  <c:v>0.23987259999999999</c:v>
                </c:pt>
                <c:pt idx="18">
                  <c:v>0.22598699999999999</c:v>
                </c:pt>
                <c:pt idx="19">
                  <c:v>0.21729870000000001</c:v>
                </c:pt>
                <c:pt idx="20">
                  <c:v>0.21917310000000001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DEF-4E28-BAF8-1CF0306330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38305536"/>
        <c:axId val="138306112"/>
      </c:scatterChart>
      <c:valAx>
        <c:axId val="138305536"/>
        <c:scaling>
          <c:orientation val="minMax"/>
          <c:min val="0.1"/>
        </c:scaling>
        <c:delete val="0"/>
        <c:axPos val="b"/>
        <c:numFmt formatCode="General" sourceLinked="1"/>
        <c:majorTickMark val="none"/>
        <c:minorTickMark val="none"/>
        <c:tickLblPos val="nextTo"/>
        <c:crossAx val="138306112"/>
        <c:crosses val="autoZero"/>
        <c:crossBetween val="midCat"/>
      </c:valAx>
      <c:valAx>
        <c:axId val="138306112"/>
        <c:scaling>
          <c:orientation val="minMax"/>
          <c:min val="0.1"/>
        </c:scaling>
        <c:delete val="0"/>
        <c:axPos val="l"/>
        <c:majorGridlines/>
        <c:numFmt formatCode="General" sourceLinked="1"/>
        <c:majorTickMark val="none"/>
        <c:minorTickMark val="none"/>
        <c:tickLblPos val="nextTo"/>
        <c:crossAx val="138305536"/>
        <c:crosses val="autoZero"/>
        <c:crossBetween val="midCat"/>
      </c:valAx>
    </c:plotArea>
    <c:plotVisOnly val="1"/>
    <c:dispBlanksAs val="gap"/>
    <c:showDLblsOverMax val="0"/>
  </c:chart>
  <c:spPr>
    <a:ln>
      <a:noFill/>
    </a:ln>
  </c:spPr>
  <c:txPr>
    <a:bodyPr/>
    <a:lstStyle/>
    <a:p>
      <a:pPr>
        <a:defRPr sz="1200">
          <a:latin typeface="Helvetica" panose="020B0604020202020204" pitchFamily="34" charset="0"/>
          <a:cs typeface="Helvetica" panose="020B0604020202020204" pitchFamily="34" charset="0"/>
        </a:defRPr>
      </a:pPr>
      <a:endParaRPr lang="fi-FI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'Real interest rate'!$B$1</c:f>
              <c:strCache>
                <c:ptCount val="1"/>
                <c:pt idx="0">
                  <c:v>Benchmark</c:v>
                </c:pt>
              </c:strCache>
            </c:strRef>
          </c:tx>
          <c:spPr>
            <a:ln w="57150" cap="rnd">
              <a:solidFill>
                <a:srgbClr val="FF0000"/>
              </a:solidFill>
              <a:prstDash val="dash"/>
              <a:round/>
            </a:ln>
            <a:effectLst/>
          </c:spPr>
          <c:marker>
            <c:symbol val="none"/>
          </c:marker>
          <c:cat>
            <c:strRef>
              <c:f>'Real interest rate'!$A$2:$A$9</c:f>
              <c:strCache>
                <c:ptCount val="8"/>
                <c:pt idx="0">
                  <c:v>t-3</c:v>
                </c:pt>
                <c:pt idx="1">
                  <c:v>t-2</c:v>
                </c:pt>
                <c:pt idx="2">
                  <c:v>t-1</c:v>
                </c:pt>
                <c:pt idx="3">
                  <c:v>t</c:v>
                </c:pt>
                <c:pt idx="4">
                  <c:v>t+1</c:v>
                </c:pt>
                <c:pt idx="5">
                  <c:v>t+2</c:v>
                </c:pt>
                <c:pt idx="6">
                  <c:v>t+3</c:v>
                </c:pt>
                <c:pt idx="7">
                  <c:v>t+4</c:v>
                </c:pt>
              </c:strCache>
            </c:strRef>
          </c:cat>
          <c:val>
            <c:numRef>
              <c:f>'Real interest rate'!$B$2:$B$9</c:f>
              <c:numCache>
                <c:formatCode>General</c:formatCode>
                <c:ptCount val="8"/>
                <c:pt idx="0">
                  <c:v>6.9615591735779914</c:v>
                </c:pt>
                <c:pt idx="1">
                  <c:v>7.0255009961939896</c:v>
                </c:pt>
                <c:pt idx="2">
                  <c:v>7.1045957993330022</c:v>
                </c:pt>
                <c:pt idx="3">
                  <c:v>7.1979181347370025</c:v>
                </c:pt>
                <c:pt idx="4">
                  <c:v>7.2663106670600053</c:v>
                </c:pt>
                <c:pt idx="5">
                  <c:v>7.3121456761610082</c:v>
                </c:pt>
                <c:pt idx="6">
                  <c:v>7.3308663801189944</c:v>
                </c:pt>
                <c:pt idx="7">
                  <c:v>7.3430115947239916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27A3-4FF8-8E79-8A50F88FFBE2}"/>
            </c:ext>
          </c:extLst>
        </c:ser>
        <c:ser>
          <c:idx val="1"/>
          <c:order val="1"/>
          <c:tx>
            <c:strRef>
              <c:f>'Real interest rate'!$C$1</c:f>
              <c:strCache>
                <c:ptCount val="1"/>
                <c:pt idx="0">
                  <c:v>Baseline exposure, only labor</c:v>
                </c:pt>
              </c:strCache>
            </c:strRef>
          </c:tx>
          <c:spPr>
            <a:ln w="57150" cap="rnd">
              <a:solidFill>
                <a:schemeClr val="accent1"/>
              </a:solidFill>
              <a:prstDash val="dash"/>
              <a:round/>
            </a:ln>
            <a:effectLst/>
          </c:spPr>
          <c:marker>
            <c:symbol val="triangle"/>
            <c:size val="9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'Real interest rate'!$A$2:$A$9</c:f>
              <c:strCache>
                <c:ptCount val="8"/>
                <c:pt idx="0">
                  <c:v>t-3</c:v>
                </c:pt>
                <c:pt idx="1">
                  <c:v>t-2</c:v>
                </c:pt>
                <c:pt idx="2">
                  <c:v>t-1</c:v>
                </c:pt>
                <c:pt idx="3">
                  <c:v>t</c:v>
                </c:pt>
                <c:pt idx="4">
                  <c:v>t+1</c:v>
                </c:pt>
                <c:pt idx="5">
                  <c:v>t+2</c:v>
                </c:pt>
                <c:pt idx="6">
                  <c:v>t+3</c:v>
                </c:pt>
                <c:pt idx="7">
                  <c:v>t+4</c:v>
                </c:pt>
              </c:strCache>
            </c:strRef>
          </c:cat>
          <c:val>
            <c:numRef>
              <c:f>'Real interest rate'!$C$2:$C$9</c:f>
              <c:numCache>
                <c:formatCode>General</c:formatCode>
                <c:ptCount val="8"/>
                <c:pt idx="0">
                  <c:v>7.0080232487029992</c:v>
                </c:pt>
                <c:pt idx="1">
                  <c:v>7.0811035096890018</c:v>
                </c:pt>
                <c:pt idx="2">
                  <c:v>7.1706007219080048</c:v>
                </c:pt>
                <c:pt idx="3">
                  <c:v>7.1022200997880036</c:v>
                </c:pt>
                <c:pt idx="4">
                  <c:v>7.1916929716010047</c:v>
                </c:pt>
                <c:pt idx="5">
                  <c:v>7.2554814384409916</c:v>
                </c:pt>
                <c:pt idx="6">
                  <c:v>7.2891978417179981</c:v>
                </c:pt>
                <c:pt idx="7">
                  <c:v>7.3136889348619949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27A3-4FF8-8E79-8A50F88FFBE2}"/>
            </c:ext>
          </c:extLst>
        </c:ser>
        <c:ser>
          <c:idx val="2"/>
          <c:order val="2"/>
          <c:tx>
            <c:strRef>
              <c:f>'Real interest rate'!$D$1</c:f>
              <c:strCache>
                <c:ptCount val="1"/>
                <c:pt idx="0">
                  <c:v>AI, extended capacities, only labor</c:v>
                </c:pt>
              </c:strCache>
            </c:strRef>
          </c:tx>
          <c:spPr>
            <a:ln w="57150" cap="rnd">
              <a:solidFill>
                <a:schemeClr val="accent3"/>
              </a:solidFill>
              <a:prstDash val="sysDot"/>
              <a:round/>
            </a:ln>
            <a:effectLst/>
          </c:spPr>
          <c:marker>
            <c:symbol val="none"/>
          </c:marker>
          <c:cat>
            <c:strRef>
              <c:f>'Real interest rate'!$A$2:$A$9</c:f>
              <c:strCache>
                <c:ptCount val="8"/>
                <c:pt idx="0">
                  <c:v>t-3</c:v>
                </c:pt>
                <c:pt idx="1">
                  <c:v>t-2</c:v>
                </c:pt>
                <c:pt idx="2">
                  <c:v>t-1</c:v>
                </c:pt>
                <c:pt idx="3">
                  <c:v>t</c:v>
                </c:pt>
                <c:pt idx="4">
                  <c:v>t+1</c:v>
                </c:pt>
                <c:pt idx="5">
                  <c:v>t+2</c:v>
                </c:pt>
                <c:pt idx="6">
                  <c:v>t+3</c:v>
                </c:pt>
                <c:pt idx="7">
                  <c:v>t+4</c:v>
                </c:pt>
              </c:strCache>
            </c:strRef>
          </c:cat>
          <c:val>
            <c:numRef>
              <c:f>'Real interest rate'!$D$2:$D$9</c:f>
              <c:numCache>
                <c:formatCode>General</c:formatCode>
                <c:ptCount val="8"/>
                <c:pt idx="0">
                  <c:v>7.1242797671160041</c:v>
                </c:pt>
                <c:pt idx="1">
                  <c:v>7.220869699770005</c:v>
                </c:pt>
                <c:pt idx="2">
                  <c:v>7.3398929990249995</c:v>
                </c:pt>
                <c:pt idx="3">
                  <c:v>7.3804332505839954</c:v>
                </c:pt>
                <c:pt idx="4">
                  <c:v>7.5340360714289956</c:v>
                </c:pt>
                <c:pt idx="5">
                  <c:v>7.6544093076780007</c:v>
                </c:pt>
                <c:pt idx="6">
                  <c:v>7.7372315069750064</c:v>
                </c:pt>
                <c:pt idx="7">
                  <c:v>7.8039022249430046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7A3-4FF8-8E79-8A50F88FFBE2}"/>
            </c:ext>
          </c:extLst>
        </c:ser>
        <c:ser>
          <c:idx val="3"/>
          <c:order val="3"/>
          <c:tx>
            <c:strRef>
              <c:f>'Real interest rate'!$E$1</c:f>
              <c:strCache>
                <c:ptCount val="1"/>
                <c:pt idx="0">
                  <c:v>Baseline exposure, only labor, 1 pps. increase in ICT factor share / decline in labor share</c:v>
                </c:pt>
              </c:strCache>
            </c:strRef>
          </c:tx>
          <c:spPr>
            <a:ln w="57150" cap="rnd">
              <a:solidFill>
                <a:schemeClr val="accent4"/>
              </a:solidFill>
              <a:round/>
            </a:ln>
            <a:effectLst/>
          </c:spPr>
          <c:marker>
            <c:symbol val="plus"/>
            <c:size val="11"/>
            <c:spPr>
              <a:noFill/>
              <a:ln w="85725">
                <a:solidFill>
                  <a:schemeClr val="accent4"/>
                </a:solidFill>
              </a:ln>
              <a:effectLst/>
            </c:spPr>
          </c:marker>
          <c:cat>
            <c:strRef>
              <c:f>'Real interest rate'!$A$2:$A$9</c:f>
              <c:strCache>
                <c:ptCount val="8"/>
                <c:pt idx="0">
                  <c:v>t-3</c:v>
                </c:pt>
                <c:pt idx="1">
                  <c:v>t-2</c:v>
                </c:pt>
                <c:pt idx="2">
                  <c:v>t-1</c:v>
                </c:pt>
                <c:pt idx="3">
                  <c:v>t</c:v>
                </c:pt>
                <c:pt idx="4">
                  <c:v>t+1</c:v>
                </c:pt>
                <c:pt idx="5">
                  <c:v>t+2</c:v>
                </c:pt>
                <c:pt idx="6">
                  <c:v>t+3</c:v>
                </c:pt>
                <c:pt idx="7">
                  <c:v>t+4</c:v>
                </c:pt>
              </c:strCache>
            </c:strRef>
          </c:cat>
          <c:val>
            <c:numRef>
              <c:f>'Real interest rate'!$E$2:$E$9</c:f>
              <c:numCache>
                <c:formatCode>General</c:formatCode>
                <c:ptCount val="8"/>
                <c:pt idx="0">
                  <c:v>7.3608855780600058</c:v>
                </c:pt>
                <c:pt idx="1">
                  <c:v>7.5076116018720107</c:v>
                </c:pt>
                <c:pt idx="2">
                  <c:v>7.6900187535889897</c:v>
                </c:pt>
                <c:pt idx="3">
                  <c:v>7.9779292005839997</c:v>
                </c:pt>
                <c:pt idx="4">
                  <c:v>8.3473174072540068</c:v>
                </c:pt>
                <c:pt idx="5">
                  <c:v>8.6725692292030097</c:v>
                </c:pt>
                <c:pt idx="6">
                  <c:v>8.948099955045997</c:v>
                </c:pt>
                <c:pt idx="7">
                  <c:v>9.1955034344330056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27A3-4FF8-8E79-8A50F88FFBE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80914079"/>
        <c:axId val="1285939135"/>
      </c:lineChart>
      <c:catAx>
        <c:axId val="118091407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en-US"/>
          </a:p>
        </c:txPr>
        <c:crossAx val="1285939135"/>
        <c:crosses val="autoZero"/>
        <c:auto val="1"/>
        <c:lblAlgn val="ctr"/>
        <c:lblOffset val="100"/>
        <c:noMultiLvlLbl val="0"/>
      </c:catAx>
      <c:valAx>
        <c:axId val="1285939135"/>
        <c:scaling>
          <c:orientation val="minMax"/>
          <c:min val="6.5"/>
        </c:scaling>
        <c:delete val="0"/>
        <c:axPos val="l"/>
        <c:majorGridlines>
          <c:spPr>
            <a:ln w="9525" cap="flat" cmpd="sng" algn="ctr">
              <a:solidFill>
                <a:schemeClr val="tx1"/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100" b="0" i="0" u="none" strike="noStrike" kern="1200" baseline="0">
                <a:solidFill>
                  <a:sysClr val="windowText" lastClr="000000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en-US"/>
          </a:p>
        </c:txPr>
        <c:crossAx val="118091407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259163487375064E-2"/>
          <c:y val="0.6747201169892395"/>
          <c:w val="0.90577484024347066"/>
          <c:h val="0.3081100446934045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100" b="0" i="0" u="none" strike="noStrike" kern="1200" baseline="0">
              <a:solidFill>
                <a:sysClr val="windowText" lastClr="000000"/>
              </a:solidFill>
              <a:latin typeface="Helvetica" panose="020B0604020202020204" pitchFamily="34" charset="0"/>
              <a:ea typeface="+mn-ea"/>
              <a:cs typeface="Helvetica" panose="020B0604020202020204" pitchFamily="34" charset="0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100">
          <a:solidFill>
            <a:sysClr val="windowText" lastClr="000000"/>
          </a:solidFill>
          <a:latin typeface="Helvetica" panose="020B0604020202020204" pitchFamily="34" charset="0"/>
          <a:cs typeface="Helvetica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 panose="020F03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ＭＳ Ｐゴシック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350</Words>
  <Characters>1998</Characters>
  <Application>Microsoft Office Word</Application>
  <DocSecurity>0</DocSecurity>
  <Lines>44</Lines>
  <Paragraphs>23</Paragraphs>
  <ScaleCrop>false</ScaleCrop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2025-10-09T10:47:00Z</dcterms:created>
  <dcterms:modified xsi:type="dcterms:W3CDTF">2025-10-09T10:47:00Z</dcterms:modified>
</cp:coreProperties>
</file>