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22F72" w14:textId="28BF0A1F" w:rsidR="00096EF0" w:rsidRPr="00A4420C" w:rsidRDefault="00096EF0" w:rsidP="00096EF0">
      <w:pPr>
        <w:jc w:val="center"/>
        <w:rPr>
          <w:color w:val="000000"/>
          <w:sz w:val="27"/>
          <w:szCs w:val="27"/>
          <w:highlight w:val="yellow"/>
        </w:rPr>
      </w:pPr>
      <w:r w:rsidRPr="00A4420C">
        <w:rPr>
          <w:color w:val="000000"/>
          <w:sz w:val="27"/>
          <w:szCs w:val="27"/>
          <w:highlight w:val="yellow"/>
        </w:rPr>
        <w:t>Supplementary Figure S1</w:t>
      </w:r>
    </w:p>
    <w:p w14:paraId="0C8C0CB2" w14:textId="4B72A5C7" w:rsidR="00096EF0" w:rsidRPr="00A4420C" w:rsidRDefault="00096EF0" w:rsidP="00096EF0">
      <w:pPr>
        <w:rPr>
          <w:color w:val="000000"/>
          <w:sz w:val="27"/>
          <w:szCs w:val="27"/>
          <w:highlight w:val="yellow"/>
        </w:rPr>
      </w:pPr>
    </w:p>
    <w:p w14:paraId="590BC938" w14:textId="057341E8" w:rsidR="00471AAE" w:rsidRPr="00A4420C" w:rsidRDefault="00471AAE">
      <w:pPr>
        <w:rPr>
          <w:color w:val="000000"/>
          <w:sz w:val="27"/>
          <w:szCs w:val="27"/>
          <w:highlight w:val="yellow"/>
        </w:rPr>
      </w:pPr>
    </w:p>
    <w:p w14:paraId="34335EC2" w14:textId="77777777" w:rsidR="00471AAE" w:rsidRPr="00A4420C" w:rsidRDefault="00000000">
      <w:pPr>
        <w:rPr>
          <w:color w:val="000000"/>
          <w:sz w:val="27"/>
          <w:szCs w:val="27"/>
          <w:highlight w:val="yellow"/>
        </w:rPr>
      </w:pPr>
      <w:r w:rsidRPr="00A4420C">
        <w:rPr>
          <w:noProof/>
          <w:color w:val="000000"/>
          <w:sz w:val="27"/>
          <w:szCs w:val="27"/>
          <w:highlight w:val="yellow"/>
        </w:rPr>
        <w:drawing>
          <wp:inline distT="0" distB="0" distL="0" distR="0" wp14:anchorId="70FFAB76" wp14:editId="1B61C3A8">
            <wp:extent cx="5943600" cy="3539490"/>
            <wp:effectExtent l="0" t="0" r="0" b="0"/>
            <wp:docPr id="754563867" name="image4.png" descr="A graph with a blue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with a blue line&#10;&#10;Description automatically generated"/>
                    <pic:cNvPicPr preferRelativeResize="0"/>
                  </pic:nvPicPr>
                  <pic:blipFill>
                    <a:blip r:embed="rId5"/>
                    <a:srcRect/>
                    <a:stretch>
                      <a:fillRect/>
                    </a:stretch>
                  </pic:blipFill>
                  <pic:spPr>
                    <a:xfrm>
                      <a:off x="0" y="0"/>
                      <a:ext cx="5943600" cy="3539490"/>
                    </a:xfrm>
                    <a:prstGeom prst="rect">
                      <a:avLst/>
                    </a:prstGeom>
                    <a:ln/>
                  </pic:spPr>
                </pic:pic>
              </a:graphicData>
            </a:graphic>
          </wp:inline>
        </w:drawing>
      </w:r>
    </w:p>
    <w:p w14:paraId="205D57B3" w14:textId="5643615D" w:rsidR="00096EF0" w:rsidRPr="00A4420C" w:rsidRDefault="00096EF0">
      <w:pPr>
        <w:rPr>
          <w:color w:val="000000"/>
          <w:sz w:val="27"/>
          <w:szCs w:val="27"/>
          <w:highlight w:val="yellow"/>
        </w:rPr>
      </w:pPr>
    </w:p>
    <w:p w14:paraId="34E905E3" w14:textId="5E415DA8" w:rsidR="00096EF0" w:rsidRPr="00A4420C" w:rsidRDefault="00096EF0" w:rsidP="00096EF0">
      <w:pPr>
        <w:jc w:val="center"/>
        <w:rPr>
          <w:color w:val="000000"/>
          <w:sz w:val="27"/>
          <w:szCs w:val="27"/>
          <w:highlight w:val="yellow"/>
        </w:rPr>
      </w:pPr>
    </w:p>
    <w:p w14:paraId="31C70428" w14:textId="45F21D08" w:rsidR="00471AAE" w:rsidRDefault="00000000" w:rsidP="00096EF0">
      <w:pPr>
        <w:jc w:val="both"/>
        <w:rPr>
          <w:color w:val="000000"/>
        </w:rPr>
      </w:pPr>
      <w:r w:rsidRPr="00A4420C">
        <w:rPr>
          <w:b/>
          <w:color w:val="000000"/>
          <w:highlight w:val="yellow"/>
        </w:rPr>
        <w:t xml:space="preserve">Supplementary Figure S1: </w:t>
      </w:r>
      <w:r w:rsidR="00096EF0" w:rsidRPr="00A4420C">
        <w:rPr>
          <w:b/>
          <w:color w:val="000000"/>
          <w:highlight w:val="yellow"/>
        </w:rPr>
        <w:t xml:space="preserve"> </w:t>
      </w:r>
      <w:r w:rsidRPr="00A4420C">
        <w:rPr>
          <w:color w:val="000000"/>
          <w:highlight w:val="yellow"/>
        </w:rPr>
        <w:t>Coverage depth across genome positions (0–366,925 bp) for the final mitochondrial genome. Blue bars show coverage depth, with a red dashed line marking the average depth (871.82).</w:t>
      </w:r>
      <w:r w:rsidR="00096EF0">
        <w:rPr>
          <w:color w:val="000000"/>
        </w:rPr>
        <w:t xml:space="preserve"> </w:t>
      </w:r>
    </w:p>
    <w:p w14:paraId="3AF7378A" w14:textId="77777777" w:rsidR="00471AAE" w:rsidRDefault="00471AAE">
      <w:pPr>
        <w:rPr>
          <w:color w:val="000000"/>
          <w:sz w:val="27"/>
          <w:szCs w:val="27"/>
        </w:rPr>
      </w:pPr>
    </w:p>
    <w:p w14:paraId="391A8E23" w14:textId="77777777" w:rsidR="00471AAE" w:rsidRDefault="00471AAE">
      <w:pPr>
        <w:rPr>
          <w:color w:val="000000"/>
          <w:sz w:val="27"/>
          <w:szCs w:val="27"/>
        </w:rPr>
      </w:pPr>
    </w:p>
    <w:p w14:paraId="1D15CACC" w14:textId="0CB2D81E" w:rsidR="001F2570" w:rsidRDefault="001F2570">
      <w:pPr>
        <w:rPr>
          <w:color w:val="000000"/>
          <w:sz w:val="27"/>
          <w:szCs w:val="27"/>
        </w:rPr>
      </w:pPr>
      <w:r>
        <w:rPr>
          <w:color w:val="000000"/>
          <w:sz w:val="27"/>
          <w:szCs w:val="27"/>
        </w:rPr>
        <w:br w:type="page"/>
      </w:r>
    </w:p>
    <w:p w14:paraId="4A744A4A" w14:textId="30B550E4" w:rsidR="00AD3572" w:rsidRDefault="00AD3572" w:rsidP="00AD3572">
      <w:pPr>
        <w:jc w:val="center"/>
        <w:rPr>
          <w:color w:val="000000"/>
          <w:sz w:val="27"/>
          <w:szCs w:val="27"/>
        </w:rPr>
      </w:pPr>
      <w:r>
        <w:rPr>
          <w:color w:val="000000"/>
          <w:sz w:val="27"/>
          <w:szCs w:val="27"/>
        </w:rPr>
        <w:lastRenderedPageBreak/>
        <w:t>Supplementary Figure S2</w:t>
      </w:r>
    </w:p>
    <w:p w14:paraId="6A52E54D" w14:textId="77777777" w:rsidR="00AD3572" w:rsidRDefault="00AD3572" w:rsidP="00AD3572">
      <w:pPr>
        <w:rPr>
          <w:color w:val="000000"/>
          <w:sz w:val="27"/>
          <w:szCs w:val="27"/>
        </w:rPr>
      </w:pPr>
    </w:p>
    <w:p w14:paraId="0933B4CF" w14:textId="77777777" w:rsidR="00AD3572" w:rsidRDefault="00AD3572" w:rsidP="00AD3572">
      <w:pPr>
        <w:jc w:val="center"/>
      </w:pPr>
      <w:r>
        <w:rPr>
          <w:noProof/>
        </w:rPr>
        <w:drawing>
          <wp:inline distT="0" distB="0" distL="0" distR="0" wp14:anchorId="17CC5EA3" wp14:editId="16574DBD">
            <wp:extent cx="3982671" cy="2972962"/>
            <wp:effectExtent l="0" t="0" r="0" b="0"/>
            <wp:docPr id="754563869" name="image1.png" descr="A blue and orange rectangular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orange rectangular bars&#10;&#10;Description automatically generated"/>
                    <pic:cNvPicPr preferRelativeResize="0"/>
                  </pic:nvPicPr>
                  <pic:blipFill>
                    <a:blip r:embed="rId6"/>
                    <a:srcRect/>
                    <a:stretch>
                      <a:fillRect/>
                    </a:stretch>
                  </pic:blipFill>
                  <pic:spPr>
                    <a:xfrm>
                      <a:off x="0" y="0"/>
                      <a:ext cx="3982671" cy="2972962"/>
                    </a:xfrm>
                    <a:prstGeom prst="rect">
                      <a:avLst/>
                    </a:prstGeom>
                    <a:ln/>
                  </pic:spPr>
                </pic:pic>
              </a:graphicData>
            </a:graphic>
          </wp:inline>
        </w:drawing>
      </w:r>
    </w:p>
    <w:p w14:paraId="1FAC2A04" w14:textId="3D141A43" w:rsidR="00AD3572" w:rsidRDefault="00AD3572" w:rsidP="00AD3572">
      <w:pPr>
        <w:jc w:val="both"/>
        <w:rPr>
          <w:color w:val="000000"/>
        </w:rPr>
      </w:pPr>
      <w:r>
        <w:rPr>
          <w:b/>
        </w:rPr>
        <w:t xml:space="preserve">Supplementary Figure S2: </w:t>
      </w:r>
      <w:r>
        <w:rPr>
          <w:b/>
          <w:i/>
        </w:rPr>
        <w:t xml:space="preserve">Repeat content analysis in the </w:t>
      </w:r>
      <w:proofErr w:type="spellStart"/>
      <w:r>
        <w:rPr>
          <w:b/>
          <w:i/>
        </w:rPr>
        <w:t>Psophocarpus</w:t>
      </w:r>
      <w:proofErr w:type="spellEnd"/>
      <w:r>
        <w:rPr>
          <w:b/>
          <w:i/>
        </w:rPr>
        <w:t xml:space="preserve"> tetragonolobus mitochondrial genome</w:t>
      </w:r>
      <w:r>
        <w:rPr>
          <w:b/>
        </w:rPr>
        <w:t>.</w:t>
      </w:r>
      <w:r>
        <w:t xml:space="preserve"> The diagram illustrates the distribution and classification of repeats, including forward, palindromic, and tandem repeats. Repeat types are categorized based on their length and genomic location, highlighting conserved patterns and unique features within the mitochondrial genome.</w:t>
      </w:r>
    </w:p>
    <w:p w14:paraId="2AD49380" w14:textId="77777777" w:rsidR="00AD3572" w:rsidRDefault="00AD3572" w:rsidP="00AD3572">
      <w:pPr>
        <w:jc w:val="center"/>
        <w:rPr>
          <w:sz w:val="27"/>
          <w:szCs w:val="27"/>
        </w:rPr>
      </w:pPr>
    </w:p>
    <w:p w14:paraId="382B6A3F" w14:textId="77777777" w:rsidR="00AD3572" w:rsidRDefault="00AD3572" w:rsidP="00AD3572">
      <w:pPr>
        <w:jc w:val="center"/>
        <w:rPr>
          <w:sz w:val="27"/>
          <w:szCs w:val="27"/>
        </w:rPr>
      </w:pPr>
    </w:p>
    <w:p w14:paraId="7497B712" w14:textId="77777777" w:rsidR="00AD3572" w:rsidRDefault="00AD3572" w:rsidP="00AD3572">
      <w:pPr>
        <w:jc w:val="center"/>
        <w:rPr>
          <w:sz w:val="27"/>
          <w:szCs w:val="27"/>
        </w:rPr>
      </w:pPr>
    </w:p>
    <w:p w14:paraId="7B57129D" w14:textId="77777777" w:rsidR="00AD3572" w:rsidRDefault="00AD3572" w:rsidP="00AD3572">
      <w:pPr>
        <w:jc w:val="center"/>
        <w:rPr>
          <w:sz w:val="27"/>
          <w:szCs w:val="27"/>
        </w:rPr>
      </w:pPr>
    </w:p>
    <w:p w14:paraId="56721296" w14:textId="77777777" w:rsidR="00AD3572" w:rsidRDefault="00AD3572" w:rsidP="00AD3572">
      <w:pPr>
        <w:jc w:val="center"/>
        <w:rPr>
          <w:sz w:val="27"/>
          <w:szCs w:val="27"/>
        </w:rPr>
      </w:pPr>
    </w:p>
    <w:p w14:paraId="713FE094" w14:textId="77777777" w:rsidR="00AD3572" w:rsidRDefault="00AD3572" w:rsidP="00AD3572">
      <w:pPr>
        <w:jc w:val="center"/>
        <w:rPr>
          <w:sz w:val="27"/>
          <w:szCs w:val="27"/>
        </w:rPr>
      </w:pPr>
    </w:p>
    <w:p w14:paraId="3A9770AC" w14:textId="77777777" w:rsidR="00AD3572" w:rsidRDefault="00AD3572" w:rsidP="00AD3572">
      <w:pPr>
        <w:jc w:val="center"/>
        <w:rPr>
          <w:sz w:val="27"/>
          <w:szCs w:val="27"/>
        </w:rPr>
      </w:pPr>
    </w:p>
    <w:p w14:paraId="5ECA4755" w14:textId="77777777" w:rsidR="00AD3572" w:rsidRDefault="00AD3572" w:rsidP="00AD3572">
      <w:pPr>
        <w:jc w:val="center"/>
        <w:rPr>
          <w:sz w:val="27"/>
          <w:szCs w:val="27"/>
        </w:rPr>
      </w:pPr>
    </w:p>
    <w:p w14:paraId="111F6159" w14:textId="77777777" w:rsidR="00AD3572" w:rsidRDefault="00AD3572" w:rsidP="00AD3572">
      <w:pPr>
        <w:jc w:val="center"/>
        <w:rPr>
          <w:sz w:val="27"/>
          <w:szCs w:val="27"/>
        </w:rPr>
      </w:pPr>
    </w:p>
    <w:p w14:paraId="7BE64229" w14:textId="77777777" w:rsidR="00AD3572" w:rsidRDefault="00AD3572" w:rsidP="00AD3572">
      <w:pPr>
        <w:jc w:val="center"/>
        <w:rPr>
          <w:sz w:val="27"/>
          <w:szCs w:val="27"/>
        </w:rPr>
      </w:pPr>
    </w:p>
    <w:p w14:paraId="4B850CE4" w14:textId="77777777" w:rsidR="00AD3572" w:rsidRDefault="00AD3572" w:rsidP="00AD3572">
      <w:pPr>
        <w:jc w:val="center"/>
        <w:rPr>
          <w:sz w:val="27"/>
          <w:szCs w:val="27"/>
        </w:rPr>
      </w:pPr>
    </w:p>
    <w:p w14:paraId="4A4C532E" w14:textId="77777777" w:rsidR="00AD3572" w:rsidRDefault="00AD3572" w:rsidP="00AD3572">
      <w:pPr>
        <w:jc w:val="center"/>
        <w:rPr>
          <w:sz w:val="27"/>
          <w:szCs w:val="27"/>
        </w:rPr>
      </w:pPr>
    </w:p>
    <w:p w14:paraId="6D1FE912" w14:textId="77777777" w:rsidR="00AD3572" w:rsidRDefault="00AD3572" w:rsidP="00AD3572">
      <w:pPr>
        <w:jc w:val="center"/>
        <w:rPr>
          <w:sz w:val="27"/>
          <w:szCs w:val="27"/>
        </w:rPr>
      </w:pPr>
    </w:p>
    <w:p w14:paraId="7C3D3DD0" w14:textId="77777777" w:rsidR="00AD3572" w:rsidRDefault="00AD3572" w:rsidP="00AD3572">
      <w:pPr>
        <w:jc w:val="center"/>
        <w:rPr>
          <w:sz w:val="27"/>
          <w:szCs w:val="27"/>
        </w:rPr>
      </w:pPr>
    </w:p>
    <w:p w14:paraId="54795284" w14:textId="77777777" w:rsidR="00AD3572" w:rsidRDefault="00AD3572" w:rsidP="00AD3572">
      <w:pPr>
        <w:jc w:val="center"/>
        <w:rPr>
          <w:sz w:val="27"/>
          <w:szCs w:val="27"/>
        </w:rPr>
      </w:pPr>
    </w:p>
    <w:p w14:paraId="4D5F78D4" w14:textId="77777777" w:rsidR="00AD3572" w:rsidRDefault="00AD3572" w:rsidP="00AD3572">
      <w:pPr>
        <w:jc w:val="center"/>
        <w:rPr>
          <w:sz w:val="27"/>
          <w:szCs w:val="27"/>
        </w:rPr>
      </w:pPr>
    </w:p>
    <w:p w14:paraId="62AB45EA" w14:textId="77777777" w:rsidR="00AD3572" w:rsidRDefault="00AD3572" w:rsidP="00AD3572">
      <w:pPr>
        <w:jc w:val="center"/>
        <w:rPr>
          <w:sz w:val="27"/>
          <w:szCs w:val="27"/>
        </w:rPr>
      </w:pPr>
    </w:p>
    <w:p w14:paraId="5FA6073C" w14:textId="77777777" w:rsidR="00AD3572" w:rsidRDefault="00AD3572" w:rsidP="00AD3572">
      <w:pPr>
        <w:jc w:val="center"/>
        <w:rPr>
          <w:sz w:val="27"/>
          <w:szCs w:val="27"/>
        </w:rPr>
      </w:pPr>
    </w:p>
    <w:p w14:paraId="7F7071D8" w14:textId="77777777" w:rsidR="00AD3572" w:rsidRDefault="00AD3572" w:rsidP="00AD3572">
      <w:pPr>
        <w:jc w:val="center"/>
        <w:rPr>
          <w:sz w:val="27"/>
          <w:szCs w:val="27"/>
        </w:rPr>
      </w:pPr>
    </w:p>
    <w:p w14:paraId="0899F7B3" w14:textId="77777777" w:rsidR="00AD3572" w:rsidRDefault="00AD3572" w:rsidP="001F2570">
      <w:pPr>
        <w:jc w:val="center"/>
        <w:rPr>
          <w:color w:val="000000"/>
          <w:sz w:val="27"/>
          <w:szCs w:val="27"/>
          <w:highlight w:val="yellow"/>
        </w:rPr>
      </w:pPr>
    </w:p>
    <w:p w14:paraId="2510800D" w14:textId="00E5BD40" w:rsidR="00471AAE" w:rsidRPr="00DC6A5D" w:rsidRDefault="00000000" w:rsidP="001F2570">
      <w:pPr>
        <w:jc w:val="center"/>
        <w:rPr>
          <w:color w:val="000000"/>
          <w:sz w:val="27"/>
          <w:szCs w:val="27"/>
          <w:highlight w:val="yellow"/>
        </w:rPr>
      </w:pPr>
      <w:r w:rsidRPr="00DC6A5D">
        <w:rPr>
          <w:color w:val="000000"/>
          <w:sz w:val="27"/>
          <w:szCs w:val="27"/>
          <w:highlight w:val="yellow"/>
        </w:rPr>
        <w:lastRenderedPageBreak/>
        <w:t>Supplementary Figure S</w:t>
      </w:r>
      <w:r w:rsidR="00AD3572">
        <w:rPr>
          <w:color w:val="000000"/>
          <w:sz w:val="27"/>
          <w:szCs w:val="27"/>
          <w:highlight w:val="yellow"/>
        </w:rPr>
        <w:t>3</w:t>
      </w:r>
    </w:p>
    <w:p w14:paraId="3F6495CB" w14:textId="77777777" w:rsidR="001F2570" w:rsidRPr="00DC6A5D" w:rsidRDefault="001F2570" w:rsidP="001F2570">
      <w:pPr>
        <w:jc w:val="center"/>
        <w:rPr>
          <w:color w:val="000000"/>
          <w:sz w:val="27"/>
          <w:szCs w:val="27"/>
          <w:highlight w:val="yellow"/>
        </w:rPr>
      </w:pPr>
    </w:p>
    <w:p w14:paraId="050D49B8" w14:textId="69EBC46A" w:rsidR="00471AAE" w:rsidRPr="00DC6A5D" w:rsidRDefault="001F2570" w:rsidP="001F2570">
      <w:pPr>
        <w:jc w:val="center"/>
        <w:rPr>
          <w:color w:val="000000"/>
          <w:sz w:val="27"/>
          <w:szCs w:val="27"/>
          <w:highlight w:val="yellow"/>
        </w:rPr>
      </w:pPr>
      <w:r w:rsidRPr="00DC6A5D">
        <w:rPr>
          <w:noProof/>
          <w:color w:val="000000"/>
          <w:sz w:val="27"/>
          <w:szCs w:val="27"/>
          <w:highlight w:val="yellow"/>
        </w:rPr>
        <w:drawing>
          <wp:inline distT="0" distB="0" distL="0" distR="0" wp14:anchorId="47F6F5E2" wp14:editId="43ECAE69">
            <wp:extent cx="4906978" cy="3643998"/>
            <wp:effectExtent l="0" t="0" r="0" b="1270"/>
            <wp:docPr id="5909003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00320" name="Graphic 590900320"/>
                    <pic:cNvPicPr/>
                  </pic:nvPicPr>
                  <pic:blipFill rotWithShape="1">
                    <a:blip r:embed="rId7">
                      <a:extLst>
                        <a:ext uri="{96DAC541-7B7A-43D3-8B79-37D633B846F1}">
                          <asvg:svgBlip xmlns:asvg="http://schemas.microsoft.com/office/drawing/2016/SVG/main" r:embed="rId8"/>
                        </a:ext>
                      </a:extLst>
                    </a:blip>
                    <a:srcRect l="4562" t="14113" r="4181" b="14278"/>
                    <a:stretch/>
                  </pic:blipFill>
                  <pic:spPr bwMode="auto">
                    <a:xfrm>
                      <a:off x="0" y="0"/>
                      <a:ext cx="5038078" cy="3741355"/>
                    </a:xfrm>
                    <a:prstGeom prst="rect">
                      <a:avLst/>
                    </a:prstGeom>
                    <a:ln>
                      <a:noFill/>
                    </a:ln>
                    <a:extLst>
                      <a:ext uri="{53640926-AAD7-44D8-BBD7-CCE9431645EC}">
                        <a14:shadowObscured xmlns:a14="http://schemas.microsoft.com/office/drawing/2010/main"/>
                      </a:ext>
                    </a:extLst>
                  </pic:spPr>
                </pic:pic>
              </a:graphicData>
            </a:graphic>
          </wp:inline>
        </w:drawing>
      </w:r>
    </w:p>
    <w:p w14:paraId="1E81A513" w14:textId="0DFF339F" w:rsidR="001F2570" w:rsidRPr="00DC6A5D" w:rsidRDefault="001F2570" w:rsidP="001F2570">
      <w:pPr>
        <w:jc w:val="both"/>
        <w:rPr>
          <w:color w:val="000000"/>
          <w:sz w:val="27"/>
          <w:szCs w:val="27"/>
          <w:highlight w:val="yellow"/>
        </w:rPr>
      </w:pPr>
      <w:r w:rsidRPr="00DC6A5D">
        <w:rPr>
          <w:b/>
          <w:bCs/>
          <w:color w:val="000000"/>
          <w:highlight w:val="yellow"/>
        </w:rPr>
        <w:t>Supplementary Figure S</w:t>
      </w:r>
      <w:r w:rsidR="00AD3572">
        <w:rPr>
          <w:b/>
          <w:bCs/>
          <w:color w:val="000000"/>
          <w:highlight w:val="yellow"/>
        </w:rPr>
        <w:t>3</w:t>
      </w:r>
      <w:r w:rsidRPr="00DC6A5D">
        <w:rPr>
          <w:b/>
          <w:bCs/>
          <w:color w:val="000000"/>
          <w:highlight w:val="yellow"/>
        </w:rPr>
        <w:t>:</w:t>
      </w:r>
      <w:r w:rsidRPr="00DC6A5D">
        <w:rPr>
          <w:color w:val="000000"/>
          <w:sz w:val="27"/>
          <w:szCs w:val="27"/>
          <w:highlight w:val="yellow"/>
        </w:rPr>
        <w:t xml:space="preserve"> </w:t>
      </w:r>
      <w:r w:rsidRPr="00DC6A5D">
        <w:rPr>
          <w:color w:val="000000"/>
          <w:highlight w:val="yellow"/>
        </w:rPr>
        <w:t xml:space="preserve">Bandage visualization of the </w:t>
      </w:r>
      <w:proofErr w:type="spellStart"/>
      <w:r w:rsidRPr="00AD3572">
        <w:rPr>
          <w:i/>
          <w:iCs/>
          <w:color w:val="000000"/>
          <w:highlight w:val="yellow"/>
        </w:rPr>
        <w:t>Psophocarpus</w:t>
      </w:r>
      <w:proofErr w:type="spellEnd"/>
      <w:r w:rsidRPr="00AD3572">
        <w:rPr>
          <w:i/>
          <w:iCs/>
          <w:color w:val="000000"/>
          <w:highlight w:val="yellow"/>
        </w:rPr>
        <w:t xml:space="preserve"> tetragonolobus</w:t>
      </w:r>
      <w:r w:rsidRPr="00DC6A5D">
        <w:rPr>
          <w:color w:val="000000"/>
          <w:highlight w:val="yellow"/>
        </w:rPr>
        <w:t xml:space="preserve"> mitochondrial genome </w:t>
      </w:r>
      <w:proofErr w:type="spellStart"/>
      <w:proofErr w:type="gramStart"/>
      <w:r w:rsidRPr="00DC6A5D">
        <w:rPr>
          <w:color w:val="000000"/>
          <w:highlight w:val="yellow"/>
        </w:rPr>
        <w:t>assembly.The</w:t>
      </w:r>
      <w:proofErr w:type="spellEnd"/>
      <w:proofErr w:type="gramEnd"/>
      <w:r w:rsidRPr="00DC6A5D">
        <w:rPr>
          <w:color w:val="000000"/>
          <w:highlight w:val="yellow"/>
        </w:rPr>
        <w:t xml:space="preserve"> assembly graph, based on PacBio HiFi reads, displays branching nodes and circular paths suggestive of repeat-mediated recombination. These features indicate the presence of alternative conformations, including </w:t>
      </w:r>
      <w:proofErr w:type="spellStart"/>
      <w:r w:rsidRPr="00DC6A5D">
        <w:rPr>
          <w:color w:val="000000"/>
          <w:highlight w:val="yellow"/>
        </w:rPr>
        <w:t>subgenomic</w:t>
      </w:r>
      <w:proofErr w:type="spellEnd"/>
      <w:r w:rsidRPr="00DC6A5D">
        <w:rPr>
          <w:color w:val="000000"/>
          <w:highlight w:val="yellow"/>
        </w:rPr>
        <w:t xml:space="preserve"> molecules and inversion variants, characteristic of dynamic, multipartite plant mitogenomes. Such structural flexibility may enhance genomic plasticity and stress adaptation.</w:t>
      </w:r>
    </w:p>
    <w:p w14:paraId="4329BBE2" w14:textId="6EA684DE" w:rsidR="001F2570" w:rsidRPr="00DC6A5D" w:rsidRDefault="001F2570">
      <w:pPr>
        <w:rPr>
          <w:color w:val="000000"/>
          <w:sz w:val="27"/>
          <w:szCs w:val="27"/>
          <w:highlight w:val="yellow"/>
        </w:rPr>
      </w:pPr>
    </w:p>
    <w:p w14:paraId="21453606" w14:textId="77777777" w:rsidR="001F2570" w:rsidRPr="00DC6A5D" w:rsidRDefault="001F2570" w:rsidP="001F2570">
      <w:pPr>
        <w:jc w:val="center"/>
        <w:rPr>
          <w:color w:val="000000"/>
          <w:sz w:val="27"/>
          <w:szCs w:val="27"/>
          <w:highlight w:val="yellow"/>
        </w:rPr>
      </w:pPr>
    </w:p>
    <w:p w14:paraId="76807402" w14:textId="77777777" w:rsidR="001F2570" w:rsidRPr="00DC6A5D" w:rsidRDefault="001F2570" w:rsidP="001F2570">
      <w:pPr>
        <w:jc w:val="center"/>
        <w:rPr>
          <w:color w:val="000000"/>
          <w:sz w:val="27"/>
          <w:szCs w:val="27"/>
          <w:highlight w:val="yellow"/>
        </w:rPr>
      </w:pPr>
    </w:p>
    <w:p w14:paraId="564D5AE1" w14:textId="77777777" w:rsidR="001F2570" w:rsidRPr="00DC6A5D" w:rsidRDefault="001F2570" w:rsidP="001F2570">
      <w:pPr>
        <w:jc w:val="center"/>
        <w:rPr>
          <w:color w:val="000000"/>
          <w:sz w:val="27"/>
          <w:szCs w:val="27"/>
          <w:highlight w:val="yellow"/>
        </w:rPr>
      </w:pPr>
    </w:p>
    <w:p w14:paraId="6776C54F" w14:textId="77777777" w:rsidR="001F2570" w:rsidRPr="00DC6A5D" w:rsidRDefault="001F2570" w:rsidP="001F2570">
      <w:pPr>
        <w:jc w:val="center"/>
        <w:rPr>
          <w:color w:val="000000"/>
          <w:sz w:val="27"/>
          <w:szCs w:val="27"/>
          <w:highlight w:val="yellow"/>
        </w:rPr>
      </w:pPr>
    </w:p>
    <w:p w14:paraId="05E5060C" w14:textId="77777777" w:rsidR="001F2570" w:rsidRPr="00DC6A5D" w:rsidRDefault="001F2570" w:rsidP="001F2570">
      <w:pPr>
        <w:jc w:val="center"/>
        <w:rPr>
          <w:color w:val="000000"/>
          <w:sz w:val="27"/>
          <w:szCs w:val="27"/>
          <w:highlight w:val="yellow"/>
        </w:rPr>
      </w:pPr>
    </w:p>
    <w:p w14:paraId="470376FB" w14:textId="77777777" w:rsidR="001F2570" w:rsidRPr="00DC6A5D" w:rsidRDefault="001F2570" w:rsidP="001F2570">
      <w:pPr>
        <w:jc w:val="center"/>
        <w:rPr>
          <w:color w:val="000000"/>
          <w:sz w:val="27"/>
          <w:szCs w:val="27"/>
          <w:highlight w:val="yellow"/>
        </w:rPr>
      </w:pPr>
    </w:p>
    <w:p w14:paraId="569FF94C" w14:textId="77777777" w:rsidR="001F2570" w:rsidRPr="00DC6A5D" w:rsidRDefault="001F2570" w:rsidP="001F2570">
      <w:pPr>
        <w:jc w:val="center"/>
        <w:rPr>
          <w:color w:val="000000"/>
          <w:sz w:val="27"/>
          <w:szCs w:val="27"/>
          <w:highlight w:val="yellow"/>
        </w:rPr>
      </w:pPr>
    </w:p>
    <w:p w14:paraId="70220631" w14:textId="77777777" w:rsidR="001F2570" w:rsidRPr="00DC6A5D" w:rsidRDefault="001F2570" w:rsidP="001F2570">
      <w:pPr>
        <w:jc w:val="center"/>
        <w:rPr>
          <w:color w:val="000000"/>
          <w:sz w:val="27"/>
          <w:szCs w:val="27"/>
          <w:highlight w:val="yellow"/>
        </w:rPr>
      </w:pPr>
    </w:p>
    <w:p w14:paraId="153ED8CF" w14:textId="77777777" w:rsidR="001F2570" w:rsidRPr="00DC6A5D" w:rsidRDefault="001F2570" w:rsidP="001F2570">
      <w:pPr>
        <w:jc w:val="center"/>
        <w:rPr>
          <w:color w:val="000000"/>
          <w:sz w:val="27"/>
          <w:szCs w:val="27"/>
          <w:highlight w:val="yellow"/>
        </w:rPr>
      </w:pPr>
    </w:p>
    <w:p w14:paraId="34C33C07" w14:textId="77777777" w:rsidR="001F2570" w:rsidRPr="00DC6A5D" w:rsidRDefault="001F2570" w:rsidP="001F2570">
      <w:pPr>
        <w:jc w:val="center"/>
        <w:rPr>
          <w:color w:val="000000"/>
          <w:sz w:val="27"/>
          <w:szCs w:val="27"/>
          <w:highlight w:val="yellow"/>
        </w:rPr>
      </w:pPr>
    </w:p>
    <w:p w14:paraId="51BD23F9" w14:textId="77777777" w:rsidR="001F2570" w:rsidRPr="00DC6A5D" w:rsidRDefault="001F2570" w:rsidP="001F2570">
      <w:pPr>
        <w:jc w:val="center"/>
        <w:rPr>
          <w:color w:val="000000"/>
          <w:sz w:val="27"/>
          <w:szCs w:val="27"/>
          <w:highlight w:val="yellow"/>
        </w:rPr>
      </w:pPr>
    </w:p>
    <w:p w14:paraId="5ECD70C9" w14:textId="77777777" w:rsidR="001F2570" w:rsidRPr="00DC6A5D" w:rsidRDefault="001F2570" w:rsidP="001F2570">
      <w:pPr>
        <w:jc w:val="center"/>
        <w:rPr>
          <w:color w:val="000000"/>
          <w:sz w:val="27"/>
          <w:szCs w:val="27"/>
          <w:highlight w:val="yellow"/>
        </w:rPr>
      </w:pPr>
    </w:p>
    <w:p w14:paraId="068B269B" w14:textId="77777777" w:rsidR="001F2570" w:rsidRPr="00DC6A5D" w:rsidRDefault="001F2570" w:rsidP="001F2570">
      <w:pPr>
        <w:jc w:val="center"/>
        <w:rPr>
          <w:color w:val="000000"/>
          <w:sz w:val="27"/>
          <w:szCs w:val="27"/>
          <w:highlight w:val="yellow"/>
        </w:rPr>
      </w:pPr>
    </w:p>
    <w:p w14:paraId="532A55EA" w14:textId="77777777" w:rsidR="001F2570" w:rsidRPr="00DC6A5D" w:rsidRDefault="001F2570" w:rsidP="001F2570">
      <w:pPr>
        <w:jc w:val="center"/>
        <w:rPr>
          <w:color w:val="000000"/>
          <w:sz w:val="27"/>
          <w:szCs w:val="27"/>
          <w:highlight w:val="yellow"/>
        </w:rPr>
      </w:pPr>
    </w:p>
    <w:p w14:paraId="1D42C836" w14:textId="59D93452" w:rsidR="001F2570" w:rsidRPr="00DC6A5D" w:rsidRDefault="001F2570" w:rsidP="001F2570">
      <w:pPr>
        <w:jc w:val="center"/>
        <w:rPr>
          <w:color w:val="000000"/>
          <w:sz w:val="27"/>
          <w:szCs w:val="27"/>
          <w:highlight w:val="yellow"/>
        </w:rPr>
      </w:pPr>
      <w:r w:rsidRPr="00DC6A5D">
        <w:rPr>
          <w:color w:val="000000"/>
          <w:sz w:val="27"/>
          <w:szCs w:val="27"/>
          <w:highlight w:val="yellow"/>
        </w:rPr>
        <w:lastRenderedPageBreak/>
        <w:t>Supplementary Figure S</w:t>
      </w:r>
      <w:r w:rsidR="00AD3572">
        <w:rPr>
          <w:color w:val="000000"/>
          <w:sz w:val="27"/>
          <w:szCs w:val="27"/>
          <w:highlight w:val="yellow"/>
        </w:rPr>
        <w:t>4</w:t>
      </w:r>
    </w:p>
    <w:p w14:paraId="7A30A9BB" w14:textId="77777777" w:rsidR="001F2570" w:rsidRPr="00DC6A5D" w:rsidRDefault="001F2570" w:rsidP="001F2570">
      <w:pPr>
        <w:jc w:val="center"/>
        <w:rPr>
          <w:color w:val="000000"/>
          <w:sz w:val="27"/>
          <w:szCs w:val="27"/>
          <w:highlight w:val="yellow"/>
        </w:rPr>
      </w:pPr>
      <w:r w:rsidRPr="00DC6A5D">
        <w:rPr>
          <w:noProof/>
          <w:color w:val="000000"/>
          <w:sz w:val="27"/>
          <w:szCs w:val="27"/>
          <w:highlight w:val="yellow"/>
        </w:rPr>
        <w:drawing>
          <wp:inline distT="0" distB="0" distL="0" distR="0" wp14:anchorId="02AF09FA" wp14:editId="7135656E">
            <wp:extent cx="4806950" cy="6147303"/>
            <wp:effectExtent l="0" t="0" r="0" b="0"/>
            <wp:docPr id="165912918" name="Picture 3" descr="A diagram of a diagram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2918" name="Picture 3" descr="A diagram of a diagram of a circle&#10;&#10;AI-generated content may be incorrect."/>
                    <pic:cNvPicPr/>
                  </pic:nvPicPr>
                  <pic:blipFill rotWithShape="1">
                    <a:blip r:embed="rId9"/>
                    <a:srcRect b="14744"/>
                    <a:stretch/>
                  </pic:blipFill>
                  <pic:spPr bwMode="auto">
                    <a:xfrm>
                      <a:off x="0" y="0"/>
                      <a:ext cx="4968068" cy="6353347"/>
                    </a:xfrm>
                    <a:prstGeom prst="rect">
                      <a:avLst/>
                    </a:prstGeom>
                    <a:ln>
                      <a:noFill/>
                    </a:ln>
                    <a:extLst>
                      <a:ext uri="{53640926-AAD7-44D8-BBD7-CCE9431645EC}">
                        <a14:shadowObscured xmlns:a14="http://schemas.microsoft.com/office/drawing/2010/main"/>
                      </a:ext>
                    </a:extLst>
                  </pic:spPr>
                </pic:pic>
              </a:graphicData>
            </a:graphic>
          </wp:inline>
        </w:drawing>
      </w:r>
    </w:p>
    <w:p w14:paraId="4A41FA8B" w14:textId="6541E0C6" w:rsidR="001F2570" w:rsidRPr="001F2570" w:rsidRDefault="001F2570" w:rsidP="001F2570">
      <w:pPr>
        <w:jc w:val="both"/>
        <w:rPr>
          <w:color w:val="000000"/>
        </w:rPr>
      </w:pPr>
      <w:r w:rsidRPr="00DC6A5D">
        <w:rPr>
          <w:b/>
          <w:bCs/>
          <w:color w:val="000000"/>
          <w:highlight w:val="yellow"/>
        </w:rPr>
        <w:t>Supplementary Figure S</w:t>
      </w:r>
      <w:r w:rsidR="00AD3572">
        <w:rPr>
          <w:b/>
          <w:bCs/>
          <w:color w:val="000000"/>
          <w:highlight w:val="yellow"/>
        </w:rPr>
        <w:t>4</w:t>
      </w:r>
      <w:r w:rsidRPr="00DC6A5D">
        <w:rPr>
          <w:b/>
          <w:bCs/>
          <w:color w:val="000000"/>
          <w:highlight w:val="yellow"/>
        </w:rPr>
        <w:t>:</w:t>
      </w:r>
      <w:r w:rsidRPr="00DC6A5D">
        <w:rPr>
          <w:color w:val="000000"/>
          <w:highlight w:val="yellow"/>
        </w:rPr>
        <w:t xml:space="preserve"> </w:t>
      </w:r>
      <w:r w:rsidRPr="00DC6A5D">
        <w:rPr>
          <w:rStyle w:val="Strong"/>
          <w:rFonts w:eastAsiaTheme="majorEastAsia"/>
          <w:color w:val="000000"/>
          <w:highlight w:val="yellow"/>
        </w:rPr>
        <w:t>Hypothetical recombination-mediated conformational changes in the mitochondrial genome of</w:t>
      </w:r>
      <w:r w:rsidRPr="00DC6A5D">
        <w:rPr>
          <w:rStyle w:val="apple-converted-space"/>
          <w:rFonts w:eastAsiaTheme="majorEastAsia"/>
          <w:b/>
          <w:bCs/>
          <w:color w:val="000000"/>
          <w:highlight w:val="yellow"/>
        </w:rPr>
        <w:t> </w:t>
      </w:r>
      <w:proofErr w:type="spellStart"/>
      <w:r w:rsidRPr="00DC6A5D">
        <w:rPr>
          <w:rStyle w:val="Emphasis"/>
          <w:rFonts w:eastAsiaTheme="majorEastAsia"/>
          <w:b/>
          <w:bCs/>
          <w:color w:val="000000"/>
          <w:highlight w:val="yellow"/>
        </w:rPr>
        <w:t>Psophocarpus</w:t>
      </w:r>
      <w:proofErr w:type="spellEnd"/>
      <w:r w:rsidRPr="00DC6A5D">
        <w:rPr>
          <w:rStyle w:val="Emphasis"/>
          <w:rFonts w:eastAsiaTheme="majorEastAsia"/>
          <w:b/>
          <w:bCs/>
          <w:color w:val="000000"/>
          <w:highlight w:val="yellow"/>
        </w:rPr>
        <w:t xml:space="preserve"> </w:t>
      </w:r>
      <w:proofErr w:type="spellStart"/>
      <w:proofErr w:type="gramStart"/>
      <w:r w:rsidRPr="00DC6A5D">
        <w:rPr>
          <w:rStyle w:val="Emphasis"/>
          <w:rFonts w:eastAsiaTheme="majorEastAsia"/>
          <w:b/>
          <w:bCs/>
          <w:color w:val="000000"/>
          <w:highlight w:val="yellow"/>
        </w:rPr>
        <w:t>tetragonolobus</w:t>
      </w:r>
      <w:r w:rsidRPr="00DC6A5D">
        <w:rPr>
          <w:rStyle w:val="Strong"/>
          <w:rFonts w:eastAsiaTheme="majorEastAsia"/>
          <w:color w:val="000000"/>
          <w:highlight w:val="yellow"/>
        </w:rPr>
        <w:t>.</w:t>
      </w:r>
      <w:r w:rsidRPr="00DC6A5D">
        <w:rPr>
          <w:color w:val="000000"/>
          <w:highlight w:val="yellow"/>
        </w:rPr>
        <w:t>This</w:t>
      </w:r>
      <w:proofErr w:type="spellEnd"/>
      <w:proofErr w:type="gramEnd"/>
      <w:r w:rsidRPr="00DC6A5D">
        <w:rPr>
          <w:color w:val="000000"/>
          <w:highlight w:val="yellow"/>
        </w:rPr>
        <w:t xml:space="preserve"> figure illustrates three possible structural rearrangements facilitated by large repeat sequences. </w:t>
      </w:r>
      <w:r w:rsidRPr="00DC6A5D">
        <w:rPr>
          <w:rStyle w:val="Strong"/>
          <w:rFonts w:eastAsiaTheme="majorEastAsia"/>
          <w:color w:val="000000"/>
          <w:highlight w:val="yellow"/>
        </w:rPr>
        <w:t>(a)</w:t>
      </w:r>
      <w:r w:rsidRPr="00DC6A5D">
        <w:rPr>
          <w:rStyle w:val="apple-converted-space"/>
          <w:rFonts w:eastAsiaTheme="majorEastAsia"/>
          <w:color w:val="000000"/>
          <w:highlight w:val="yellow"/>
        </w:rPr>
        <w:t> </w:t>
      </w:r>
      <w:r w:rsidRPr="00DC6A5D">
        <w:rPr>
          <w:color w:val="000000"/>
          <w:highlight w:val="yellow"/>
        </w:rPr>
        <w:t xml:space="preserve">Recombination between direct (forward) repeats may result in the excision of a </w:t>
      </w:r>
      <w:proofErr w:type="spellStart"/>
      <w:r w:rsidRPr="00DC6A5D">
        <w:rPr>
          <w:color w:val="000000"/>
          <w:highlight w:val="yellow"/>
        </w:rPr>
        <w:t>subgenomic</w:t>
      </w:r>
      <w:proofErr w:type="spellEnd"/>
      <w:r w:rsidRPr="00DC6A5D">
        <w:rPr>
          <w:color w:val="000000"/>
          <w:highlight w:val="yellow"/>
        </w:rPr>
        <w:t xml:space="preserve"> circular molecule. </w:t>
      </w:r>
      <w:r w:rsidRPr="00DC6A5D">
        <w:rPr>
          <w:rStyle w:val="Strong"/>
          <w:rFonts w:eastAsiaTheme="majorEastAsia"/>
          <w:color w:val="000000"/>
          <w:highlight w:val="yellow"/>
        </w:rPr>
        <w:t>(b)</w:t>
      </w:r>
      <w:r w:rsidRPr="00DC6A5D">
        <w:rPr>
          <w:rStyle w:val="apple-converted-space"/>
          <w:rFonts w:eastAsiaTheme="majorEastAsia"/>
          <w:color w:val="000000"/>
          <w:highlight w:val="yellow"/>
        </w:rPr>
        <w:t> </w:t>
      </w:r>
      <w:r w:rsidRPr="00DC6A5D">
        <w:rPr>
          <w:color w:val="000000"/>
          <w:highlight w:val="yellow"/>
        </w:rPr>
        <w:t xml:space="preserve">Recombination between palindromic repeats located in opposite orientations can lead to an inversion event within the circular genome. </w:t>
      </w:r>
      <w:r w:rsidRPr="00DC6A5D">
        <w:rPr>
          <w:rStyle w:val="Strong"/>
          <w:rFonts w:eastAsiaTheme="majorEastAsia"/>
          <w:color w:val="000000"/>
          <w:highlight w:val="yellow"/>
        </w:rPr>
        <w:t>(c)</w:t>
      </w:r>
      <w:r w:rsidRPr="00DC6A5D">
        <w:rPr>
          <w:rStyle w:val="apple-converted-space"/>
          <w:rFonts w:eastAsiaTheme="majorEastAsia"/>
          <w:color w:val="000000"/>
          <w:highlight w:val="yellow"/>
        </w:rPr>
        <w:t> </w:t>
      </w:r>
      <w:r w:rsidRPr="00DC6A5D">
        <w:rPr>
          <w:color w:val="000000"/>
          <w:highlight w:val="yellow"/>
        </w:rPr>
        <w:t>An alternative configuration showing inversion between distant palindromic repeats. These models highlight the potential for dynamic and multipartite mitochondrial conformations, driven by repeat-mediated homologous recombination — a common feature in many plant mitogenomes.</w:t>
      </w:r>
    </w:p>
    <w:p w14:paraId="1097FDD5" w14:textId="28810F32" w:rsidR="001F2570" w:rsidRDefault="001F2570" w:rsidP="001F2570">
      <w:pPr>
        <w:jc w:val="center"/>
        <w:rPr>
          <w:color w:val="000000"/>
          <w:sz w:val="27"/>
          <w:szCs w:val="27"/>
        </w:rPr>
      </w:pPr>
      <w:r>
        <w:rPr>
          <w:color w:val="000000"/>
          <w:sz w:val="27"/>
          <w:szCs w:val="27"/>
        </w:rPr>
        <w:br w:type="page"/>
      </w:r>
    </w:p>
    <w:p w14:paraId="32168521" w14:textId="77777777" w:rsidR="001F2570" w:rsidRDefault="001F2570" w:rsidP="001F2570">
      <w:pPr>
        <w:jc w:val="center"/>
        <w:rPr>
          <w:color w:val="000000"/>
          <w:sz w:val="27"/>
          <w:szCs w:val="27"/>
        </w:rPr>
      </w:pPr>
    </w:p>
    <w:p w14:paraId="77FF452D" w14:textId="77777777" w:rsidR="00096EF0" w:rsidRDefault="00096EF0">
      <w:pPr>
        <w:jc w:val="center"/>
        <w:rPr>
          <w:color w:val="000000"/>
          <w:sz w:val="27"/>
          <w:szCs w:val="27"/>
        </w:rPr>
      </w:pPr>
    </w:p>
    <w:p w14:paraId="6F85C074" w14:textId="2DB30F1E" w:rsidR="00471AAE" w:rsidRDefault="00000000">
      <w:pPr>
        <w:jc w:val="center"/>
        <w:rPr>
          <w:color w:val="000000"/>
          <w:sz w:val="27"/>
          <w:szCs w:val="27"/>
        </w:rPr>
      </w:pPr>
      <w:r>
        <w:rPr>
          <w:color w:val="000000"/>
          <w:sz w:val="27"/>
          <w:szCs w:val="27"/>
        </w:rPr>
        <w:t>Supplementary Figure S</w:t>
      </w:r>
      <w:r w:rsidR="001F2570">
        <w:rPr>
          <w:color w:val="000000"/>
          <w:sz w:val="27"/>
          <w:szCs w:val="27"/>
        </w:rPr>
        <w:t>5</w:t>
      </w:r>
    </w:p>
    <w:p w14:paraId="7935160D" w14:textId="77777777" w:rsidR="00471AAE" w:rsidRDefault="00471AAE">
      <w:pPr>
        <w:jc w:val="center"/>
        <w:rPr>
          <w:color w:val="000000"/>
          <w:sz w:val="27"/>
          <w:szCs w:val="27"/>
        </w:rPr>
      </w:pPr>
    </w:p>
    <w:p w14:paraId="049BF0EE" w14:textId="77777777" w:rsidR="00471AAE" w:rsidRDefault="00000000">
      <w:pPr>
        <w:jc w:val="center"/>
      </w:pPr>
      <w:r>
        <w:rPr>
          <w:noProof/>
        </w:rPr>
        <w:drawing>
          <wp:inline distT="0" distB="0" distL="0" distR="0" wp14:anchorId="2E7AC5C5" wp14:editId="3701D91B">
            <wp:extent cx="3117324" cy="1645920"/>
            <wp:effectExtent l="0" t="0" r="0" b="0"/>
            <wp:docPr id="754563868" name="image5.png" descr="A graph of a number of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number of bars&#10;&#10;Description automatically generated with medium confidence"/>
                    <pic:cNvPicPr preferRelativeResize="0"/>
                  </pic:nvPicPr>
                  <pic:blipFill>
                    <a:blip r:embed="rId10"/>
                    <a:srcRect/>
                    <a:stretch>
                      <a:fillRect/>
                    </a:stretch>
                  </pic:blipFill>
                  <pic:spPr>
                    <a:xfrm>
                      <a:off x="0" y="0"/>
                      <a:ext cx="3117324" cy="1645920"/>
                    </a:xfrm>
                    <a:prstGeom prst="rect">
                      <a:avLst/>
                    </a:prstGeom>
                    <a:ln/>
                  </pic:spPr>
                </pic:pic>
              </a:graphicData>
            </a:graphic>
          </wp:inline>
        </w:drawing>
      </w:r>
      <w:r>
        <w:rPr>
          <w:noProof/>
        </w:rPr>
        <w:drawing>
          <wp:inline distT="0" distB="0" distL="0" distR="0" wp14:anchorId="5CF29FAC" wp14:editId="62E47288">
            <wp:extent cx="2630574" cy="1690762"/>
            <wp:effectExtent l="0" t="0" r="0" b="0"/>
            <wp:docPr id="7545638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30574" cy="1690762"/>
                    </a:xfrm>
                    <a:prstGeom prst="rect">
                      <a:avLst/>
                    </a:prstGeom>
                    <a:ln/>
                  </pic:spPr>
                </pic:pic>
              </a:graphicData>
            </a:graphic>
          </wp:inline>
        </w:drawing>
      </w:r>
    </w:p>
    <w:p w14:paraId="6D7685D8" w14:textId="77777777" w:rsidR="00471AAE" w:rsidRDefault="00471AAE">
      <w:pPr>
        <w:jc w:val="center"/>
      </w:pPr>
    </w:p>
    <w:p w14:paraId="76F98FD3" w14:textId="77777777" w:rsidR="00471AAE" w:rsidRDefault="00000000">
      <w:pPr>
        <w:jc w:val="center"/>
      </w:pPr>
      <w:r>
        <w:rPr>
          <w:noProof/>
        </w:rPr>
        <w:drawing>
          <wp:inline distT="0" distB="0" distL="0" distR="0" wp14:anchorId="710ABE92" wp14:editId="443DC7D9">
            <wp:extent cx="2615013" cy="1554480"/>
            <wp:effectExtent l="0" t="0" r="0" b="0"/>
            <wp:docPr id="754563870" name="image6.png" descr="A graph of a log-val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of a log-value&#10;&#10;Description automatically generated"/>
                    <pic:cNvPicPr preferRelativeResize="0"/>
                  </pic:nvPicPr>
                  <pic:blipFill>
                    <a:blip r:embed="rId12"/>
                    <a:srcRect/>
                    <a:stretch>
                      <a:fillRect/>
                    </a:stretch>
                  </pic:blipFill>
                  <pic:spPr>
                    <a:xfrm>
                      <a:off x="0" y="0"/>
                      <a:ext cx="2615013" cy="1554480"/>
                    </a:xfrm>
                    <a:prstGeom prst="rect">
                      <a:avLst/>
                    </a:prstGeom>
                    <a:ln/>
                  </pic:spPr>
                </pic:pic>
              </a:graphicData>
            </a:graphic>
          </wp:inline>
        </w:drawing>
      </w:r>
      <w:r>
        <w:rPr>
          <w:noProof/>
        </w:rPr>
        <w:drawing>
          <wp:inline distT="0" distB="0" distL="0" distR="0" wp14:anchorId="11289D63" wp14:editId="5E2A925D">
            <wp:extent cx="2880604" cy="1554480"/>
            <wp:effectExtent l="0" t="0" r="0" b="0"/>
            <wp:docPr id="754563866" name="image2.png" descr="A graph of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aph of a number of numbers&#10;&#10;Description automatically generated with medium confidence"/>
                    <pic:cNvPicPr preferRelativeResize="0"/>
                  </pic:nvPicPr>
                  <pic:blipFill>
                    <a:blip r:embed="rId13"/>
                    <a:srcRect/>
                    <a:stretch>
                      <a:fillRect/>
                    </a:stretch>
                  </pic:blipFill>
                  <pic:spPr>
                    <a:xfrm>
                      <a:off x="0" y="0"/>
                      <a:ext cx="2880604" cy="1554480"/>
                    </a:xfrm>
                    <a:prstGeom prst="rect">
                      <a:avLst/>
                    </a:prstGeom>
                    <a:ln/>
                  </pic:spPr>
                </pic:pic>
              </a:graphicData>
            </a:graphic>
          </wp:inline>
        </w:drawing>
      </w:r>
    </w:p>
    <w:p w14:paraId="5F0F821E" w14:textId="71BA0FCE" w:rsidR="00780D22" w:rsidRDefault="00000000">
      <w:pPr>
        <w:jc w:val="both"/>
      </w:pPr>
      <w:r>
        <w:rPr>
          <w:b/>
        </w:rPr>
        <w:t>Supplementary Figure S</w:t>
      </w:r>
      <w:r w:rsidR="00780D22">
        <w:rPr>
          <w:b/>
        </w:rPr>
        <w:t>5</w:t>
      </w:r>
      <w:r>
        <w:rPr>
          <w:b/>
        </w:rPr>
        <w:t>:</w:t>
      </w:r>
      <w:r>
        <w:t xml:space="preserve"> Distribution of E value (log scale) for each pairwise BLAST performed for synteny analysis</w:t>
      </w:r>
    </w:p>
    <w:p w14:paraId="09FD333F" w14:textId="77777777" w:rsidR="00780D22" w:rsidRDefault="00780D22">
      <w:r>
        <w:br w:type="page"/>
      </w:r>
    </w:p>
    <w:p w14:paraId="336A5F90" w14:textId="58D2AAE2" w:rsidR="00780D22" w:rsidRPr="007E51F1" w:rsidRDefault="00780D22" w:rsidP="00780D22">
      <w:pPr>
        <w:jc w:val="center"/>
        <w:rPr>
          <w:color w:val="000000"/>
          <w:sz w:val="27"/>
          <w:szCs w:val="27"/>
          <w:highlight w:val="yellow"/>
        </w:rPr>
      </w:pPr>
      <w:r w:rsidRPr="007E51F1">
        <w:rPr>
          <w:color w:val="000000"/>
          <w:sz w:val="27"/>
          <w:szCs w:val="27"/>
          <w:highlight w:val="yellow"/>
        </w:rPr>
        <w:lastRenderedPageBreak/>
        <w:t>Supplementary Figure S6</w:t>
      </w:r>
    </w:p>
    <w:p w14:paraId="56D9846C" w14:textId="77777777" w:rsidR="00471AAE" w:rsidRPr="007E51F1" w:rsidRDefault="00471AAE">
      <w:pPr>
        <w:jc w:val="both"/>
        <w:rPr>
          <w:highlight w:val="yellow"/>
        </w:rPr>
      </w:pPr>
    </w:p>
    <w:p w14:paraId="404B3BC5" w14:textId="77777777" w:rsidR="00780D22" w:rsidRPr="007E51F1" w:rsidRDefault="00780D22">
      <w:pPr>
        <w:jc w:val="both"/>
        <w:rPr>
          <w:highlight w:val="yellow"/>
        </w:rPr>
      </w:pPr>
    </w:p>
    <w:p w14:paraId="4D77C63F" w14:textId="7FC9452A" w:rsidR="00780D22" w:rsidRPr="007E51F1" w:rsidRDefault="00780D22" w:rsidP="00780D22">
      <w:pPr>
        <w:jc w:val="center"/>
        <w:rPr>
          <w:highlight w:val="yellow"/>
        </w:rPr>
      </w:pPr>
      <w:r w:rsidRPr="007E51F1">
        <w:rPr>
          <w:i/>
          <w:iCs/>
          <w:noProof/>
          <w:color w:val="000000" w:themeColor="text1"/>
          <w:highlight w:val="yellow"/>
        </w:rPr>
        <w:drawing>
          <wp:inline distT="0" distB="0" distL="0" distR="0" wp14:anchorId="676F4993" wp14:editId="7441F2EB">
            <wp:extent cx="5486400" cy="3178232"/>
            <wp:effectExtent l="0" t="0" r="0" b="0"/>
            <wp:docPr id="147599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175" name="Picture 147599175"/>
                    <pic:cNvPicPr/>
                  </pic:nvPicPr>
                  <pic:blipFill rotWithShape="1">
                    <a:blip r:embed="rId14"/>
                    <a:srcRect t="20225"/>
                    <a:stretch/>
                  </pic:blipFill>
                  <pic:spPr bwMode="auto">
                    <a:xfrm>
                      <a:off x="0" y="0"/>
                      <a:ext cx="5486400" cy="3178232"/>
                    </a:xfrm>
                    <a:prstGeom prst="rect">
                      <a:avLst/>
                    </a:prstGeom>
                    <a:ln>
                      <a:noFill/>
                    </a:ln>
                    <a:extLst>
                      <a:ext uri="{53640926-AAD7-44D8-BBD7-CCE9431645EC}">
                        <a14:shadowObscured xmlns:a14="http://schemas.microsoft.com/office/drawing/2010/main"/>
                      </a:ext>
                    </a:extLst>
                  </pic:spPr>
                </pic:pic>
              </a:graphicData>
            </a:graphic>
          </wp:inline>
        </w:drawing>
      </w:r>
    </w:p>
    <w:p w14:paraId="0FEAD531" w14:textId="43243A23" w:rsidR="00780D22" w:rsidRPr="00780D22" w:rsidRDefault="00780D22" w:rsidP="00780D22">
      <w:pPr>
        <w:jc w:val="both"/>
        <w:rPr>
          <w:color w:val="000000"/>
        </w:rPr>
      </w:pPr>
      <w:r w:rsidRPr="007E51F1">
        <w:rPr>
          <w:b/>
          <w:bCs/>
          <w:color w:val="000000"/>
          <w:highlight w:val="yellow"/>
        </w:rPr>
        <w:t>Supplementary Figure S6:</w:t>
      </w:r>
      <w:r w:rsidRPr="007E51F1">
        <w:rPr>
          <w:color w:val="000000"/>
          <w:highlight w:val="yellow"/>
        </w:rPr>
        <w:t xml:space="preserve"> Heatmap showing presence (green) and absence (white) of core mitochondrial genes across eight legume species. Hierarchical clustering reflects similarity in gene content, with</w:t>
      </w:r>
      <w:r w:rsidRPr="007E51F1">
        <w:rPr>
          <w:rStyle w:val="apple-converted-space"/>
          <w:rFonts w:eastAsiaTheme="majorEastAsia"/>
          <w:color w:val="000000"/>
          <w:highlight w:val="yellow"/>
        </w:rPr>
        <w:t> </w:t>
      </w:r>
      <w:r w:rsidRPr="007E51F1">
        <w:rPr>
          <w:rStyle w:val="Emphasis"/>
          <w:rFonts w:eastAsiaTheme="majorEastAsia"/>
          <w:color w:val="000000"/>
          <w:highlight w:val="yellow"/>
        </w:rPr>
        <w:t>P. tetragonolobus</w:t>
      </w:r>
      <w:r w:rsidRPr="007E51F1">
        <w:rPr>
          <w:rStyle w:val="apple-converted-space"/>
          <w:rFonts w:eastAsiaTheme="majorEastAsia"/>
          <w:color w:val="000000"/>
          <w:highlight w:val="yellow"/>
        </w:rPr>
        <w:t> </w:t>
      </w:r>
      <w:r w:rsidRPr="007E51F1">
        <w:rPr>
          <w:color w:val="000000"/>
          <w:highlight w:val="yellow"/>
        </w:rPr>
        <w:t>grouping closely with</w:t>
      </w:r>
      <w:r w:rsidRPr="007E51F1">
        <w:rPr>
          <w:rStyle w:val="apple-converted-space"/>
          <w:rFonts w:eastAsiaTheme="majorEastAsia"/>
          <w:color w:val="000000"/>
          <w:highlight w:val="yellow"/>
        </w:rPr>
        <w:t> </w:t>
      </w:r>
      <w:r w:rsidRPr="007E51F1">
        <w:rPr>
          <w:rStyle w:val="Emphasis"/>
          <w:rFonts w:eastAsiaTheme="majorEastAsia"/>
          <w:color w:val="000000"/>
          <w:highlight w:val="yellow"/>
        </w:rPr>
        <w:t xml:space="preserve">G. </w:t>
      </w:r>
      <w:proofErr w:type="spellStart"/>
      <w:r w:rsidRPr="007E51F1">
        <w:rPr>
          <w:rStyle w:val="Emphasis"/>
          <w:rFonts w:eastAsiaTheme="majorEastAsia"/>
          <w:color w:val="000000"/>
          <w:highlight w:val="yellow"/>
        </w:rPr>
        <w:t>max</w:t>
      </w:r>
      <w:r w:rsidRPr="007E51F1">
        <w:rPr>
          <w:color w:val="000000"/>
          <w:highlight w:val="yellow"/>
        </w:rPr>
        <w:t>and</w:t>
      </w:r>
      <w:proofErr w:type="spellEnd"/>
      <w:r w:rsidRPr="007E51F1">
        <w:rPr>
          <w:rStyle w:val="apple-converted-space"/>
          <w:rFonts w:eastAsiaTheme="majorEastAsia"/>
          <w:color w:val="000000"/>
          <w:highlight w:val="yellow"/>
        </w:rPr>
        <w:t> </w:t>
      </w:r>
      <w:r w:rsidRPr="007E51F1">
        <w:rPr>
          <w:rStyle w:val="Emphasis"/>
          <w:rFonts w:eastAsiaTheme="majorEastAsia"/>
          <w:color w:val="000000"/>
          <w:highlight w:val="yellow"/>
        </w:rPr>
        <w:t>V. radiata</w:t>
      </w:r>
      <w:r w:rsidRPr="007E51F1">
        <w:rPr>
          <w:color w:val="000000"/>
          <w:highlight w:val="yellow"/>
        </w:rPr>
        <w:t>.</w:t>
      </w:r>
    </w:p>
    <w:p w14:paraId="3EA6612D" w14:textId="77777777" w:rsidR="00780D22" w:rsidRPr="00780D22" w:rsidRDefault="00780D22">
      <w:pPr>
        <w:jc w:val="both"/>
      </w:pPr>
    </w:p>
    <w:sectPr w:rsidR="00780D22" w:rsidRPr="00780D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9B05301-306F-7C46-ABC6-57E847DDF1F2}"/>
    <w:embedItalic r:id="rId2" w:fontKey="{89064F40-B83E-B349-8757-A28493DDEFF3}"/>
  </w:font>
  <w:font w:name="Times New Roman">
    <w:panose1 w:val="02020603050405020304"/>
    <w:charset w:val="00"/>
    <w:family w:val="roman"/>
    <w:pitch w:val="variable"/>
    <w:sig w:usb0="E0002EFF" w:usb1="C000785B" w:usb2="00000009" w:usb3="00000000" w:csb0="000001FF" w:csb1="00000000"/>
    <w:embedRegular r:id="rId3" w:fontKey="{91C7FFAD-D4ED-FA42-8D55-815EAC29DF95}"/>
    <w:embedBold r:id="rId4" w:fontKey="{95F24B15-FD62-CD49-AE16-093DEBAC0604}"/>
    <w:embedItalic r:id="rId5" w:fontKey="{971B627A-7F57-0D40-87CD-3D3F5B20E0ED}"/>
    <w:embedBoldItalic r:id="rId6" w:fontKey="{D8B75F11-1AF3-F34C-8E78-BC990422C0E9}"/>
  </w:font>
  <w:font w:name="Aptos Display">
    <w:panose1 w:val="020B0004020202020204"/>
    <w:charset w:val="00"/>
    <w:family w:val="swiss"/>
    <w:pitch w:val="variable"/>
    <w:sig w:usb0="20000287" w:usb1="00000003" w:usb2="00000000" w:usb3="00000000" w:csb0="0000019F" w:csb1="00000000"/>
    <w:embedRegular r:id="rId7" w:fontKey="{6DC6A342-A4CF-2B4F-AE9B-B6A1F62D7C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AAE"/>
    <w:rsid w:val="00052995"/>
    <w:rsid w:val="00096EF0"/>
    <w:rsid w:val="001F2570"/>
    <w:rsid w:val="003201FA"/>
    <w:rsid w:val="00471AAE"/>
    <w:rsid w:val="00780D22"/>
    <w:rsid w:val="007E51F1"/>
    <w:rsid w:val="00A4420C"/>
    <w:rsid w:val="00AD3572"/>
    <w:rsid w:val="00BC54FF"/>
    <w:rsid w:val="00C70C66"/>
    <w:rsid w:val="00CE7754"/>
    <w:rsid w:val="00DC6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410F9A"/>
  <w15:docId w15:val="{C986EDAB-A2B4-A64A-BE09-D7317E75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70"/>
    <w:rPr>
      <w:rFonts w:ascii="Times New Roman" w:eastAsia="Times New Roman" w:hAnsi="Times New Roman" w:cs="Times New Roman"/>
    </w:rPr>
  </w:style>
  <w:style w:type="paragraph" w:styleId="Heading1">
    <w:name w:val="heading 1"/>
    <w:basedOn w:val="Normal"/>
    <w:next w:val="Normal"/>
    <w:link w:val="Heading1Char"/>
    <w:uiPriority w:val="9"/>
    <w:qFormat/>
    <w:rsid w:val="004C2B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2B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2B6E"/>
    <w:pPr>
      <w:keepNext/>
      <w:keepLines/>
      <w:spacing w:before="160" w:after="80"/>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2B6E"/>
    <w:pPr>
      <w:keepNext/>
      <w:keepLines/>
      <w:spacing w:before="80" w:after="40"/>
      <w:outlineLvl w:val="3"/>
    </w:pPr>
    <w:rPr>
      <w:rFonts w:ascii="Aptos" w:eastAsiaTheme="majorEastAsia" w:hAnsi="Aptos" w:cstheme="majorBidi"/>
      <w:i/>
      <w:iCs/>
      <w:color w:val="0F4761" w:themeColor="accent1" w:themeShade="BF"/>
    </w:rPr>
  </w:style>
  <w:style w:type="paragraph" w:styleId="Heading5">
    <w:name w:val="heading 5"/>
    <w:basedOn w:val="Normal"/>
    <w:next w:val="Normal"/>
    <w:link w:val="Heading5Char"/>
    <w:uiPriority w:val="9"/>
    <w:semiHidden/>
    <w:unhideWhenUsed/>
    <w:qFormat/>
    <w:rsid w:val="004C2B6E"/>
    <w:pPr>
      <w:keepNext/>
      <w:keepLines/>
      <w:spacing w:before="80" w:after="40"/>
      <w:outlineLvl w:val="4"/>
    </w:pPr>
    <w:rPr>
      <w:rFonts w:ascii="Aptos" w:eastAsiaTheme="majorEastAsia" w:hAnsi="Aptos" w:cstheme="majorBidi"/>
      <w:color w:val="0F4761" w:themeColor="accent1" w:themeShade="BF"/>
    </w:rPr>
  </w:style>
  <w:style w:type="paragraph" w:styleId="Heading6">
    <w:name w:val="heading 6"/>
    <w:basedOn w:val="Normal"/>
    <w:next w:val="Normal"/>
    <w:link w:val="Heading6Char"/>
    <w:uiPriority w:val="9"/>
    <w:semiHidden/>
    <w:unhideWhenUsed/>
    <w:qFormat/>
    <w:rsid w:val="004C2B6E"/>
    <w:pPr>
      <w:keepNext/>
      <w:keepLines/>
      <w:spacing w:before="40"/>
      <w:outlineLvl w:val="5"/>
    </w:pPr>
    <w:rPr>
      <w:rFonts w:ascii="Aptos" w:eastAsiaTheme="majorEastAsia" w:hAnsi="Aptos" w:cstheme="majorBidi"/>
      <w:i/>
      <w:iCs/>
      <w:color w:val="595959" w:themeColor="text1" w:themeTint="A6"/>
    </w:rPr>
  </w:style>
  <w:style w:type="paragraph" w:styleId="Heading7">
    <w:name w:val="heading 7"/>
    <w:basedOn w:val="Normal"/>
    <w:next w:val="Normal"/>
    <w:link w:val="Heading7Char"/>
    <w:uiPriority w:val="9"/>
    <w:semiHidden/>
    <w:unhideWhenUsed/>
    <w:qFormat/>
    <w:rsid w:val="004C2B6E"/>
    <w:pPr>
      <w:keepNext/>
      <w:keepLines/>
      <w:spacing w:before="40"/>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4C2B6E"/>
    <w:pPr>
      <w:keepNext/>
      <w:keepLines/>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4C2B6E"/>
    <w:pPr>
      <w:keepNext/>
      <w:keepLines/>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2B6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2B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2B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2B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2B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2B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2B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2B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2B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2B6E"/>
    <w:rPr>
      <w:rFonts w:eastAsiaTheme="majorEastAsia" w:cstheme="majorBidi"/>
      <w:color w:val="272727" w:themeColor="text1" w:themeTint="D8"/>
    </w:rPr>
  </w:style>
  <w:style w:type="character" w:customStyle="1" w:styleId="TitleChar">
    <w:name w:val="Title Char"/>
    <w:basedOn w:val="DefaultParagraphFont"/>
    <w:link w:val="Title"/>
    <w:uiPriority w:val="10"/>
    <w:rsid w:val="004C2B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4C2B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2B6E"/>
    <w:pPr>
      <w:spacing w:before="160" w:after="160"/>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4C2B6E"/>
    <w:rPr>
      <w:i/>
      <w:iCs/>
      <w:color w:val="404040" w:themeColor="text1" w:themeTint="BF"/>
    </w:rPr>
  </w:style>
  <w:style w:type="paragraph" w:styleId="ListParagraph">
    <w:name w:val="List Paragraph"/>
    <w:basedOn w:val="Normal"/>
    <w:uiPriority w:val="34"/>
    <w:qFormat/>
    <w:rsid w:val="004C2B6E"/>
    <w:pPr>
      <w:ind w:left="720"/>
      <w:contextualSpacing/>
    </w:pPr>
    <w:rPr>
      <w:rFonts w:ascii="Aptos" w:eastAsia="Aptos" w:hAnsi="Aptos" w:cs="Aptos"/>
    </w:rPr>
  </w:style>
  <w:style w:type="character" w:styleId="IntenseEmphasis">
    <w:name w:val="Intense Emphasis"/>
    <w:basedOn w:val="DefaultParagraphFont"/>
    <w:uiPriority w:val="21"/>
    <w:qFormat/>
    <w:rsid w:val="004C2B6E"/>
    <w:rPr>
      <w:i/>
      <w:iCs/>
      <w:color w:val="0F4761" w:themeColor="accent1" w:themeShade="BF"/>
    </w:rPr>
  </w:style>
  <w:style w:type="paragraph" w:styleId="IntenseQuote">
    <w:name w:val="Intense Quote"/>
    <w:basedOn w:val="Normal"/>
    <w:next w:val="Normal"/>
    <w:link w:val="IntenseQuoteChar"/>
    <w:uiPriority w:val="30"/>
    <w:qFormat/>
    <w:rsid w:val="004C2B6E"/>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4C2B6E"/>
    <w:rPr>
      <w:i/>
      <w:iCs/>
      <w:color w:val="0F4761" w:themeColor="accent1" w:themeShade="BF"/>
    </w:rPr>
  </w:style>
  <w:style w:type="character" w:styleId="IntenseReference">
    <w:name w:val="Intense Reference"/>
    <w:basedOn w:val="DefaultParagraphFont"/>
    <w:uiPriority w:val="32"/>
    <w:qFormat/>
    <w:rsid w:val="004C2B6E"/>
    <w:rPr>
      <w:b/>
      <w:bCs/>
      <w:smallCaps/>
      <w:color w:val="0F4761" w:themeColor="accent1" w:themeShade="BF"/>
      <w:spacing w:val="5"/>
    </w:rPr>
  </w:style>
  <w:style w:type="character" w:styleId="Strong">
    <w:name w:val="Strong"/>
    <w:basedOn w:val="DefaultParagraphFont"/>
    <w:uiPriority w:val="22"/>
    <w:qFormat/>
    <w:rsid w:val="001F2570"/>
    <w:rPr>
      <w:b/>
      <w:bCs/>
    </w:rPr>
  </w:style>
  <w:style w:type="character" w:customStyle="1" w:styleId="apple-converted-space">
    <w:name w:val="apple-converted-space"/>
    <w:basedOn w:val="DefaultParagraphFont"/>
    <w:rsid w:val="001F2570"/>
  </w:style>
  <w:style w:type="character" w:styleId="Emphasis">
    <w:name w:val="Emphasis"/>
    <w:basedOn w:val="DefaultParagraphFont"/>
    <w:uiPriority w:val="20"/>
    <w:qFormat/>
    <w:rsid w:val="001F25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0329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650EkWMvTgQwKVORA9+Nuqb7A==">CgMxLjA4AHIhMUI3NGJNQ2QzNWY3RGxPM0JXcmZOaGlhRzhub0lGQ0Nv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322</Words>
  <Characters>2158</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NIKHIL KUMAR SINGH</dc:creator>
  <cp:lastModifiedBy>NIKHIL KUMAR SINGH</cp:lastModifiedBy>
  <cp:revision>7</cp:revision>
  <dcterms:created xsi:type="dcterms:W3CDTF">2025-01-12T10:33:00Z</dcterms:created>
  <dcterms:modified xsi:type="dcterms:W3CDTF">2025-04-26T04:54:00Z</dcterms:modified>
</cp:coreProperties>
</file>