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93"/>
        <w:gridCol w:w="2169"/>
        <w:gridCol w:w="9186"/>
      </w:tblGrid>
      <w:tr w:rsidR="00F02F30" w:rsidRPr="008A2748" w14:paraId="3F90DFA4" w14:textId="77777777" w:rsidTr="00881A34">
        <w:tc>
          <w:tcPr>
            <w:tcW w:w="0" w:type="auto"/>
            <w:vAlign w:val="center"/>
          </w:tcPr>
          <w:p w14:paraId="7B8E85FB" w14:textId="661BA5BA"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Theme</w:t>
            </w:r>
          </w:p>
        </w:tc>
        <w:tc>
          <w:tcPr>
            <w:tcW w:w="0" w:type="auto"/>
            <w:vAlign w:val="center"/>
          </w:tcPr>
          <w:p w14:paraId="25B6ECD0" w14:textId="4DB1C95B"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Subtheme</w:t>
            </w:r>
          </w:p>
        </w:tc>
        <w:tc>
          <w:tcPr>
            <w:tcW w:w="0" w:type="auto"/>
            <w:vAlign w:val="center"/>
          </w:tcPr>
          <w:p w14:paraId="75A7C080" w14:textId="40F76D0E"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 xml:space="preserve">Representative Quotes </w:t>
            </w:r>
          </w:p>
        </w:tc>
      </w:tr>
      <w:tr w:rsidR="00F02F30" w:rsidRPr="008A2748" w14:paraId="388122E4" w14:textId="77777777" w:rsidTr="00F02F30">
        <w:trPr>
          <w:trHeight w:val="61"/>
        </w:trPr>
        <w:tc>
          <w:tcPr>
            <w:tcW w:w="0" w:type="auto"/>
            <w:vMerge w:val="restart"/>
          </w:tcPr>
          <w:p w14:paraId="33E07B35" w14:textId="05267FA2"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1. Unequal Awareness and Access</w:t>
            </w:r>
          </w:p>
        </w:tc>
        <w:tc>
          <w:tcPr>
            <w:tcW w:w="0" w:type="auto"/>
          </w:tcPr>
          <w:p w14:paraId="45E377EC" w14:textId="5E763111"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Limited awareness of OCCs</w:t>
            </w:r>
          </w:p>
        </w:tc>
        <w:tc>
          <w:tcPr>
            <w:tcW w:w="0" w:type="auto"/>
          </w:tcPr>
          <w:p w14:paraId="427C6024" w14:textId="40C01889"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 xml:space="preserve">“I had never heard of such a place before that day. No one in my village knew it existed. If the police officer hadn’t insisted, I would have gone back home, thinking there was no help for someone like me. People talk about hospitals and courts, but never about this </w:t>
            </w:r>
            <w:proofErr w:type="spellStart"/>
            <w:r w:rsidRPr="008A2748">
              <w:rPr>
                <w:rFonts w:ascii="Times New Roman" w:hAnsi="Times New Roman" w:cs="Times New Roman"/>
                <w:szCs w:val="24"/>
                <w:lang w:bidi="ar-SA"/>
              </w:rPr>
              <w:t>center</w:t>
            </w:r>
            <w:proofErr w:type="spellEnd"/>
            <w:r w:rsidRPr="008A2748">
              <w:rPr>
                <w:rFonts w:ascii="Times New Roman" w:hAnsi="Times New Roman" w:cs="Times New Roman"/>
                <w:szCs w:val="24"/>
                <w:lang w:bidi="ar-SA"/>
              </w:rPr>
              <w:t>.” (Survivor, 9)</w:t>
            </w:r>
            <w:r w:rsidRPr="008A2748">
              <w:rPr>
                <w:rFonts w:ascii="Times New Roman" w:hAnsi="Times New Roman" w:cs="Times New Roman"/>
                <w:szCs w:val="24"/>
                <w:lang w:bidi="ar-SA"/>
              </w:rPr>
              <w:br/>
            </w:r>
            <w:r w:rsidRPr="008A2748">
              <w:rPr>
                <w:rFonts w:ascii="Times New Roman" w:hAnsi="Times New Roman" w:cs="Times New Roman"/>
                <w:szCs w:val="24"/>
                <w:lang w:bidi="ar-SA"/>
              </w:rPr>
              <w:br/>
              <w:t xml:space="preserve">“There are no posters, no community announcements, nothing on the radio. For women in rural areas, this </w:t>
            </w:r>
            <w:proofErr w:type="spellStart"/>
            <w:r w:rsidRPr="008A2748">
              <w:rPr>
                <w:rFonts w:ascii="Times New Roman" w:hAnsi="Times New Roman" w:cs="Times New Roman"/>
                <w:szCs w:val="24"/>
                <w:lang w:bidi="ar-SA"/>
              </w:rPr>
              <w:t>center</w:t>
            </w:r>
            <w:proofErr w:type="spellEnd"/>
            <w:r w:rsidRPr="008A2748">
              <w:rPr>
                <w:rFonts w:ascii="Times New Roman" w:hAnsi="Times New Roman" w:cs="Times New Roman"/>
                <w:szCs w:val="24"/>
                <w:lang w:bidi="ar-SA"/>
              </w:rPr>
              <w:t xml:space="preserve"> might as well not exist. It feels like a hidden service, only for those who are lucky enough to stumble upon it.” (Survivor, 23)</w:t>
            </w:r>
          </w:p>
        </w:tc>
      </w:tr>
      <w:tr w:rsidR="00F02F30" w:rsidRPr="008A2748" w14:paraId="13601467" w14:textId="77777777">
        <w:trPr>
          <w:trHeight w:val="61"/>
        </w:trPr>
        <w:tc>
          <w:tcPr>
            <w:tcW w:w="0" w:type="auto"/>
            <w:vMerge/>
          </w:tcPr>
          <w:p w14:paraId="1F7A13B3" w14:textId="77777777" w:rsidR="00F02F30" w:rsidRPr="008A2748" w:rsidRDefault="00F02F30" w:rsidP="00F02F30">
            <w:pPr>
              <w:rPr>
                <w:rFonts w:ascii="Times New Roman" w:hAnsi="Times New Roman" w:cs="Times New Roman"/>
                <w:szCs w:val="24"/>
                <w:lang w:bidi="ar-SA"/>
              </w:rPr>
            </w:pPr>
          </w:p>
        </w:tc>
        <w:tc>
          <w:tcPr>
            <w:tcW w:w="0" w:type="auto"/>
          </w:tcPr>
          <w:p w14:paraId="29527C6A" w14:textId="5B284AC0"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Gatekeeping by police and hospitals</w:t>
            </w:r>
          </w:p>
        </w:tc>
        <w:tc>
          <w:tcPr>
            <w:tcW w:w="0" w:type="auto"/>
          </w:tcPr>
          <w:p w14:paraId="5C7BC5CC" w14:textId="7027D32F"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“I didn’t choose to come here; the hospital doctor said I had to. If I had come by myself, they might not even have let me in. It feels like survivors need permission from police or doctors to enter, and that makes us dependent on others instead of being able to seek help directly.” (Survivor, 22)</w:t>
            </w:r>
            <w:r w:rsidRPr="008A2748">
              <w:rPr>
                <w:rFonts w:ascii="Times New Roman" w:hAnsi="Times New Roman" w:cs="Times New Roman"/>
                <w:szCs w:val="24"/>
                <w:lang w:bidi="ar-SA"/>
              </w:rPr>
              <w:br/>
            </w:r>
            <w:r w:rsidRPr="008A2748">
              <w:rPr>
                <w:rFonts w:ascii="Times New Roman" w:hAnsi="Times New Roman" w:cs="Times New Roman"/>
                <w:szCs w:val="24"/>
                <w:lang w:bidi="ar-SA"/>
              </w:rPr>
              <w:br/>
              <w:t>“Unless the police bring them, many survivors don’t even reach us. The system unintentionally makes the police a gatekeeper. This discourages women who are already afraid of law enforcement.” (</w:t>
            </w:r>
            <w:r w:rsidR="004C7B47" w:rsidRPr="008A2748">
              <w:rPr>
                <w:rFonts w:ascii="Times New Roman" w:hAnsi="Times New Roman" w:cs="Times New Roman"/>
                <w:i/>
                <w:iCs/>
                <w:szCs w:val="24"/>
              </w:rPr>
              <w:t>OCC staff, Dhaka</w:t>
            </w:r>
            <w:r w:rsidRPr="008A2748">
              <w:rPr>
                <w:rFonts w:ascii="Times New Roman" w:hAnsi="Times New Roman" w:cs="Times New Roman"/>
                <w:szCs w:val="24"/>
                <w:lang w:bidi="ar-SA"/>
              </w:rPr>
              <w:t>)</w:t>
            </w:r>
          </w:p>
        </w:tc>
      </w:tr>
      <w:tr w:rsidR="00F02F30" w:rsidRPr="008A2748" w14:paraId="0AFEE895" w14:textId="77777777">
        <w:trPr>
          <w:trHeight w:val="61"/>
        </w:trPr>
        <w:tc>
          <w:tcPr>
            <w:tcW w:w="0" w:type="auto"/>
            <w:vMerge/>
          </w:tcPr>
          <w:p w14:paraId="67FB7F78" w14:textId="77777777" w:rsidR="00F02F30" w:rsidRPr="008A2748" w:rsidRDefault="00F02F30" w:rsidP="00F02F30">
            <w:pPr>
              <w:rPr>
                <w:rFonts w:ascii="Times New Roman" w:hAnsi="Times New Roman" w:cs="Times New Roman"/>
                <w:szCs w:val="24"/>
                <w:lang w:bidi="ar-SA"/>
              </w:rPr>
            </w:pPr>
          </w:p>
        </w:tc>
        <w:tc>
          <w:tcPr>
            <w:tcW w:w="0" w:type="auto"/>
          </w:tcPr>
          <w:p w14:paraId="36560672" w14:textId="6C74F26E"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Rural–urban disparities</w:t>
            </w:r>
          </w:p>
        </w:tc>
        <w:tc>
          <w:tcPr>
            <w:tcW w:w="0" w:type="auto"/>
          </w:tcPr>
          <w:p w14:paraId="1D4213D1" w14:textId="42DDB619"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“It took me more than three hours to travel here, changing buses and walking long stretches. By the time I arrived, I was exhausted and frightened. Many women from my area wouldn’t even attempt the journey.” (Survivor, 7)</w:t>
            </w:r>
          </w:p>
        </w:tc>
      </w:tr>
      <w:tr w:rsidR="00F02F30" w:rsidRPr="008A2748" w14:paraId="6F5BB01C" w14:textId="77777777" w:rsidTr="00671BD8">
        <w:trPr>
          <w:trHeight w:val="340"/>
        </w:trPr>
        <w:tc>
          <w:tcPr>
            <w:tcW w:w="0" w:type="auto"/>
            <w:vMerge w:val="restart"/>
          </w:tcPr>
          <w:p w14:paraId="4D244830" w14:textId="63AA4D92"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2. Institutional Gaps and Resource Constraints</w:t>
            </w:r>
          </w:p>
        </w:tc>
        <w:tc>
          <w:tcPr>
            <w:tcW w:w="0" w:type="auto"/>
          </w:tcPr>
          <w:p w14:paraId="03F23E98" w14:textId="1293C582"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Staffing shortages</w:t>
            </w:r>
          </w:p>
        </w:tc>
        <w:tc>
          <w:tcPr>
            <w:tcW w:w="0" w:type="auto"/>
            <w:vAlign w:val="center"/>
          </w:tcPr>
          <w:p w14:paraId="7F5808EF" w14:textId="1C77D169"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 xml:space="preserve">“When I came, the </w:t>
            </w:r>
            <w:proofErr w:type="spellStart"/>
            <w:r w:rsidRPr="008A2748">
              <w:rPr>
                <w:rFonts w:ascii="Times New Roman" w:hAnsi="Times New Roman" w:cs="Times New Roman"/>
                <w:szCs w:val="24"/>
                <w:lang w:bidi="ar-SA"/>
              </w:rPr>
              <w:t>counselor</w:t>
            </w:r>
            <w:proofErr w:type="spellEnd"/>
            <w:r w:rsidRPr="008A2748">
              <w:rPr>
                <w:rFonts w:ascii="Times New Roman" w:hAnsi="Times New Roman" w:cs="Times New Roman"/>
                <w:szCs w:val="24"/>
                <w:lang w:bidi="ar-SA"/>
              </w:rPr>
              <w:t xml:space="preserve"> was not available. They told me to wait until the next day. I felt like my pain had to be put on hold. In that moment, I thought: if there is no one to listen now, then what is the meaning of a crisis </w:t>
            </w:r>
            <w:proofErr w:type="spellStart"/>
            <w:r w:rsidRPr="008A2748">
              <w:rPr>
                <w:rFonts w:ascii="Times New Roman" w:hAnsi="Times New Roman" w:cs="Times New Roman"/>
                <w:szCs w:val="24"/>
                <w:lang w:bidi="ar-SA"/>
              </w:rPr>
              <w:t>center</w:t>
            </w:r>
            <w:proofErr w:type="spellEnd"/>
            <w:r w:rsidRPr="008A2748">
              <w:rPr>
                <w:rFonts w:ascii="Times New Roman" w:hAnsi="Times New Roman" w:cs="Times New Roman"/>
                <w:szCs w:val="24"/>
                <w:lang w:bidi="ar-SA"/>
              </w:rPr>
              <w:t>?” (Survivor, 5)</w:t>
            </w:r>
            <w:r w:rsidRPr="008A2748">
              <w:rPr>
                <w:rFonts w:ascii="Times New Roman" w:hAnsi="Times New Roman" w:cs="Times New Roman"/>
                <w:szCs w:val="24"/>
                <w:lang w:bidi="ar-SA"/>
              </w:rPr>
              <w:br/>
            </w:r>
            <w:r w:rsidRPr="008A2748">
              <w:rPr>
                <w:rFonts w:ascii="Times New Roman" w:hAnsi="Times New Roman" w:cs="Times New Roman"/>
                <w:szCs w:val="24"/>
                <w:lang w:bidi="ar-SA"/>
              </w:rPr>
              <w:br/>
              <w:t>“We don’t have enough staff to cover all shifts. If one person is absent, everything slows down. Survivors may have to wait hours just to give their statement or get medical care.” (</w:t>
            </w:r>
            <w:r w:rsidR="002F7D7A" w:rsidRPr="008A2748">
              <w:rPr>
                <w:rFonts w:ascii="Times New Roman" w:hAnsi="Times New Roman" w:cs="Times New Roman"/>
                <w:i/>
                <w:iCs/>
                <w:szCs w:val="24"/>
              </w:rPr>
              <w:t>OCC staff, Cox’s Bazar</w:t>
            </w:r>
            <w:r w:rsidRPr="008A2748">
              <w:rPr>
                <w:rFonts w:ascii="Times New Roman" w:hAnsi="Times New Roman" w:cs="Times New Roman"/>
                <w:szCs w:val="24"/>
                <w:lang w:bidi="ar-SA"/>
              </w:rPr>
              <w:t>)</w:t>
            </w:r>
          </w:p>
        </w:tc>
      </w:tr>
      <w:tr w:rsidR="00F02F30" w:rsidRPr="008A2748" w14:paraId="44B2BB8E" w14:textId="77777777">
        <w:trPr>
          <w:trHeight w:val="339"/>
        </w:trPr>
        <w:tc>
          <w:tcPr>
            <w:tcW w:w="0" w:type="auto"/>
            <w:vMerge/>
          </w:tcPr>
          <w:p w14:paraId="705D0937" w14:textId="77777777" w:rsidR="00F02F30" w:rsidRPr="008A2748" w:rsidRDefault="00F02F30" w:rsidP="00F02F30">
            <w:pPr>
              <w:rPr>
                <w:rFonts w:ascii="Times New Roman" w:hAnsi="Times New Roman" w:cs="Times New Roman"/>
                <w:szCs w:val="24"/>
                <w:lang w:bidi="ar-SA"/>
              </w:rPr>
            </w:pPr>
          </w:p>
        </w:tc>
        <w:tc>
          <w:tcPr>
            <w:tcW w:w="0" w:type="auto"/>
          </w:tcPr>
          <w:p w14:paraId="3C3788BA" w14:textId="4252B763"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Inadequate trauma training</w:t>
            </w:r>
          </w:p>
        </w:tc>
        <w:tc>
          <w:tcPr>
            <w:tcW w:w="0" w:type="auto"/>
          </w:tcPr>
          <w:p w14:paraId="39852A40" w14:textId="3BA96D2E"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“Some staff are kind, but others don’t know how to talk to survivors. Instead of comforting me, they kept repeating the same questions, like they didn’t understand that answering them was painful. It felt like I was being interrogated, not helped.” (Survivor, 2)</w:t>
            </w:r>
            <w:r w:rsidRPr="008A2748">
              <w:rPr>
                <w:rFonts w:ascii="Times New Roman" w:hAnsi="Times New Roman" w:cs="Times New Roman"/>
                <w:szCs w:val="24"/>
                <w:lang w:bidi="ar-SA"/>
              </w:rPr>
              <w:br/>
            </w:r>
            <w:r w:rsidRPr="008A2748">
              <w:rPr>
                <w:rFonts w:ascii="Times New Roman" w:hAnsi="Times New Roman" w:cs="Times New Roman"/>
                <w:szCs w:val="24"/>
                <w:lang w:bidi="ar-SA"/>
              </w:rPr>
              <w:br/>
              <w:t xml:space="preserve">“We never received proper training on trauma-sensitive care. Many staff treat cases like </w:t>
            </w:r>
            <w:r w:rsidRPr="008A2748">
              <w:rPr>
                <w:rFonts w:ascii="Times New Roman" w:hAnsi="Times New Roman" w:cs="Times New Roman"/>
                <w:szCs w:val="24"/>
                <w:lang w:bidi="ar-SA"/>
              </w:rPr>
              <w:lastRenderedPageBreak/>
              <w:t>routine paperwork rather than recognizing the psychological toll on survivors.” (</w:t>
            </w:r>
            <w:proofErr w:type="spellStart"/>
            <w:r w:rsidRPr="008A2748">
              <w:rPr>
                <w:rFonts w:ascii="Times New Roman" w:hAnsi="Times New Roman" w:cs="Times New Roman"/>
                <w:szCs w:val="24"/>
                <w:lang w:bidi="ar-SA"/>
              </w:rPr>
              <w:t>Counselor</w:t>
            </w:r>
            <w:proofErr w:type="spellEnd"/>
            <w:r w:rsidRPr="008A2748">
              <w:rPr>
                <w:rFonts w:ascii="Times New Roman" w:hAnsi="Times New Roman" w:cs="Times New Roman"/>
                <w:szCs w:val="24"/>
                <w:lang w:bidi="ar-SA"/>
              </w:rPr>
              <w:t>, OCC)</w:t>
            </w:r>
          </w:p>
        </w:tc>
      </w:tr>
      <w:tr w:rsidR="00F02F30" w:rsidRPr="008A2748" w14:paraId="178A7B65" w14:textId="77777777" w:rsidTr="001A4E91">
        <w:trPr>
          <w:trHeight w:val="340"/>
        </w:trPr>
        <w:tc>
          <w:tcPr>
            <w:tcW w:w="0" w:type="auto"/>
            <w:vMerge w:val="restart"/>
          </w:tcPr>
          <w:p w14:paraId="2B80029B" w14:textId="17C7209B"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lastRenderedPageBreak/>
              <w:t>3. Survivor Experiences and Service Sensitivity</w:t>
            </w:r>
          </w:p>
        </w:tc>
        <w:tc>
          <w:tcPr>
            <w:tcW w:w="0" w:type="auto"/>
            <w:vAlign w:val="center"/>
          </w:tcPr>
          <w:p w14:paraId="68F0C574" w14:textId="68D5FDD1"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Judgmental staff &amp; stigmatization</w:t>
            </w:r>
          </w:p>
        </w:tc>
        <w:tc>
          <w:tcPr>
            <w:tcW w:w="0" w:type="auto"/>
          </w:tcPr>
          <w:p w14:paraId="77D3E87A" w14:textId="646F7F26"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“The nurse asked me why I was out at night and whether I trusted the wrong people. Her words felt like knives. I wanted to scream, ‘It wasn’t my fault!’ but I stayed quiet because I needed treatment. I felt small and ashamed.” (Survivor, 2</w:t>
            </w:r>
            <w:r w:rsidR="00425BD8" w:rsidRPr="008A2748">
              <w:rPr>
                <w:rFonts w:ascii="Times New Roman" w:hAnsi="Times New Roman" w:cs="Times New Roman"/>
                <w:szCs w:val="24"/>
                <w:lang w:bidi="ar-SA"/>
              </w:rPr>
              <w:t>1</w:t>
            </w:r>
            <w:r w:rsidRPr="008A2748">
              <w:rPr>
                <w:rFonts w:ascii="Times New Roman" w:hAnsi="Times New Roman" w:cs="Times New Roman"/>
                <w:szCs w:val="24"/>
                <w:lang w:bidi="ar-SA"/>
              </w:rPr>
              <w:t>)</w:t>
            </w:r>
            <w:r w:rsidRPr="008A2748">
              <w:rPr>
                <w:rFonts w:ascii="Times New Roman" w:hAnsi="Times New Roman" w:cs="Times New Roman"/>
                <w:szCs w:val="24"/>
                <w:lang w:bidi="ar-SA"/>
              </w:rPr>
              <w:br/>
            </w:r>
            <w:r w:rsidRPr="008A2748">
              <w:rPr>
                <w:rFonts w:ascii="Times New Roman" w:hAnsi="Times New Roman" w:cs="Times New Roman"/>
                <w:szCs w:val="24"/>
                <w:lang w:bidi="ar-SA"/>
              </w:rPr>
              <w:br/>
              <w:t>“Instead of asking how I was coping, they wanted to know what I wore, what time I left home, and who I spoke to. I felt blamed for the violence I suffered.” (Survivor, 2)</w:t>
            </w:r>
          </w:p>
        </w:tc>
      </w:tr>
      <w:tr w:rsidR="00F02F30" w:rsidRPr="008A2748" w14:paraId="1EB43BAB" w14:textId="77777777">
        <w:trPr>
          <w:trHeight w:val="339"/>
        </w:trPr>
        <w:tc>
          <w:tcPr>
            <w:tcW w:w="0" w:type="auto"/>
            <w:vMerge/>
          </w:tcPr>
          <w:p w14:paraId="0FD0FF47" w14:textId="77777777" w:rsidR="00F02F30" w:rsidRPr="008A2748" w:rsidRDefault="00F02F30" w:rsidP="00F02F30">
            <w:pPr>
              <w:rPr>
                <w:rFonts w:ascii="Times New Roman" w:hAnsi="Times New Roman" w:cs="Times New Roman"/>
                <w:szCs w:val="24"/>
                <w:lang w:bidi="ar-SA"/>
              </w:rPr>
            </w:pPr>
          </w:p>
        </w:tc>
        <w:tc>
          <w:tcPr>
            <w:tcW w:w="0" w:type="auto"/>
          </w:tcPr>
          <w:p w14:paraId="5FDE0AFA" w14:textId="5B41E813"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Privacy concerns</w:t>
            </w:r>
          </w:p>
        </w:tc>
        <w:tc>
          <w:tcPr>
            <w:tcW w:w="0" w:type="auto"/>
          </w:tcPr>
          <w:p w14:paraId="6457FDE6" w14:textId="0EFC80E4"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“They interviewed me in a room where other patients were present. I could feel their eyes on me, and I wanted to disappear. Speaking about such a painful thing in public made me feel exposed and humiliated.” (Survivor, 24)</w:t>
            </w:r>
            <w:r w:rsidRPr="008A2748">
              <w:rPr>
                <w:rFonts w:ascii="Times New Roman" w:hAnsi="Times New Roman" w:cs="Times New Roman"/>
                <w:szCs w:val="24"/>
                <w:lang w:bidi="ar-SA"/>
              </w:rPr>
              <w:br/>
            </w:r>
            <w:r w:rsidRPr="008A2748">
              <w:rPr>
                <w:rFonts w:ascii="Times New Roman" w:hAnsi="Times New Roman" w:cs="Times New Roman"/>
                <w:szCs w:val="24"/>
                <w:lang w:bidi="ar-SA"/>
              </w:rPr>
              <w:br/>
              <w:t>“Confidentiality is almost impossible here. The space is small, people are always coming in and out, and survivors can’t trust that their stories will stay private.” (</w:t>
            </w:r>
            <w:r w:rsidR="00F52268" w:rsidRPr="008A2748">
              <w:rPr>
                <w:rFonts w:ascii="Times New Roman" w:hAnsi="Times New Roman" w:cs="Times New Roman"/>
                <w:i/>
                <w:iCs/>
                <w:szCs w:val="24"/>
              </w:rPr>
              <w:t xml:space="preserve">OCC staff, </w:t>
            </w:r>
            <w:proofErr w:type="gramStart"/>
            <w:r w:rsidR="00F52268" w:rsidRPr="008A2748">
              <w:rPr>
                <w:rFonts w:ascii="Times New Roman" w:hAnsi="Times New Roman" w:cs="Times New Roman"/>
                <w:i/>
                <w:iCs/>
                <w:szCs w:val="24"/>
              </w:rPr>
              <w:t>Dhaka</w:t>
            </w:r>
            <w:r w:rsidR="00F52268" w:rsidRPr="008A2748">
              <w:rPr>
                <w:rFonts w:ascii="Times New Roman" w:hAnsi="Times New Roman" w:cs="Times New Roman"/>
                <w:i/>
                <w:iCs/>
                <w:szCs w:val="24"/>
              </w:rPr>
              <w:t xml:space="preserve"> </w:t>
            </w:r>
            <w:r w:rsidRPr="008A2748">
              <w:rPr>
                <w:rFonts w:ascii="Times New Roman" w:hAnsi="Times New Roman" w:cs="Times New Roman"/>
                <w:szCs w:val="24"/>
                <w:lang w:bidi="ar-SA"/>
              </w:rPr>
              <w:t>)</w:t>
            </w:r>
            <w:proofErr w:type="gramEnd"/>
          </w:p>
        </w:tc>
      </w:tr>
      <w:tr w:rsidR="00F02F30" w:rsidRPr="008A2748" w14:paraId="3279483E" w14:textId="77777777" w:rsidTr="00CC419E">
        <w:tc>
          <w:tcPr>
            <w:tcW w:w="0" w:type="auto"/>
          </w:tcPr>
          <w:p w14:paraId="36AC9AE6" w14:textId="74948362"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4. Coordination and Continuity of Care</w:t>
            </w:r>
          </w:p>
        </w:tc>
        <w:tc>
          <w:tcPr>
            <w:tcW w:w="0" w:type="auto"/>
          </w:tcPr>
          <w:p w14:paraId="16BF2ECB" w14:textId="0096A472"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Weak referral &amp; follow-up</w:t>
            </w:r>
          </w:p>
        </w:tc>
        <w:tc>
          <w:tcPr>
            <w:tcW w:w="0" w:type="auto"/>
            <w:vAlign w:val="center"/>
          </w:tcPr>
          <w:p w14:paraId="3F72CEEE" w14:textId="383DD549"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“After my first treatment, nobody contacted me. They said I could get legal help, but I never heard from anyone again. I had to find my own way, which was confusing and scary. It felt like the support ended as soon as I walked out of the room.” (Survivor, 2</w:t>
            </w:r>
            <w:r w:rsidR="00136D04" w:rsidRPr="008A2748">
              <w:rPr>
                <w:rFonts w:ascii="Times New Roman" w:hAnsi="Times New Roman" w:cs="Times New Roman"/>
                <w:szCs w:val="24"/>
                <w:lang w:bidi="ar-SA"/>
              </w:rPr>
              <w:t>0</w:t>
            </w:r>
            <w:r w:rsidRPr="008A2748">
              <w:rPr>
                <w:rFonts w:ascii="Times New Roman" w:hAnsi="Times New Roman" w:cs="Times New Roman"/>
                <w:szCs w:val="24"/>
                <w:lang w:bidi="ar-SA"/>
              </w:rPr>
              <w:t>)</w:t>
            </w:r>
            <w:r w:rsidRPr="008A2748">
              <w:rPr>
                <w:rFonts w:ascii="Times New Roman" w:hAnsi="Times New Roman" w:cs="Times New Roman"/>
                <w:szCs w:val="24"/>
                <w:lang w:bidi="ar-SA"/>
              </w:rPr>
              <w:br/>
            </w:r>
            <w:r w:rsidRPr="008A2748">
              <w:rPr>
                <w:rFonts w:ascii="Times New Roman" w:hAnsi="Times New Roman" w:cs="Times New Roman"/>
                <w:szCs w:val="24"/>
                <w:lang w:bidi="ar-SA"/>
              </w:rPr>
              <w:br/>
              <w:t xml:space="preserve">“There is no system to make sure survivors </w:t>
            </w:r>
            <w:proofErr w:type="gramStart"/>
            <w:r w:rsidRPr="008A2748">
              <w:rPr>
                <w:rFonts w:ascii="Times New Roman" w:hAnsi="Times New Roman" w:cs="Times New Roman"/>
                <w:szCs w:val="24"/>
                <w:lang w:bidi="ar-SA"/>
              </w:rPr>
              <w:t>actually reach</w:t>
            </w:r>
            <w:proofErr w:type="gramEnd"/>
            <w:r w:rsidRPr="008A2748">
              <w:rPr>
                <w:rFonts w:ascii="Times New Roman" w:hAnsi="Times New Roman" w:cs="Times New Roman"/>
                <w:szCs w:val="24"/>
                <w:lang w:bidi="ar-SA"/>
              </w:rPr>
              <w:t xml:space="preserve"> the lawyer or </w:t>
            </w:r>
            <w:proofErr w:type="spellStart"/>
            <w:r w:rsidRPr="008A2748">
              <w:rPr>
                <w:rFonts w:ascii="Times New Roman" w:hAnsi="Times New Roman" w:cs="Times New Roman"/>
                <w:szCs w:val="24"/>
                <w:lang w:bidi="ar-SA"/>
              </w:rPr>
              <w:t>counselor</w:t>
            </w:r>
            <w:proofErr w:type="spellEnd"/>
            <w:r w:rsidRPr="008A2748">
              <w:rPr>
                <w:rFonts w:ascii="Times New Roman" w:hAnsi="Times New Roman" w:cs="Times New Roman"/>
                <w:szCs w:val="24"/>
                <w:lang w:bidi="ar-SA"/>
              </w:rPr>
              <w:t>. We write down their names and numbers, but after that, it depends on whether they come back. Many cases are lost this way.” (</w:t>
            </w:r>
            <w:r w:rsidR="00495D1C" w:rsidRPr="008A2748">
              <w:rPr>
                <w:rFonts w:ascii="Times New Roman" w:hAnsi="Times New Roman" w:cs="Times New Roman"/>
                <w:i/>
                <w:iCs/>
                <w:szCs w:val="24"/>
              </w:rPr>
              <w:t>OCC staff, Dhaka</w:t>
            </w:r>
            <w:r w:rsidRPr="008A2748">
              <w:rPr>
                <w:rFonts w:ascii="Times New Roman" w:hAnsi="Times New Roman" w:cs="Times New Roman"/>
                <w:szCs w:val="24"/>
                <w:lang w:bidi="ar-SA"/>
              </w:rPr>
              <w:t>)</w:t>
            </w:r>
            <w:r w:rsidRPr="008A2748">
              <w:rPr>
                <w:rFonts w:ascii="Times New Roman" w:hAnsi="Times New Roman" w:cs="Times New Roman"/>
                <w:szCs w:val="24"/>
                <w:lang w:bidi="ar-SA"/>
              </w:rPr>
              <w:br/>
            </w:r>
            <w:r w:rsidRPr="008A2748">
              <w:rPr>
                <w:rFonts w:ascii="Times New Roman" w:hAnsi="Times New Roman" w:cs="Times New Roman"/>
                <w:szCs w:val="24"/>
                <w:lang w:bidi="ar-SA"/>
              </w:rPr>
              <w:br/>
              <w:t>“Sometimes we send referrals, but the survivor never shows up at the next office. Without a case-tracking system, we cannot be sure if she ever got the services promised.” (</w:t>
            </w:r>
            <w:r w:rsidR="004C0EF7" w:rsidRPr="008A2748">
              <w:rPr>
                <w:rFonts w:ascii="Times New Roman" w:hAnsi="Times New Roman" w:cs="Times New Roman"/>
                <w:i/>
                <w:iCs/>
                <w:szCs w:val="24"/>
              </w:rPr>
              <w:t xml:space="preserve">OCC staff, Cox’s </w:t>
            </w:r>
            <w:proofErr w:type="gramStart"/>
            <w:r w:rsidR="004C0EF7" w:rsidRPr="008A2748">
              <w:rPr>
                <w:rFonts w:ascii="Times New Roman" w:hAnsi="Times New Roman" w:cs="Times New Roman"/>
                <w:i/>
                <w:iCs/>
                <w:szCs w:val="24"/>
              </w:rPr>
              <w:t>Bazar</w:t>
            </w:r>
            <w:r w:rsidR="004C0EF7" w:rsidRPr="008A2748">
              <w:rPr>
                <w:rFonts w:ascii="Times New Roman" w:hAnsi="Times New Roman" w:cs="Times New Roman"/>
                <w:i/>
                <w:iCs/>
                <w:szCs w:val="24"/>
              </w:rPr>
              <w:t xml:space="preserve"> </w:t>
            </w:r>
            <w:r w:rsidRPr="008A2748">
              <w:rPr>
                <w:rFonts w:ascii="Times New Roman" w:hAnsi="Times New Roman" w:cs="Times New Roman"/>
                <w:szCs w:val="24"/>
                <w:lang w:bidi="ar-SA"/>
              </w:rPr>
              <w:t>)</w:t>
            </w:r>
            <w:proofErr w:type="gramEnd"/>
          </w:p>
        </w:tc>
      </w:tr>
      <w:tr w:rsidR="00F02F30" w:rsidRPr="008A2748" w14:paraId="65D698AF" w14:textId="77777777">
        <w:tc>
          <w:tcPr>
            <w:tcW w:w="0" w:type="auto"/>
          </w:tcPr>
          <w:p w14:paraId="1CF6887C" w14:textId="1EA8568A"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5. Policy Commitment vs. Implementation Gap</w:t>
            </w:r>
          </w:p>
        </w:tc>
        <w:tc>
          <w:tcPr>
            <w:tcW w:w="0" w:type="auto"/>
          </w:tcPr>
          <w:p w14:paraId="38DEC08F" w14:textId="477B0314"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Lack of accountability &amp; feedback</w:t>
            </w:r>
          </w:p>
        </w:tc>
        <w:tc>
          <w:tcPr>
            <w:tcW w:w="0" w:type="auto"/>
          </w:tcPr>
          <w:p w14:paraId="548DFAAD" w14:textId="5FE48FA4" w:rsidR="00F02F30" w:rsidRPr="008A2748" w:rsidRDefault="00F02F30" w:rsidP="00F02F30">
            <w:pPr>
              <w:rPr>
                <w:rFonts w:ascii="Times New Roman" w:hAnsi="Times New Roman" w:cs="Times New Roman"/>
                <w:szCs w:val="24"/>
              </w:rPr>
            </w:pPr>
            <w:r w:rsidRPr="008A2748">
              <w:rPr>
                <w:rFonts w:ascii="Times New Roman" w:hAnsi="Times New Roman" w:cs="Times New Roman"/>
                <w:szCs w:val="24"/>
                <w:lang w:bidi="ar-SA"/>
              </w:rPr>
              <w:t xml:space="preserve">“The government talks about protecting women, but when you come here, you see how little has changed. Promises are made on paper, </w:t>
            </w:r>
            <w:proofErr w:type="gramStart"/>
            <w:r w:rsidRPr="008A2748">
              <w:rPr>
                <w:rFonts w:ascii="Times New Roman" w:hAnsi="Times New Roman" w:cs="Times New Roman"/>
                <w:szCs w:val="24"/>
                <w:lang w:bidi="ar-SA"/>
              </w:rPr>
              <w:t>but in reality, the</w:t>
            </w:r>
            <w:proofErr w:type="gramEnd"/>
            <w:r w:rsidRPr="008A2748">
              <w:rPr>
                <w:rFonts w:ascii="Times New Roman" w:hAnsi="Times New Roman" w:cs="Times New Roman"/>
                <w:szCs w:val="24"/>
                <w:lang w:bidi="ar-SA"/>
              </w:rPr>
              <w:t xml:space="preserve"> rooms are crowded, staff are missing, and survivors are not even asked how the service worked for them.” (Survivor, 2</w:t>
            </w:r>
            <w:r w:rsidR="004C0EF7" w:rsidRPr="008A2748">
              <w:rPr>
                <w:rFonts w:ascii="Times New Roman" w:hAnsi="Times New Roman" w:cs="Times New Roman"/>
                <w:szCs w:val="24"/>
                <w:lang w:bidi="ar-SA"/>
              </w:rPr>
              <w:t>1</w:t>
            </w:r>
            <w:r w:rsidRPr="008A2748">
              <w:rPr>
                <w:rFonts w:ascii="Times New Roman" w:hAnsi="Times New Roman" w:cs="Times New Roman"/>
                <w:szCs w:val="24"/>
                <w:lang w:bidi="ar-SA"/>
              </w:rPr>
              <w:t>)</w:t>
            </w:r>
            <w:r w:rsidRPr="008A2748">
              <w:rPr>
                <w:rFonts w:ascii="Times New Roman" w:hAnsi="Times New Roman" w:cs="Times New Roman"/>
                <w:szCs w:val="24"/>
                <w:lang w:bidi="ar-SA"/>
              </w:rPr>
              <w:br/>
            </w:r>
            <w:r w:rsidRPr="008A2748">
              <w:rPr>
                <w:rFonts w:ascii="Times New Roman" w:hAnsi="Times New Roman" w:cs="Times New Roman"/>
                <w:szCs w:val="24"/>
                <w:lang w:bidi="ar-SA"/>
              </w:rPr>
              <w:br/>
              <w:t xml:space="preserve">“Policies are strong, but the local implementation is weak. We don’t have mechanisms to evaluate the quality of services or hear survivors’ feedback. Without monitoring, </w:t>
            </w:r>
            <w:proofErr w:type="spellStart"/>
            <w:r w:rsidRPr="008A2748">
              <w:rPr>
                <w:rFonts w:ascii="Times New Roman" w:hAnsi="Times New Roman" w:cs="Times New Roman"/>
                <w:szCs w:val="24"/>
                <w:lang w:bidi="ar-SA"/>
              </w:rPr>
              <w:t>centers</w:t>
            </w:r>
            <w:proofErr w:type="spellEnd"/>
            <w:r w:rsidRPr="008A2748">
              <w:rPr>
                <w:rFonts w:ascii="Times New Roman" w:hAnsi="Times New Roman" w:cs="Times New Roman"/>
                <w:szCs w:val="24"/>
                <w:lang w:bidi="ar-SA"/>
              </w:rPr>
              <w:t xml:space="preserve"> risk becoming symbolic rather than transformative.” (</w:t>
            </w:r>
            <w:r w:rsidR="001C4399" w:rsidRPr="008A2748">
              <w:rPr>
                <w:rFonts w:ascii="Times New Roman" w:hAnsi="Times New Roman" w:cs="Times New Roman"/>
                <w:i/>
                <w:iCs/>
                <w:szCs w:val="24"/>
              </w:rPr>
              <w:t>OCC staff, Cox’s Bazar</w:t>
            </w:r>
            <w:r w:rsidRPr="008A2748">
              <w:rPr>
                <w:rFonts w:ascii="Times New Roman" w:hAnsi="Times New Roman" w:cs="Times New Roman"/>
                <w:szCs w:val="24"/>
                <w:lang w:bidi="ar-SA"/>
              </w:rPr>
              <w:t>)</w:t>
            </w:r>
            <w:r w:rsidRPr="008A2748">
              <w:rPr>
                <w:rFonts w:ascii="Times New Roman" w:hAnsi="Times New Roman" w:cs="Times New Roman"/>
                <w:szCs w:val="24"/>
                <w:lang w:bidi="ar-SA"/>
              </w:rPr>
              <w:br/>
            </w:r>
            <w:r w:rsidRPr="008A2748">
              <w:rPr>
                <w:rFonts w:ascii="Times New Roman" w:hAnsi="Times New Roman" w:cs="Times New Roman"/>
                <w:szCs w:val="24"/>
                <w:lang w:bidi="ar-SA"/>
              </w:rPr>
              <w:lastRenderedPageBreak/>
              <w:br/>
              <w:t xml:space="preserve">“No one asked me how I felt about the service. I wanted to say that the room was too crowded, and I didn’t feel safe staying overnight. But there was no form, no number, nothing.” (Survivor, </w:t>
            </w:r>
            <w:r w:rsidR="00827BBB" w:rsidRPr="008A2748">
              <w:rPr>
                <w:rFonts w:ascii="Times New Roman" w:hAnsi="Times New Roman" w:cs="Times New Roman"/>
                <w:szCs w:val="24"/>
                <w:lang w:bidi="ar-SA"/>
              </w:rPr>
              <w:t>18</w:t>
            </w:r>
            <w:r w:rsidRPr="008A2748">
              <w:rPr>
                <w:rFonts w:ascii="Times New Roman" w:hAnsi="Times New Roman" w:cs="Times New Roman"/>
                <w:szCs w:val="24"/>
                <w:lang w:bidi="ar-SA"/>
              </w:rPr>
              <w:t>)</w:t>
            </w:r>
          </w:p>
        </w:tc>
      </w:tr>
    </w:tbl>
    <w:p w14:paraId="23EE0E86" w14:textId="77777777" w:rsidR="00F02F30" w:rsidRPr="008A2748" w:rsidRDefault="00F02F30">
      <w:pPr>
        <w:rPr>
          <w:rFonts w:ascii="Times New Roman" w:hAnsi="Times New Roman" w:cs="Times New Roman"/>
          <w:szCs w:val="24"/>
        </w:rPr>
      </w:pPr>
    </w:p>
    <w:p w14:paraId="1918C85B" w14:textId="77777777" w:rsidR="006475DB" w:rsidRPr="008A2748" w:rsidRDefault="006475DB">
      <w:pPr>
        <w:rPr>
          <w:rFonts w:ascii="Times New Roman" w:hAnsi="Times New Roman" w:cs="Times New Roman"/>
          <w:szCs w:val="24"/>
        </w:rPr>
      </w:pPr>
    </w:p>
    <w:p w14:paraId="137CCBFD" w14:textId="77777777" w:rsidR="006475DB" w:rsidRPr="008A2748" w:rsidRDefault="006475DB">
      <w:pPr>
        <w:rPr>
          <w:rFonts w:ascii="Times New Roman" w:hAnsi="Times New Roman" w:cs="Times New Roman"/>
          <w:szCs w:val="24"/>
        </w:rPr>
      </w:pPr>
    </w:p>
    <w:p w14:paraId="50FD8438" w14:textId="77777777" w:rsidR="00564DC0" w:rsidRPr="008A2748" w:rsidRDefault="00564DC0" w:rsidP="00564DC0">
      <w:pPr>
        <w:rPr>
          <w:rFonts w:ascii="Times New Roman" w:hAnsi="Times New Roman" w:cs="Times New Roman"/>
          <w:szCs w:val="24"/>
        </w:rPr>
      </w:pPr>
      <w:r w:rsidRPr="008A2748">
        <w:rPr>
          <w:rFonts w:ascii="Times New Roman" w:hAnsi="Times New Roman" w:cs="Times New Roman"/>
          <w:szCs w:val="24"/>
        </w:rPr>
        <w:t>Conceptual Mapping of Findings to the Gender-Responsive Public Services (GRPS) Framework</w:t>
      </w:r>
    </w:p>
    <w:tbl>
      <w:tblPr>
        <w:tblStyle w:val="TableGrid"/>
        <w:tblW w:w="0" w:type="auto"/>
        <w:tblLook w:val="04A0" w:firstRow="1" w:lastRow="0" w:firstColumn="1" w:lastColumn="0" w:noHBand="0" w:noVBand="1"/>
      </w:tblPr>
      <w:tblGrid>
        <w:gridCol w:w="4471"/>
        <w:gridCol w:w="3468"/>
        <w:gridCol w:w="6009"/>
      </w:tblGrid>
      <w:tr w:rsidR="00AE0DCF" w:rsidRPr="008A2748" w14:paraId="216C1839" w14:textId="3DABA9E3" w:rsidTr="0039166E">
        <w:tc>
          <w:tcPr>
            <w:tcW w:w="0" w:type="auto"/>
            <w:vAlign w:val="center"/>
          </w:tcPr>
          <w:p w14:paraId="36DDA5D9" w14:textId="77777777" w:rsidR="00AE0DCF" w:rsidRPr="008A2748" w:rsidRDefault="00AE0DCF" w:rsidP="00455989">
            <w:pPr>
              <w:rPr>
                <w:rFonts w:ascii="Times New Roman" w:hAnsi="Times New Roman" w:cs="Times New Roman"/>
                <w:szCs w:val="24"/>
              </w:rPr>
            </w:pPr>
            <w:r w:rsidRPr="008A2748">
              <w:rPr>
                <w:rFonts w:ascii="Times New Roman" w:hAnsi="Times New Roman" w:cs="Times New Roman"/>
                <w:szCs w:val="24"/>
                <w:lang w:bidi="ar-SA"/>
              </w:rPr>
              <w:t>Theme</w:t>
            </w:r>
          </w:p>
        </w:tc>
        <w:tc>
          <w:tcPr>
            <w:tcW w:w="0" w:type="auto"/>
            <w:vAlign w:val="center"/>
          </w:tcPr>
          <w:p w14:paraId="70303D03" w14:textId="77777777" w:rsidR="00AE0DCF" w:rsidRPr="008A2748" w:rsidRDefault="00AE0DCF" w:rsidP="00455989">
            <w:pPr>
              <w:rPr>
                <w:rFonts w:ascii="Times New Roman" w:hAnsi="Times New Roman" w:cs="Times New Roman"/>
                <w:szCs w:val="24"/>
              </w:rPr>
            </w:pPr>
            <w:r w:rsidRPr="008A2748">
              <w:rPr>
                <w:rFonts w:ascii="Times New Roman" w:hAnsi="Times New Roman" w:cs="Times New Roman"/>
                <w:szCs w:val="24"/>
                <w:lang w:bidi="ar-SA"/>
              </w:rPr>
              <w:t>Subtheme</w:t>
            </w:r>
          </w:p>
        </w:tc>
        <w:tc>
          <w:tcPr>
            <w:tcW w:w="0" w:type="auto"/>
          </w:tcPr>
          <w:p w14:paraId="7DA12EEC" w14:textId="6736E9B8" w:rsidR="00AE0DCF" w:rsidRPr="008A2748" w:rsidRDefault="00F55D84" w:rsidP="00455989">
            <w:pPr>
              <w:rPr>
                <w:rFonts w:ascii="Times New Roman" w:hAnsi="Times New Roman" w:cs="Times New Roman"/>
                <w:szCs w:val="24"/>
                <w:lang w:bidi="ar-SA"/>
              </w:rPr>
            </w:pPr>
            <w:r w:rsidRPr="008A2748">
              <w:rPr>
                <w:rFonts w:ascii="Times New Roman" w:hAnsi="Times New Roman" w:cs="Times New Roman"/>
                <w:szCs w:val="24"/>
              </w:rPr>
              <w:t>GRPS Principle</w:t>
            </w:r>
          </w:p>
        </w:tc>
      </w:tr>
      <w:tr w:rsidR="008A2748" w:rsidRPr="008A2748" w14:paraId="251480F4" w14:textId="672304B6" w:rsidTr="0039166E">
        <w:trPr>
          <w:trHeight w:val="61"/>
        </w:trPr>
        <w:tc>
          <w:tcPr>
            <w:tcW w:w="0" w:type="auto"/>
            <w:vMerge w:val="restart"/>
          </w:tcPr>
          <w:p w14:paraId="4AEA0757"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1. Unequal Awareness and Access</w:t>
            </w:r>
          </w:p>
        </w:tc>
        <w:tc>
          <w:tcPr>
            <w:tcW w:w="0" w:type="auto"/>
          </w:tcPr>
          <w:p w14:paraId="0F287D22"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Limited awareness of OCCs</w:t>
            </w:r>
          </w:p>
        </w:tc>
        <w:tc>
          <w:tcPr>
            <w:tcW w:w="0" w:type="auto"/>
            <w:vMerge w:val="restart"/>
          </w:tcPr>
          <w:p w14:paraId="4578A2CB" w14:textId="0FCB29C9" w:rsidR="008A2748" w:rsidRPr="008A2748" w:rsidRDefault="008A2748" w:rsidP="00455989">
            <w:pPr>
              <w:rPr>
                <w:rFonts w:ascii="Times New Roman" w:hAnsi="Times New Roman" w:cs="Times New Roman"/>
                <w:szCs w:val="24"/>
                <w:lang w:bidi="ar-SA"/>
              </w:rPr>
            </w:pPr>
            <w:r w:rsidRPr="008A2748">
              <w:rPr>
                <w:rFonts w:ascii="Times New Roman" w:hAnsi="Times New Roman" w:cs="Times New Roman"/>
                <w:szCs w:val="24"/>
              </w:rPr>
              <w:t>Accessibility</w:t>
            </w:r>
          </w:p>
        </w:tc>
      </w:tr>
      <w:tr w:rsidR="008A2748" w:rsidRPr="008A2748" w14:paraId="759F8FA6" w14:textId="61148F88" w:rsidTr="0039166E">
        <w:trPr>
          <w:trHeight w:val="61"/>
        </w:trPr>
        <w:tc>
          <w:tcPr>
            <w:tcW w:w="0" w:type="auto"/>
            <w:vMerge/>
          </w:tcPr>
          <w:p w14:paraId="1EA3DB92" w14:textId="77777777" w:rsidR="008A2748" w:rsidRPr="008A2748" w:rsidRDefault="008A2748" w:rsidP="00455989">
            <w:pPr>
              <w:rPr>
                <w:rFonts w:ascii="Times New Roman" w:hAnsi="Times New Roman" w:cs="Times New Roman"/>
                <w:szCs w:val="24"/>
                <w:lang w:bidi="ar-SA"/>
              </w:rPr>
            </w:pPr>
          </w:p>
        </w:tc>
        <w:tc>
          <w:tcPr>
            <w:tcW w:w="0" w:type="auto"/>
          </w:tcPr>
          <w:p w14:paraId="0F2B3C18"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Gatekeeping by police and hospitals</w:t>
            </w:r>
          </w:p>
        </w:tc>
        <w:tc>
          <w:tcPr>
            <w:tcW w:w="0" w:type="auto"/>
            <w:vMerge/>
          </w:tcPr>
          <w:p w14:paraId="6CD33FC7" w14:textId="77777777" w:rsidR="008A2748" w:rsidRPr="008A2748" w:rsidRDefault="008A2748" w:rsidP="00455989">
            <w:pPr>
              <w:rPr>
                <w:rFonts w:ascii="Times New Roman" w:hAnsi="Times New Roman" w:cs="Times New Roman"/>
                <w:szCs w:val="24"/>
                <w:lang w:bidi="ar-SA"/>
              </w:rPr>
            </w:pPr>
          </w:p>
        </w:tc>
      </w:tr>
      <w:tr w:rsidR="008A2748" w:rsidRPr="008A2748" w14:paraId="0A0EF2F4" w14:textId="081CAA5B" w:rsidTr="0039166E">
        <w:trPr>
          <w:trHeight w:val="61"/>
        </w:trPr>
        <w:tc>
          <w:tcPr>
            <w:tcW w:w="0" w:type="auto"/>
            <w:vMerge/>
          </w:tcPr>
          <w:p w14:paraId="0556CFB1" w14:textId="77777777" w:rsidR="008A2748" w:rsidRPr="008A2748" w:rsidRDefault="008A2748" w:rsidP="00455989">
            <w:pPr>
              <w:rPr>
                <w:rFonts w:ascii="Times New Roman" w:hAnsi="Times New Roman" w:cs="Times New Roman"/>
                <w:szCs w:val="24"/>
                <w:lang w:bidi="ar-SA"/>
              </w:rPr>
            </w:pPr>
          </w:p>
        </w:tc>
        <w:tc>
          <w:tcPr>
            <w:tcW w:w="0" w:type="auto"/>
          </w:tcPr>
          <w:p w14:paraId="6E6A5A7E"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Rural–urban disparities</w:t>
            </w:r>
          </w:p>
        </w:tc>
        <w:tc>
          <w:tcPr>
            <w:tcW w:w="0" w:type="auto"/>
            <w:vMerge/>
          </w:tcPr>
          <w:p w14:paraId="4EC02559" w14:textId="77777777" w:rsidR="008A2748" w:rsidRPr="008A2748" w:rsidRDefault="008A2748" w:rsidP="00455989">
            <w:pPr>
              <w:rPr>
                <w:rFonts w:ascii="Times New Roman" w:hAnsi="Times New Roman" w:cs="Times New Roman"/>
                <w:szCs w:val="24"/>
                <w:lang w:bidi="ar-SA"/>
              </w:rPr>
            </w:pPr>
          </w:p>
        </w:tc>
      </w:tr>
      <w:tr w:rsidR="008A2748" w:rsidRPr="008A2748" w14:paraId="60B3AEC0" w14:textId="4BFD50F3" w:rsidTr="0039166E">
        <w:trPr>
          <w:trHeight w:val="340"/>
        </w:trPr>
        <w:tc>
          <w:tcPr>
            <w:tcW w:w="0" w:type="auto"/>
            <w:vMerge w:val="restart"/>
          </w:tcPr>
          <w:p w14:paraId="7A8B21C0"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2. Institutional Gaps and Resource Constraints</w:t>
            </w:r>
          </w:p>
        </w:tc>
        <w:tc>
          <w:tcPr>
            <w:tcW w:w="0" w:type="auto"/>
          </w:tcPr>
          <w:p w14:paraId="469AC769"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Staffing shortages</w:t>
            </w:r>
          </w:p>
        </w:tc>
        <w:tc>
          <w:tcPr>
            <w:tcW w:w="0" w:type="auto"/>
            <w:vMerge w:val="restart"/>
          </w:tcPr>
          <w:p w14:paraId="501751A5" w14:textId="4A16EF30" w:rsidR="008A2748" w:rsidRPr="008A2748" w:rsidRDefault="008A2748" w:rsidP="00455989">
            <w:pPr>
              <w:rPr>
                <w:rFonts w:ascii="Times New Roman" w:hAnsi="Times New Roman" w:cs="Times New Roman"/>
                <w:szCs w:val="24"/>
                <w:lang w:bidi="ar-SA"/>
              </w:rPr>
            </w:pPr>
            <w:r w:rsidRPr="008A2748">
              <w:rPr>
                <w:rFonts w:ascii="Times New Roman" w:hAnsi="Times New Roman" w:cs="Times New Roman"/>
                <w:szCs w:val="24"/>
              </w:rPr>
              <w:t>Quality of Care</w:t>
            </w:r>
          </w:p>
        </w:tc>
      </w:tr>
      <w:tr w:rsidR="008A2748" w:rsidRPr="008A2748" w14:paraId="10065FA0" w14:textId="703CF97E" w:rsidTr="0039166E">
        <w:trPr>
          <w:trHeight w:val="339"/>
        </w:trPr>
        <w:tc>
          <w:tcPr>
            <w:tcW w:w="0" w:type="auto"/>
            <w:vMerge/>
          </w:tcPr>
          <w:p w14:paraId="6843ED44" w14:textId="77777777" w:rsidR="008A2748" w:rsidRPr="008A2748" w:rsidRDefault="008A2748" w:rsidP="00455989">
            <w:pPr>
              <w:rPr>
                <w:rFonts w:ascii="Times New Roman" w:hAnsi="Times New Roman" w:cs="Times New Roman"/>
                <w:szCs w:val="24"/>
                <w:lang w:bidi="ar-SA"/>
              </w:rPr>
            </w:pPr>
          </w:p>
        </w:tc>
        <w:tc>
          <w:tcPr>
            <w:tcW w:w="0" w:type="auto"/>
          </w:tcPr>
          <w:p w14:paraId="10F22AAA"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Inadequate trauma training</w:t>
            </w:r>
          </w:p>
        </w:tc>
        <w:tc>
          <w:tcPr>
            <w:tcW w:w="0" w:type="auto"/>
            <w:vMerge/>
          </w:tcPr>
          <w:p w14:paraId="6E3C4A03" w14:textId="77777777" w:rsidR="008A2748" w:rsidRPr="008A2748" w:rsidRDefault="008A2748" w:rsidP="00455989">
            <w:pPr>
              <w:rPr>
                <w:rFonts w:ascii="Times New Roman" w:hAnsi="Times New Roman" w:cs="Times New Roman"/>
                <w:szCs w:val="24"/>
                <w:lang w:bidi="ar-SA"/>
              </w:rPr>
            </w:pPr>
          </w:p>
        </w:tc>
      </w:tr>
      <w:tr w:rsidR="008A2748" w:rsidRPr="008A2748" w14:paraId="7843BF7D" w14:textId="2B59BF0F" w:rsidTr="0039166E">
        <w:trPr>
          <w:trHeight w:val="340"/>
        </w:trPr>
        <w:tc>
          <w:tcPr>
            <w:tcW w:w="0" w:type="auto"/>
            <w:vMerge w:val="restart"/>
          </w:tcPr>
          <w:p w14:paraId="5F8F4894"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3. Survivor Experiences and Service Sensitivity</w:t>
            </w:r>
          </w:p>
        </w:tc>
        <w:tc>
          <w:tcPr>
            <w:tcW w:w="0" w:type="auto"/>
            <w:vAlign w:val="center"/>
          </w:tcPr>
          <w:p w14:paraId="16E02C3C"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Judgmental staff &amp; stigmatization</w:t>
            </w:r>
          </w:p>
        </w:tc>
        <w:tc>
          <w:tcPr>
            <w:tcW w:w="0" w:type="auto"/>
            <w:vMerge w:val="restart"/>
          </w:tcPr>
          <w:p w14:paraId="2D036643" w14:textId="2499F19F" w:rsidR="008A2748" w:rsidRPr="008A2748" w:rsidRDefault="008A2748" w:rsidP="00455989">
            <w:pPr>
              <w:rPr>
                <w:rFonts w:ascii="Times New Roman" w:hAnsi="Times New Roman" w:cs="Times New Roman"/>
                <w:szCs w:val="24"/>
                <w:lang w:bidi="ar-SA"/>
              </w:rPr>
            </w:pPr>
            <w:r w:rsidRPr="008A2748">
              <w:rPr>
                <w:rFonts w:ascii="Times New Roman" w:hAnsi="Times New Roman" w:cs="Times New Roman"/>
                <w:szCs w:val="24"/>
              </w:rPr>
              <w:t>Integration &amp; Continuity (part of Quality/Accessibility in GRPS)</w:t>
            </w:r>
          </w:p>
        </w:tc>
      </w:tr>
      <w:tr w:rsidR="008A2748" w:rsidRPr="008A2748" w14:paraId="198D4153" w14:textId="0FB25D83" w:rsidTr="0039166E">
        <w:trPr>
          <w:trHeight w:val="339"/>
        </w:trPr>
        <w:tc>
          <w:tcPr>
            <w:tcW w:w="0" w:type="auto"/>
            <w:vMerge/>
          </w:tcPr>
          <w:p w14:paraId="5A162880" w14:textId="77777777" w:rsidR="008A2748" w:rsidRPr="008A2748" w:rsidRDefault="008A2748" w:rsidP="00455989">
            <w:pPr>
              <w:rPr>
                <w:rFonts w:ascii="Times New Roman" w:hAnsi="Times New Roman" w:cs="Times New Roman"/>
                <w:szCs w:val="24"/>
                <w:lang w:bidi="ar-SA"/>
              </w:rPr>
            </w:pPr>
          </w:p>
        </w:tc>
        <w:tc>
          <w:tcPr>
            <w:tcW w:w="0" w:type="auto"/>
          </w:tcPr>
          <w:p w14:paraId="1F1CADB7" w14:textId="77777777" w:rsidR="008A2748" w:rsidRPr="008A2748" w:rsidRDefault="008A2748" w:rsidP="00455989">
            <w:pPr>
              <w:rPr>
                <w:rFonts w:ascii="Times New Roman" w:hAnsi="Times New Roman" w:cs="Times New Roman"/>
                <w:szCs w:val="24"/>
              </w:rPr>
            </w:pPr>
            <w:r w:rsidRPr="008A2748">
              <w:rPr>
                <w:rFonts w:ascii="Times New Roman" w:hAnsi="Times New Roman" w:cs="Times New Roman"/>
                <w:szCs w:val="24"/>
                <w:lang w:bidi="ar-SA"/>
              </w:rPr>
              <w:t>Privacy concerns</w:t>
            </w:r>
          </w:p>
        </w:tc>
        <w:tc>
          <w:tcPr>
            <w:tcW w:w="0" w:type="auto"/>
            <w:vMerge/>
          </w:tcPr>
          <w:p w14:paraId="48BA167F" w14:textId="77777777" w:rsidR="008A2748" w:rsidRPr="008A2748" w:rsidRDefault="008A2748" w:rsidP="00455989">
            <w:pPr>
              <w:rPr>
                <w:rFonts w:ascii="Times New Roman" w:hAnsi="Times New Roman" w:cs="Times New Roman"/>
                <w:szCs w:val="24"/>
                <w:lang w:bidi="ar-SA"/>
              </w:rPr>
            </w:pPr>
          </w:p>
        </w:tc>
      </w:tr>
      <w:tr w:rsidR="00AE0DCF" w:rsidRPr="008A2748" w14:paraId="33DD0D4A" w14:textId="70347573" w:rsidTr="0039166E">
        <w:tc>
          <w:tcPr>
            <w:tcW w:w="0" w:type="auto"/>
          </w:tcPr>
          <w:p w14:paraId="5B0FD4C8" w14:textId="77777777" w:rsidR="00AE0DCF" w:rsidRPr="008A2748" w:rsidRDefault="00AE0DCF" w:rsidP="00455989">
            <w:pPr>
              <w:rPr>
                <w:rFonts w:ascii="Times New Roman" w:hAnsi="Times New Roman" w:cs="Times New Roman"/>
                <w:szCs w:val="24"/>
              </w:rPr>
            </w:pPr>
            <w:r w:rsidRPr="008A2748">
              <w:rPr>
                <w:rFonts w:ascii="Times New Roman" w:hAnsi="Times New Roman" w:cs="Times New Roman"/>
                <w:szCs w:val="24"/>
                <w:lang w:bidi="ar-SA"/>
              </w:rPr>
              <w:t>4. Coordination and Continuity of Care</w:t>
            </w:r>
          </w:p>
        </w:tc>
        <w:tc>
          <w:tcPr>
            <w:tcW w:w="0" w:type="auto"/>
          </w:tcPr>
          <w:p w14:paraId="0962EF60" w14:textId="77777777" w:rsidR="00AE0DCF" w:rsidRPr="008A2748" w:rsidRDefault="00AE0DCF" w:rsidP="00455989">
            <w:pPr>
              <w:rPr>
                <w:rFonts w:ascii="Times New Roman" w:hAnsi="Times New Roman" w:cs="Times New Roman"/>
                <w:szCs w:val="24"/>
              </w:rPr>
            </w:pPr>
            <w:r w:rsidRPr="008A2748">
              <w:rPr>
                <w:rFonts w:ascii="Times New Roman" w:hAnsi="Times New Roman" w:cs="Times New Roman"/>
                <w:szCs w:val="24"/>
                <w:lang w:bidi="ar-SA"/>
              </w:rPr>
              <w:t>Weak referral &amp; follow-up</w:t>
            </w:r>
          </w:p>
        </w:tc>
        <w:tc>
          <w:tcPr>
            <w:tcW w:w="0" w:type="auto"/>
          </w:tcPr>
          <w:p w14:paraId="278AB94F" w14:textId="05E1C3D7" w:rsidR="00AE0DCF" w:rsidRPr="008A2748" w:rsidRDefault="005603B2" w:rsidP="00455989">
            <w:pPr>
              <w:rPr>
                <w:rFonts w:ascii="Times New Roman" w:hAnsi="Times New Roman" w:cs="Times New Roman"/>
                <w:szCs w:val="24"/>
                <w:lang w:bidi="ar-SA"/>
              </w:rPr>
            </w:pPr>
            <w:r w:rsidRPr="008A2748">
              <w:rPr>
                <w:rFonts w:ascii="Times New Roman" w:hAnsi="Times New Roman" w:cs="Times New Roman"/>
                <w:szCs w:val="24"/>
              </w:rPr>
              <w:t>Accountability</w:t>
            </w:r>
          </w:p>
        </w:tc>
      </w:tr>
      <w:tr w:rsidR="00AE0DCF" w:rsidRPr="008A2748" w14:paraId="27A55DEE" w14:textId="41597E59" w:rsidTr="0039166E">
        <w:tc>
          <w:tcPr>
            <w:tcW w:w="0" w:type="auto"/>
          </w:tcPr>
          <w:p w14:paraId="4253A766" w14:textId="77777777" w:rsidR="00AE0DCF" w:rsidRPr="008A2748" w:rsidRDefault="00AE0DCF" w:rsidP="00455989">
            <w:pPr>
              <w:rPr>
                <w:rFonts w:ascii="Times New Roman" w:hAnsi="Times New Roman" w:cs="Times New Roman"/>
                <w:szCs w:val="24"/>
              </w:rPr>
            </w:pPr>
            <w:r w:rsidRPr="008A2748">
              <w:rPr>
                <w:rFonts w:ascii="Times New Roman" w:hAnsi="Times New Roman" w:cs="Times New Roman"/>
                <w:szCs w:val="24"/>
                <w:lang w:bidi="ar-SA"/>
              </w:rPr>
              <w:t>5. Policy Commitment vs. Implementation Gap</w:t>
            </w:r>
          </w:p>
        </w:tc>
        <w:tc>
          <w:tcPr>
            <w:tcW w:w="0" w:type="auto"/>
          </w:tcPr>
          <w:p w14:paraId="1E49D3E4" w14:textId="77777777" w:rsidR="00AE0DCF" w:rsidRPr="008A2748" w:rsidRDefault="00AE0DCF" w:rsidP="00455989">
            <w:pPr>
              <w:rPr>
                <w:rFonts w:ascii="Times New Roman" w:hAnsi="Times New Roman" w:cs="Times New Roman"/>
                <w:szCs w:val="24"/>
              </w:rPr>
            </w:pPr>
            <w:r w:rsidRPr="008A2748">
              <w:rPr>
                <w:rFonts w:ascii="Times New Roman" w:hAnsi="Times New Roman" w:cs="Times New Roman"/>
                <w:szCs w:val="24"/>
                <w:lang w:bidi="ar-SA"/>
              </w:rPr>
              <w:t>Lack of accountability &amp; feedback</w:t>
            </w:r>
          </w:p>
        </w:tc>
        <w:tc>
          <w:tcPr>
            <w:tcW w:w="0" w:type="auto"/>
          </w:tcPr>
          <w:p w14:paraId="2150FBF1" w14:textId="2E0BE35A" w:rsidR="00AE0DCF" w:rsidRPr="008A2748" w:rsidRDefault="008A2748" w:rsidP="00455989">
            <w:pPr>
              <w:rPr>
                <w:rFonts w:ascii="Times New Roman" w:hAnsi="Times New Roman" w:cs="Times New Roman"/>
                <w:szCs w:val="24"/>
                <w:lang w:bidi="ar-SA"/>
              </w:rPr>
            </w:pPr>
            <w:r w:rsidRPr="008A2748">
              <w:rPr>
                <w:rFonts w:ascii="Times New Roman" w:hAnsi="Times New Roman" w:cs="Times New Roman"/>
                <w:szCs w:val="24"/>
              </w:rPr>
              <w:t>Participation</w:t>
            </w:r>
          </w:p>
        </w:tc>
      </w:tr>
    </w:tbl>
    <w:p w14:paraId="65FFD89B" w14:textId="77777777" w:rsidR="006475DB" w:rsidRPr="008A2748" w:rsidRDefault="006475DB">
      <w:pPr>
        <w:rPr>
          <w:rFonts w:ascii="Times New Roman" w:hAnsi="Times New Roman" w:cs="Times New Roman"/>
          <w:szCs w:val="24"/>
        </w:rPr>
      </w:pPr>
    </w:p>
    <w:sectPr w:rsidR="006475DB" w:rsidRPr="008A2748" w:rsidSect="00C4175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30"/>
    <w:rsid w:val="00136D04"/>
    <w:rsid w:val="001C4399"/>
    <w:rsid w:val="00297A85"/>
    <w:rsid w:val="002F7D7A"/>
    <w:rsid w:val="00425BD8"/>
    <w:rsid w:val="0044248B"/>
    <w:rsid w:val="00483C06"/>
    <w:rsid w:val="00495D1C"/>
    <w:rsid w:val="004C0EF7"/>
    <w:rsid w:val="004C1A42"/>
    <w:rsid w:val="004C7B47"/>
    <w:rsid w:val="005603B2"/>
    <w:rsid w:val="00564DC0"/>
    <w:rsid w:val="006475DB"/>
    <w:rsid w:val="00674CC5"/>
    <w:rsid w:val="0079199E"/>
    <w:rsid w:val="00827BBB"/>
    <w:rsid w:val="008A2748"/>
    <w:rsid w:val="00A34EA8"/>
    <w:rsid w:val="00AE0DCF"/>
    <w:rsid w:val="00C41758"/>
    <w:rsid w:val="00CB41F6"/>
    <w:rsid w:val="00F02F30"/>
    <w:rsid w:val="00F52268"/>
    <w:rsid w:val="00F55D84"/>
    <w:rsid w:val="00F672C8"/>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2B6D7"/>
  <w15:chartTrackingRefBased/>
  <w15:docId w15:val="{042ED664-2D69-4F91-B530-48B50F4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AU" w:eastAsia="en-US" w:bidi="bn-BD"/>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F3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02F3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02F3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02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F3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02F3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02F3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02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F30"/>
    <w:rPr>
      <w:rFonts w:eastAsiaTheme="majorEastAsia" w:cstheme="majorBidi"/>
      <w:color w:val="272727" w:themeColor="text1" w:themeTint="D8"/>
    </w:rPr>
  </w:style>
  <w:style w:type="paragraph" w:styleId="Title">
    <w:name w:val="Title"/>
    <w:basedOn w:val="Normal"/>
    <w:next w:val="Normal"/>
    <w:link w:val="TitleChar"/>
    <w:uiPriority w:val="10"/>
    <w:qFormat/>
    <w:rsid w:val="00F02F3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02F3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02F3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02F3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02F30"/>
    <w:pPr>
      <w:spacing w:before="160"/>
      <w:jc w:val="center"/>
    </w:pPr>
    <w:rPr>
      <w:i/>
      <w:iCs/>
      <w:color w:val="404040" w:themeColor="text1" w:themeTint="BF"/>
    </w:rPr>
  </w:style>
  <w:style w:type="character" w:customStyle="1" w:styleId="QuoteChar">
    <w:name w:val="Quote Char"/>
    <w:basedOn w:val="DefaultParagraphFont"/>
    <w:link w:val="Quote"/>
    <w:uiPriority w:val="29"/>
    <w:rsid w:val="00F02F30"/>
    <w:rPr>
      <w:i/>
      <w:iCs/>
      <w:color w:val="404040" w:themeColor="text1" w:themeTint="BF"/>
    </w:rPr>
  </w:style>
  <w:style w:type="paragraph" w:styleId="ListParagraph">
    <w:name w:val="List Paragraph"/>
    <w:basedOn w:val="Normal"/>
    <w:uiPriority w:val="34"/>
    <w:qFormat/>
    <w:rsid w:val="00F02F30"/>
    <w:pPr>
      <w:ind w:left="720"/>
      <w:contextualSpacing/>
    </w:pPr>
  </w:style>
  <w:style w:type="character" w:styleId="IntenseEmphasis">
    <w:name w:val="Intense Emphasis"/>
    <w:basedOn w:val="DefaultParagraphFont"/>
    <w:uiPriority w:val="21"/>
    <w:qFormat/>
    <w:rsid w:val="00F02F30"/>
    <w:rPr>
      <w:i/>
      <w:iCs/>
      <w:color w:val="0F4761" w:themeColor="accent1" w:themeShade="BF"/>
    </w:rPr>
  </w:style>
  <w:style w:type="paragraph" w:styleId="IntenseQuote">
    <w:name w:val="Intense Quote"/>
    <w:basedOn w:val="Normal"/>
    <w:next w:val="Normal"/>
    <w:link w:val="IntenseQuoteChar"/>
    <w:uiPriority w:val="30"/>
    <w:qFormat/>
    <w:rsid w:val="00F02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F30"/>
    <w:rPr>
      <w:i/>
      <w:iCs/>
      <w:color w:val="0F4761" w:themeColor="accent1" w:themeShade="BF"/>
    </w:rPr>
  </w:style>
  <w:style w:type="character" w:styleId="IntenseReference">
    <w:name w:val="Intense Reference"/>
    <w:basedOn w:val="DefaultParagraphFont"/>
    <w:uiPriority w:val="32"/>
    <w:qFormat/>
    <w:rsid w:val="00F02F30"/>
    <w:rPr>
      <w:b/>
      <w:bCs/>
      <w:smallCaps/>
      <w:color w:val="0F4761" w:themeColor="accent1" w:themeShade="BF"/>
      <w:spacing w:val="5"/>
    </w:rPr>
  </w:style>
  <w:style w:type="table" w:styleId="TableGrid">
    <w:name w:val="Table Grid"/>
    <w:basedOn w:val="TableNormal"/>
    <w:uiPriority w:val="39"/>
    <w:rsid w:val="00F0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931</Words>
  <Characters>4697</Characters>
  <Application>Microsoft Office Word</Application>
  <DocSecurity>0</DocSecurity>
  <Lines>146</Lines>
  <Paragraphs>58</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Moonajilin</dc:creator>
  <cp:keywords/>
  <dc:description/>
  <cp:lastModifiedBy>Sabrina Moonajilin</cp:lastModifiedBy>
  <cp:revision>27</cp:revision>
  <dcterms:created xsi:type="dcterms:W3CDTF">2025-09-08T03:13:00Z</dcterms:created>
  <dcterms:modified xsi:type="dcterms:W3CDTF">2025-09-09T06:28:00Z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b7c43fa0-e19e-4ee0-983d-bf3b550d32b1</vt:lpwstr>
  </property>
</Properties>
</file>