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5C4F5" w14:textId="3CC0ADBA" w:rsidR="00F227C4" w:rsidRPr="00B46026" w:rsidRDefault="00454B3B" w:rsidP="00751C50">
      <w:pPr>
        <w:spacing w:line="480" w:lineRule="auto"/>
        <w:jc w:val="both"/>
        <w:rPr>
          <w:rFonts w:ascii="Aptos" w:hAnsi="Aptos" w:cs="Times New Roman"/>
          <w:b/>
          <w:bCs/>
          <w:sz w:val="24"/>
          <w:szCs w:val="24"/>
          <w:lang w:val="en-US"/>
        </w:rPr>
      </w:pPr>
      <w:r w:rsidRPr="00B46026">
        <w:rPr>
          <w:rFonts w:ascii="Aptos" w:hAnsi="Aptos" w:cs="Times New Roman"/>
          <w:b/>
          <w:bCs/>
          <w:sz w:val="24"/>
          <w:szCs w:val="24"/>
          <w:lang w:val="en-US"/>
        </w:rPr>
        <w:t>SUPPLEMENTARY INFORMATION</w:t>
      </w:r>
    </w:p>
    <w:p w14:paraId="721A8909" w14:textId="77777777" w:rsidR="003E609D" w:rsidRPr="00B46026" w:rsidRDefault="003E609D" w:rsidP="00751C50">
      <w:pPr>
        <w:spacing w:line="480" w:lineRule="auto"/>
        <w:jc w:val="both"/>
        <w:rPr>
          <w:rFonts w:ascii="Aptos" w:hAnsi="Aptos" w:cs="Times New Roman"/>
          <w:b/>
          <w:bCs/>
          <w:sz w:val="24"/>
          <w:szCs w:val="24"/>
          <w:lang w:val="en-US"/>
        </w:rPr>
      </w:pPr>
      <w:r w:rsidRPr="00B46026">
        <w:rPr>
          <w:rFonts w:ascii="Aptos" w:hAnsi="Aptos" w:cs="Times New Roman"/>
          <w:b/>
          <w:bCs/>
          <w:sz w:val="24"/>
          <w:szCs w:val="24"/>
          <w:lang w:val="en-US"/>
        </w:rPr>
        <w:t>MATERIALS AND METHODS</w:t>
      </w:r>
    </w:p>
    <w:p w14:paraId="441DD4D8" w14:textId="2A5A4EC0" w:rsidR="003E609D" w:rsidRPr="00B46026" w:rsidRDefault="003E609D" w:rsidP="00751C50">
      <w:pPr>
        <w:spacing w:line="480" w:lineRule="auto"/>
        <w:jc w:val="both"/>
        <w:rPr>
          <w:b/>
          <w:bCs/>
          <w:sz w:val="24"/>
          <w:szCs w:val="24"/>
          <w:lang w:val="en-US"/>
        </w:rPr>
      </w:pPr>
      <w:r w:rsidRPr="00B46026">
        <w:rPr>
          <w:b/>
          <w:bCs/>
          <w:sz w:val="24"/>
          <w:szCs w:val="24"/>
          <w:lang w:val="en-US"/>
        </w:rPr>
        <w:t>PCR genotyping</w:t>
      </w:r>
    </w:p>
    <w:p w14:paraId="38E0638A" w14:textId="40B86A34" w:rsidR="00E8214F" w:rsidRDefault="003E609D" w:rsidP="00751C50">
      <w:pPr>
        <w:spacing w:line="480" w:lineRule="auto"/>
        <w:jc w:val="both"/>
        <w:rPr>
          <w:b/>
          <w:bCs/>
          <w:sz w:val="24"/>
          <w:szCs w:val="24"/>
          <w:lang w:val="en-US"/>
        </w:rPr>
      </w:pPr>
      <w:r w:rsidRPr="0047094F">
        <w:rPr>
          <w:sz w:val="24"/>
          <w:szCs w:val="24"/>
          <w:lang w:val="en-US"/>
        </w:rPr>
        <w:t xml:space="preserve">For colony maintenance and gene deletion assessments, DNA was extracted from ear clips or isolated IECs (see IEC isolation method). Samples were incubated overnight at 56°C in </w:t>
      </w:r>
      <w:proofErr w:type="spellStart"/>
      <w:r w:rsidRPr="0047094F">
        <w:rPr>
          <w:sz w:val="24"/>
          <w:szCs w:val="24"/>
          <w:lang w:val="en-US"/>
        </w:rPr>
        <w:t>DirectPCR</w:t>
      </w:r>
      <w:proofErr w:type="spellEnd"/>
      <w:r w:rsidRPr="0047094F">
        <w:rPr>
          <w:sz w:val="24"/>
          <w:szCs w:val="24"/>
          <w:lang w:val="en-US"/>
        </w:rPr>
        <w:t xml:space="preserve"> (Tail) Lysis Reagent (</w:t>
      </w:r>
      <w:r>
        <w:rPr>
          <w:sz w:val="24"/>
          <w:szCs w:val="24"/>
          <w:lang w:val="en-US"/>
        </w:rPr>
        <w:t xml:space="preserve">102-T, </w:t>
      </w:r>
      <w:proofErr w:type="spellStart"/>
      <w:r w:rsidRPr="0047094F">
        <w:rPr>
          <w:sz w:val="24"/>
          <w:szCs w:val="24"/>
          <w:lang w:val="en-US"/>
        </w:rPr>
        <w:t>Viagen</w:t>
      </w:r>
      <w:proofErr w:type="spellEnd"/>
      <w:r>
        <w:rPr>
          <w:sz w:val="24"/>
          <w:szCs w:val="24"/>
          <w:lang w:val="en-US"/>
        </w:rPr>
        <w:t xml:space="preserve"> Biotech Inc., Los Angeles, California, USA</w:t>
      </w:r>
      <w:r w:rsidRPr="0047094F">
        <w:rPr>
          <w:sz w:val="24"/>
          <w:szCs w:val="24"/>
          <w:lang w:val="en-US"/>
        </w:rPr>
        <w:t>) supplemented with 0.2% (v/v) Proteinase K (</w:t>
      </w:r>
      <w:r>
        <w:rPr>
          <w:sz w:val="24"/>
          <w:szCs w:val="24"/>
          <w:lang w:val="en-US"/>
        </w:rPr>
        <w:t xml:space="preserve">1.07393, </w:t>
      </w:r>
      <w:r w:rsidRPr="0047094F">
        <w:rPr>
          <w:sz w:val="24"/>
          <w:szCs w:val="24"/>
          <w:lang w:val="en-US"/>
        </w:rPr>
        <w:t>Sigma-Aldrich,</w:t>
      </w:r>
      <w:r>
        <w:rPr>
          <w:sz w:val="24"/>
          <w:szCs w:val="24"/>
          <w:lang w:val="en-US"/>
        </w:rPr>
        <w:t xml:space="preserve"> St. Louis, Missouri, USA</w:t>
      </w:r>
      <w:r w:rsidRPr="0047094F">
        <w:rPr>
          <w:sz w:val="24"/>
          <w:szCs w:val="24"/>
          <w:lang w:val="en-US"/>
        </w:rPr>
        <w:t>), followed by heat inactivation at 85</w:t>
      </w:r>
      <w:r w:rsidRPr="0047094F">
        <w:rPr>
          <w:rFonts w:ascii="Arial" w:hAnsi="Arial" w:cs="Arial"/>
          <w:sz w:val="24"/>
          <w:szCs w:val="24"/>
          <w:lang w:val="en-US"/>
        </w:rPr>
        <w:t> </w:t>
      </w:r>
      <w:r w:rsidRPr="0047094F">
        <w:rPr>
          <w:rFonts w:ascii="Aptos" w:hAnsi="Aptos" w:cs="Aptos"/>
          <w:sz w:val="24"/>
          <w:szCs w:val="24"/>
          <w:lang w:val="en-US"/>
        </w:rPr>
        <w:t>°</w:t>
      </w:r>
      <w:r w:rsidRPr="0047094F">
        <w:rPr>
          <w:sz w:val="24"/>
          <w:szCs w:val="24"/>
          <w:lang w:val="en-US"/>
        </w:rPr>
        <w:t xml:space="preserve">C for 1 hour. PCR amplification was performed using </w:t>
      </w:r>
      <w:proofErr w:type="spellStart"/>
      <w:r w:rsidRPr="0047094F">
        <w:rPr>
          <w:sz w:val="24"/>
          <w:szCs w:val="24"/>
          <w:lang w:val="en-US"/>
        </w:rPr>
        <w:t>GoTaq</w:t>
      </w:r>
      <w:proofErr w:type="spellEnd"/>
      <w:r w:rsidRPr="0047094F">
        <w:rPr>
          <w:sz w:val="24"/>
          <w:szCs w:val="24"/>
          <w:lang w:val="en-US"/>
        </w:rPr>
        <w:t xml:space="preserve"> PCR Master Mix (</w:t>
      </w:r>
      <w:r>
        <w:rPr>
          <w:sz w:val="24"/>
          <w:szCs w:val="24"/>
          <w:lang w:val="en-US"/>
        </w:rPr>
        <w:t xml:space="preserve">M7122, </w:t>
      </w:r>
      <w:r w:rsidRPr="0047094F">
        <w:rPr>
          <w:sz w:val="24"/>
          <w:szCs w:val="24"/>
          <w:lang w:val="en-US"/>
        </w:rPr>
        <w:t>Promega</w:t>
      </w:r>
      <w:r>
        <w:rPr>
          <w:sz w:val="24"/>
          <w:szCs w:val="24"/>
          <w:lang w:val="en-US"/>
        </w:rPr>
        <w:t>, Madison, Wisconsin, USA</w:t>
      </w:r>
      <w:r w:rsidRPr="0047094F">
        <w:rPr>
          <w:sz w:val="24"/>
          <w:szCs w:val="24"/>
          <w:lang w:val="en-US"/>
        </w:rPr>
        <w:t>) according to the manufacturer</w:t>
      </w:r>
      <w:r w:rsidRPr="0047094F">
        <w:rPr>
          <w:rFonts w:ascii="Aptos" w:hAnsi="Aptos" w:cs="Aptos"/>
          <w:sz w:val="24"/>
          <w:szCs w:val="24"/>
          <w:lang w:val="en-US"/>
        </w:rPr>
        <w:t>’</w:t>
      </w:r>
      <w:r w:rsidRPr="0047094F">
        <w:rPr>
          <w:sz w:val="24"/>
          <w:szCs w:val="24"/>
          <w:lang w:val="en-US"/>
        </w:rPr>
        <w:t xml:space="preserve">s protocol. Primers for </w:t>
      </w:r>
      <w:r w:rsidRPr="0047094F">
        <w:rPr>
          <w:i/>
          <w:iCs/>
          <w:sz w:val="24"/>
          <w:szCs w:val="24"/>
          <w:lang w:val="en-US"/>
        </w:rPr>
        <w:t>Becn1</w:t>
      </w:r>
      <w:r w:rsidRPr="0047094F">
        <w:rPr>
          <w:sz w:val="24"/>
          <w:szCs w:val="24"/>
          <w:lang w:val="en-US"/>
        </w:rPr>
        <w:t xml:space="preserve"> reactions were as follows: “</w:t>
      </w:r>
      <w:proofErr w:type="spellStart"/>
      <w:r w:rsidRPr="0047094F">
        <w:rPr>
          <w:sz w:val="24"/>
          <w:szCs w:val="24"/>
          <w:lang w:val="en-US"/>
        </w:rPr>
        <w:t>Beclin</w:t>
      </w:r>
      <w:proofErr w:type="spellEnd"/>
      <w:r w:rsidRPr="0047094F">
        <w:rPr>
          <w:sz w:val="24"/>
          <w:szCs w:val="24"/>
          <w:lang w:val="en-US"/>
        </w:rPr>
        <w:t xml:space="preserve"> floxed forward” - 5′CTG ATC CTG CAG CTT GCA GAT TAG C3′, “</w:t>
      </w:r>
      <w:proofErr w:type="spellStart"/>
      <w:r w:rsidRPr="0047094F">
        <w:rPr>
          <w:sz w:val="24"/>
          <w:szCs w:val="24"/>
          <w:lang w:val="en-US"/>
        </w:rPr>
        <w:t>Beclin</w:t>
      </w:r>
      <w:proofErr w:type="spellEnd"/>
      <w:r w:rsidRPr="0047094F">
        <w:rPr>
          <w:sz w:val="24"/>
          <w:szCs w:val="24"/>
          <w:lang w:val="en-US"/>
        </w:rPr>
        <w:t xml:space="preserve"> floxed reverse” - 5′CAC CAC TGC CTG GCT AAA CAA GAG C3′, “</w:t>
      </w:r>
      <w:proofErr w:type="spellStart"/>
      <w:r w:rsidRPr="0047094F">
        <w:rPr>
          <w:sz w:val="24"/>
          <w:szCs w:val="24"/>
          <w:lang w:val="en-US"/>
        </w:rPr>
        <w:t>Beclin</w:t>
      </w:r>
      <w:proofErr w:type="spellEnd"/>
      <w:r w:rsidRPr="0047094F">
        <w:rPr>
          <w:sz w:val="24"/>
          <w:szCs w:val="24"/>
          <w:lang w:val="en-US"/>
        </w:rPr>
        <w:t xml:space="preserve"> KO reverse”- 5′CTA TAG AAG AAA GGA CTG TTG TGA AC3′.</w:t>
      </w:r>
      <w:r w:rsidRPr="0047094F">
        <w:rPr>
          <w:sz w:val="24"/>
          <w:szCs w:val="24"/>
        </w:rPr>
        <w:t xml:space="preserve"> </w:t>
      </w:r>
      <w:r w:rsidRPr="0047094F">
        <w:rPr>
          <w:sz w:val="24"/>
          <w:szCs w:val="24"/>
          <w:lang w:val="en-US"/>
        </w:rPr>
        <w:t xml:space="preserve">Primers for </w:t>
      </w:r>
      <w:r w:rsidRPr="0047094F">
        <w:rPr>
          <w:i/>
          <w:iCs/>
          <w:sz w:val="24"/>
          <w:szCs w:val="24"/>
          <w:lang w:val="en-US"/>
        </w:rPr>
        <w:t>Vil1-CreERT2</w:t>
      </w:r>
      <w:r w:rsidRPr="0047094F">
        <w:rPr>
          <w:sz w:val="24"/>
          <w:szCs w:val="24"/>
          <w:lang w:val="en-US"/>
        </w:rPr>
        <w:t xml:space="preserve"> reactions are as follows: F: 5′CAA GCC TGG CTC GAC GGC C3′, R: 5′CGC GAA CAT CTT CAG GTT CT3′. All primers were purchased from Integrated DNA Technologies as single stranded sequences purified by standard desalting and were resuspended at 10 OD/ml in nuclease-free H2O as working stock solutions. Reactions were cycled as follow: </w:t>
      </w:r>
      <w:r w:rsidRPr="0047094F">
        <w:rPr>
          <w:i/>
          <w:iCs/>
          <w:sz w:val="24"/>
          <w:szCs w:val="24"/>
          <w:lang w:val="en-US"/>
        </w:rPr>
        <w:t xml:space="preserve">Becn1 </w:t>
      </w:r>
      <w:r w:rsidRPr="0047094F">
        <w:rPr>
          <w:sz w:val="24"/>
          <w:szCs w:val="24"/>
          <w:lang w:val="en-US"/>
        </w:rPr>
        <w:t xml:space="preserve">(Step 1: 94° C for 4 minutes, Step 2: 94° C for 30 seconds, Step 3: 55° C for 30 seconds, Step 4: 72° C for 1 minute, Step 5: Repeat steps 2-4 for an additional 29 times, Step 6: 72° C for 5 minutes, Step 7: Hold at 4° C) and </w:t>
      </w:r>
      <w:r w:rsidRPr="0047094F">
        <w:rPr>
          <w:i/>
          <w:iCs/>
          <w:sz w:val="24"/>
          <w:szCs w:val="24"/>
          <w:lang w:val="en-US"/>
        </w:rPr>
        <w:t>Vil1-CreERT2</w:t>
      </w:r>
      <w:r w:rsidRPr="0047094F">
        <w:rPr>
          <w:sz w:val="24"/>
          <w:szCs w:val="24"/>
          <w:lang w:val="en-US"/>
        </w:rPr>
        <w:t xml:space="preserve"> (Step 1: 95° C for 5 minutes, Step 2: 94° C for 45 seconds, Step 3: 62° C for 25 seconds, Step 4: 72° C for 1.15 minute, Step 5: Repeat steps 2-4 for an additional 34 times, Step 6: 72° C for 5 minutes, Step 7: Hold at 4° C). Reaction products were electrophoresed on 1.5% (w/v) agarose gels containing SYBR</w:t>
      </w:r>
      <w:r w:rsidRPr="0047094F">
        <w:rPr>
          <w:sz w:val="24"/>
          <w:szCs w:val="24"/>
          <w:vertAlign w:val="superscript"/>
          <w:lang w:val="en-US"/>
        </w:rPr>
        <w:t>TM</w:t>
      </w:r>
      <w:r w:rsidRPr="0047094F">
        <w:rPr>
          <w:sz w:val="24"/>
          <w:szCs w:val="24"/>
          <w:lang w:val="en-US"/>
        </w:rPr>
        <w:t xml:space="preserve"> Safe DNA </w:t>
      </w:r>
      <w:r w:rsidRPr="0047094F">
        <w:rPr>
          <w:sz w:val="24"/>
          <w:szCs w:val="24"/>
          <w:lang w:val="en-US"/>
        </w:rPr>
        <w:lastRenderedPageBreak/>
        <w:t>Gel Stain (</w:t>
      </w:r>
      <w:r>
        <w:rPr>
          <w:sz w:val="24"/>
          <w:szCs w:val="24"/>
          <w:lang w:val="en-US"/>
        </w:rPr>
        <w:t xml:space="preserve">S33102, </w:t>
      </w:r>
      <w:proofErr w:type="spellStart"/>
      <w:r w:rsidRPr="0047094F">
        <w:rPr>
          <w:sz w:val="24"/>
          <w:szCs w:val="24"/>
          <w:lang w:val="en-US"/>
        </w:rPr>
        <w:t>Invitrogen</w:t>
      </w:r>
      <w:r w:rsidRPr="0047094F">
        <w:rPr>
          <w:sz w:val="24"/>
          <w:szCs w:val="24"/>
          <w:vertAlign w:val="superscript"/>
          <w:lang w:val="en-US"/>
        </w:rPr>
        <w:t>TM</w:t>
      </w:r>
      <w:proofErr w:type="spellEnd"/>
      <w:r>
        <w:rPr>
          <w:sz w:val="24"/>
          <w:szCs w:val="24"/>
          <w:lang w:val="en-US"/>
        </w:rPr>
        <w:t>, Waltham, Massachusetts, USA</w:t>
      </w:r>
      <w:r w:rsidRPr="0047094F">
        <w:rPr>
          <w:sz w:val="24"/>
          <w:szCs w:val="24"/>
          <w:lang w:val="en-US"/>
        </w:rPr>
        <w:t>) diluted at 20</w:t>
      </w:r>
      <w:r>
        <w:rPr>
          <w:sz w:val="24"/>
          <w:szCs w:val="24"/>
          <w:lang w:val="en-US"/>
        </w:rPr>
        <w:t xml:space="preserve"> </w:t>
      </w:r>
      <w:r w:rsidRPr="0047094F">
        <w:rPr>
          <w:sz w:val="24"/>
          <w:szCs w:val="24"/>
          <w:lang w:val="en-US"/>
        </w:rPr>
        <w:t xml:space="preserve">000x in TAE buffer (40mM Tris Base, 20mM glacial acetic acid, 1mM EDTA). In all gels, 1 </w:t>
      </w:r>
      <w:proofErr w:type="spellStart"/>
      <w:r w:rsidRPr="0047094F">
        <w:rPr>
          <w:sz w:val="24"/>
          <w:szCs w:val="24"/>
          <w:lang w:val="en-US"/>
        </w:rPr>
        <w:t>Kb</w:t>
      </w:r>
      <w:proofErr w:type="spellEnd"/>
      <w:r w:rsidRPr="0047094F">
        <w:rPr>
          <w:sz w:val="24"/>
          <w:szCs w:val="24"/>
          <w:lang w:val="en-US"/>
        </w:rPr>
        <w:t xml:space="preserve"> Plus DNA Ladder (</w:t>
      </w:r>
      <w:r>
        <w:rPr>
          <w:sz w:val="24"/>
          <w:szCs w:val="24"/>
          <w:lang w:val="en-US"/>
        </w:rPr>
        <w:t xml:space="preserve">10787018, </w:t>
      </w:r>
      <w:proofErr w:type="spellStart"/>
      <w:r w:rsidRPr="0047094F">
        <w:rPr>
          <w:sz w:val="24"/>
          <w:szCs w:val="24"/>
          <w:lang w:val="en-US"/>
        </w:rPr>
        <w:t>Invitrogen</w:t>
      </w:r>
      <w:r w:rsidRPr="0047094F">
        <w:rPr>
          <w:sz w:val="24"/>
          <w:szCs w:val="24"/>
          <w:vertAlign w:val="superscript"/>
          <w:lang w:val="en-US"/>
        </w:rPr>
        <w:t>TM</w:t>
      </w:r>
      <w:proofErr w:type="spellEnd"/>
      <w:r>
        <w:rPr>
          <w:sz w:val="24"/>
          <w:szCs w:val="24"/>
          <w:lang w:val="en-US"/>
        </w:rPr>
        <w:t>, Waltham, Massachusetts, USA</w:t>
      </w:r>
      <w:r w:rsidRPr="0047094F">
        <w:rPr>
          <w:sz w:val="24"/>
          <w:szCs w:val="24"/>
          <w:lang w:val="en-US"/>
        </w:rPr>
        <w:t xml:space="preserve">) was used as a marker for DNA migration according to size. DNA was </w:t>
      </w:r>
      <w:proofErr w:type="spellStart"/>
      <w:r w:rsidRPr="0047094F">
        <w:rPr>
          <w:sz w:val="24"/>
          <w:szCs w:val="24"/>
          <w:lang w:val="en-US"/>
        </w:rPr>
        <w:t>visualised</w:t>
      </w:r>
      <w:proofErr w:type="spellEnd"/>
      <w:r w:rsidRPr="0047094F">
        <w:rPr>
          <w:sz w:val="24"/>
          <w:szCs w:val="24"/>
          <w:lang w:val="en-US"/>
        </w:rPr>
        <w:t xml:space="preserve"> </w:t>
      </w:r>
      <w:r w:rsidRPr="0047094F">
        <w:rPr>
          <w:i/>
          <w:iCs/>
          <w:sz w:val="24"/>
          <w:szCs w:val="24"/>
          <w:lang w:val="en-US"/>
        </w:rPr>
        <w:t>via</w:t>
      </w:r>
      <w:r w:rsidRPr="0047094F">
        <w:rPr>
          <w:sz w:val="24"/>
          <w:szCs w:val="24"/>
          <w:lang w:val="en-US"/>
        </w:rPr>
        <w:t xml:space="preserve"> UV excitation using the </w:t>
      </w:r>
      <w:proofErr w:type="spellStart"/>
      <w:r w:rsidRPr="0047094F">
        <w:rPr>
          <w:sz w:val="24"/>
          <w:szCs w:val="24"/>
          <w:lang w:val="en-US"/>
        </w:rPr>
        <w:t>ChemiDoc</w:t>
      </w:r>
      <w:r w:rsidRPr="0047094F">
        <w:rPr>
          <w:sz w:val="24"/>
          <w:szCs w:val="24"/>
          <w:vertAlign w:val="superscript"/>
          <w:lang w:val="en-US"/>
        </w:rPr>
        <w:t>TM</w:t>
      </w:r>
      <w:proofErr w:type="spellEnd"/>
      <w:r w:rsidRPr="0047094F">
        <w:rPr>
          <w:sz w:val="24"/>
          <w:szCs w:val="24"/>
          <w:lang w:val="en-US"/>
        </w:rPr>
        <w:t xml:space="preserve"> Imaging System (Bio-Rad</w:t>
      </w:r>
      <w:r>
        <w:rPr>
          <w:sz w:val="24"/>
          <w:szCs w:val="24"/>
          <w:lang w:val="en-US"/>
        </w:rPr>
        <w:t xml:space="preserve"> Laboratories, Hercules, California, USA</w:t>
      </w:r>
      <w:r w:rsidRPr="0047094F">
        <w:rPr>
          <w:sz w:val="24"/>
          <w:szCs w:val="24"/>
          <w:lang w:val="en-US"/>
        </w:rPr>
        <w:t>) and images processed with Image Lab (Bio-Rad</w:t>
      </w:r>
      <w:r>
        <w:rPr>
          <w:sz w:val="24"/>
          <w:szCs w:val="24"/>
          <w:lang w:val="en-US"/>
        </w:rPr>
        <w:t xml:space="preserve"> Laboratories, Hercules, California, USA</w:t>
      </w:r>
      <w:r w:rsidRPr="0047094F">
        <w:rPr>
          <w:sz w:val="24"/>
          <w:szCs w:val="24"/>
          <w:lang w:val="en-US"/>
        </w:rPr>
        <w:t>).</w:t>
      </w:r>
    </w:p>
    <w:p w14:paraId="1C957751" w14:textId="77777777" w:rsidR="00E8214F" w:rsidRDefault="00E8214F" w:rsidP="00751C50">
      <w:pPr>
        <w:spacing w:line="480" w:lineRule="auto"/>
        <w:jc w:val="both"/>
        <w:rPr>
          <w:b/>
          <w:bCs/>
          <w:sz w:val="24"/>
          <w:szCs w:val="24"/>
          <w:lang w:val="en-US"/>
        </w:rPr>
      </w:pPr>
    </w:p>
    <w:p w14:paraId="518D38D9" w14:textId="135770F7" w:rsidR="007909D7" w:rsidRPr="0047094F" w:rsidRDefault="007909D7" w:rsidP="00751C50">
      <w:pPr>
        <w:spacing w:line="480" w:lineRule="auto"/>
        <w:jc w:val="both"/>
        <w:rPr>
          <w:b/>
          <w:bCs/>
          <w:sz w:val="24"/>
          <w:szCs w:val="24"/>
          <w:lang w:val="en-US"/>
        </w:rPr>
      </w:pPr>
      <w:r w:rsidRPr="0047094F">
        <w:rPr>
          <w:b/>
          <w:bCs/>
          <w:sz w:val="24"/>
          <w:szCs w:val="24"/>
          <w:lang w:val="en-US"/>
        </w:rPr>
        <w:t>Quantitative image analysis</w:t>
      </w:r>
    </w:p>
    <w:p w14:paraId="31CABAA5" w14:textId="31ADEAD6" w:rsidR="007909D7" w:rsidRPr="0047094F" w:rsidRDefault="007909D7" w:rsidP="00751C50">
      <w:pPr>
        <w:spacing w:line="480" w:lineRule="auto"/>
        <w:jc w:val="both"/>
        <w:rPr>
          <w:sz w:val="24"/>
          <w:szCs w:val="24"/>
          <w:lang w:val="en-US"/>
        </w:rPr>
      </w:pPr>
      <w:r w:rsidRPr="0047094F">
        <w:rPr>
          <w:sz w:val="24"/>
          <w:szCs w:val="24"/>
          <w:lang w:val="en-US"/>
        </w:rPr>
        <w:t xml:space="preserve">Quantification of the histological colitis score (HCS) was performed using the Aperio </w:t>
      </w:r>
      <w:proofErr w:type="spellStart"/>
      <w:r w:rsidRPr="0047094F">
        <w:rPr>
          <w:sz w:val="24"/>
          <w:szCs w:val="24"/>
          <w:lang w:val="en-US"/>
        </w:rPr>
        <w:t>ImageScope</w:t>
      </w:r>
      <w:proofErr w:type="spellEnd"/>
      <w:r w:rsidRPr="0047094F">
        <w:rPr>
          <w:sz w:val="24"/>
          <w:szCs w:val="24"/>
          <w:lang w:val="en-US"/>
        </w:rPr>
        <w:t xml:space="preserve"> system (v12.4.2.5010), following the method outlined </w:t>
      </w:r>
      <w:r w:rsidR="0050099D">
        <w:rPr>
          <w:sz w:val="24"/>
          <w:szCs w:val="24"/>
          <w:lang w:val="en-US"/>
        </w:rPr>
        <w:t xml:space="preserve">in </w:t>
      </w:r>
      <w:r w:rsidR="00667BD6">
        <w:rPr>
          <w:sz w:val="24"/>
          <w:szCs w:val="24"/>
          <w:lang w:val="en-US"/>
        </w:rPr>
        <w:t>(47)</w:t>
      </w:r>
      <w:r w:rsidRPr="0047094F">
        <w:rPr>
          <w:sz w:val="24"/>
          <w:szCs w:val="24"/>
          <w:lang w:val="en-US"/>
        </w:rPr>
        <w:t xml:space="preserve">. Briefly, three distinct layers were defined using different </w:t>
      </w:r>
      <w:proofErr w:type="spellStart"/>
      <w:r w:rsidRPr="0047094F">
        <w:rPr>
          <w:sz w:val="24"/>
          <w:szCs w:val="24"/>
          <w:lang w:val="en-US"/>
        </w:rPr>
        <w:t>colours</w:t>
      </w:r>
      <w:proofErr w:type="spellEnd"/>
      <w:r w:rsidRPr="0047094F">
        <w:rPr>
          <w:sz w:val="24"/>
          <w:szCs w:val="24"/>
          <w:lang w:val="en-US"/>
        </w:rPr>
        <w:t>: total tissue length, areas of inflammation/injury and areas of erosion/ulceration. The “Pen” tool was used to manually outline the tissue, and the length of each category was measured. The sum of the total segment lengths for each region were then computed, and the percentage of injury and ulceration relative to total length was calculated. HCS was determined using the following formula, based on the assumption that complete epithelial loss (i.e. erosion or ulceration) leads to maximal barrier dysfunction and worsened disease outcomes:</w:t>
      </w:r>
    </w:p>
    <w:p w14:paraId="49670F4D" w14:textId="77777777" w:rsidR="007909D7" w:rsidRPr="0047094F" w:rsidRDefault="007909D7" w:rsidP="00751C50">
      <w:pPr>
        <w:spacing w:line="480" w:lineRule="auto"/>
        <w:jc w:val="both"/>
        <w:rPr>
          <w:rFonts w:eastAsiaTheme="minorEastAsia"/>
          <w:sz w:val="24"/>
          <w:szCs w:val="24"/>
          <w:lang w:val="en-US"/>
        </w:rPr>
      </w:pPr>
      <m:oMathPara>
        <m:oMath>
          <m:r>
            <w:rPr>
              <w:rFonts w:ascii="Cambria Math" w:hAnsi="Cambria Math"/>
              <w:sz w:val="24"/>
              <w:szCs w:val="24"/>
              <w:lang w:val="en-US"/>
            </w:rPr>
            <m:t>HCS=</m:t>
          </m:r>
          <m:f>
            <m:fPr>
              <m:ctrlPr>
                <w:rPr>
                  <w:rFonts w:ascii="Cambria Math" w:hAnsi="Cambria Math"/>
                  <w:i/>
                  <w:sz w:val="24"/>
                  <w:szCs w:val="24"/>
                  <w:lang w:val="en-US"/>
                </w:rPr>
              </m:ctrlPr>
            </m:fPr>
            <m:num>
              <m:r>
                <w:rPr>
                  <w:rFonts w:ascii="Cambria Math" w:hAnsi="Cambria Math"/>
                  <w:sz w:val="24"/>
                  <w:szCs w:val="24"/>
                  <w:lang w:val="en-US"/>
                </w:rPr>
                <m:t>%inflammation or injury+2</m:t>
              </m:r>
              <m:d>
                <m:dPr>
                  <m:ctrlPr>
                    <w:rPr>
                      <w:rFonts w:ascii="Cambria Math" w:hAnsi="Cambria Math"/>
                      <w:i/>
                      <w:sz w:val="24"/>
                      <w:szCs w:val="24"/>
                      <w:lang w:val="en-US"/>
                    </w:rPr>
                  </m:ctrlPr>
                </m:dPr>
                <m:e>
                  <m:r>
                    <w:rPr>
                      <w:rFonts w:ascii="Cambria Math" w:hAnsi="Cambria Math"/>
                      <w:sz w:val="24"/>
                      <w:szCs w:val="24"/>
                      <w:lang w:val="en-US"/>
                    </w:rPr>
                    <m:t>%erosion or ulceration</m:t>
                  </m:r>
                </m:e>
              </m:d>
            </m:num>
            <m:den>
              <m:r>
                <w:rPr>
                  <w:rFonts w:ascii="Cambria Math" w:hAnsi="Cambria Math"/>
                  <w:sz w:val="24"/>
                  <w:szCs w:val="24"/>
                  <w:lang w:val="en-US"/>
                </w:rPr>
                <m:t>10</m:t>
              </m:r>
            </m:den>
          </m:f>
          <m:r>
            <w:rPr>
              <w:rFonts w:ascii="Cambria Math" w:hAnsi="Cambria Math"/>
              <w:sz w:val="24"/>
              <w:szCs w:val="24"/>
              <w:lang w:val="en-US"/>
            </w:rPr>
            <m:t xml:space="preserve">  </m:t>
          </m:r>
        </m:oMath>
      </m:oMathPara>
    </w:p>
    <w:p w14:paraId="11C2E221" w14:textId="77777777" w:rsidR="007909D7" w:rsidRPr="0047094F" w:rsidRDefault="007909D7" w:rsidP="00751C50">
      <w:pPr>
        <w:spacing w:line="480" w:lineRule="auto"/>
        <w:jc w:val="both"/>
        <w:rPr>
          <w:rFonts w:eastAsiaTheme="minorEastAsia"/>
          <w:sz w:val="24"/>
          <w:szCs w:val="24"/>
          <w:lang w:val="en-US"/>
        </w:rPr>
      </w:pPr>
      <w:r w:rsidRPr="0047094F">
        <w:rPr>
          <w:rFonts w:eastAsiaTheme="minorEastAsia"/>
          <w:sz w:val="24"/>
          <w:szCs w:val="24"/>
          <w:lang w:val="en-US"/>
        </w:rPr>
        <w:t xml:space="preserve">For goblet cell theca area quantification, individual goblet cell theca areas were manually outlined using the “Pen” tool in Aperio </w:t>
      </w:r>
      <w:proofErr w:type="spellStart"/>
      <w:r w:rsidRPr="0047094F">
        <w:rPr>
          <w:rFonts w:eastAsiaTheme="minorEastAsia"/>
          <w:sz w:val="24"/>
          <w:szCs w:val="24"/>
          <w:lang w:val="en-US"/>
        </w:rPr>
        <w:t>ImageScope</w:t>
      </w:r>
      <w:proofErr w:type="spellEnd"/>
      <w:r w:rsidRPr="0047094F">
        <w:rPr>
          <w:rFonts w:eastAsiaTheme="minorEastAsia"/>
          <w:sz w:val="24"/>
          <w:szCs w:val="24"/>
          <w:lang w:val="en-US"/>
        </w:rPr>
        <w:t xml:space="preserve"> v12.4.2.5010. The average area per goblet cell was determined by measuring &gt;100 goblet cells per animal.</w:t>
      </w:r>
    </w:p>
    <w:p w14:paraId="7C69C7B4" w14:textId="77777777" w:rsidR="007909D7" w:rsidRPr="0047094F" w:rsidRDefault="007909D7" w:rsidP="00751C50">
      <w:pPr>
        <w:spacing w:line="480" w:lineRule="auto"/>
        <w:jc w:val="both"/>
        <w:rPr>
          <w:rFonts w:eastAsiaTheme="minorEastAsia"/>
          <w:sz w:val="24"/>
          <w:szCs w:val="24"/>
          <w:lang w:val="en-US"/>
        </w:rPr>
      </w:pPr>
      <w:r w:rsidRPr="0047094F">
        <w:rPr>
          <w:rFonts w:eastAsiaTheme="minorEastAsia"/>
          <w:sz w:val="24"/>
          <w:szCs w:val="24"/>
          <w:lang w:val="en-US"/>
        </w:rPr>
        <w:lastRenderedPageBreak/>
        <w:t xml:space="preserve">For quantification of </w:t>
      </w:r>
      <w:proofErr w:type="spellStart"/>
      <w:r w:rsidRPr="0047094F">
        <w:rPr>
          <w:rFonts w:eastAsiaTheme="minorEastAsia"/>
          <w:sz w:val="24"/>
          <w:szCs w:val="24"/>
          <w:lang w:val="en-US"/>
        </w:rPr>
        <w:t>PAS-AB</w:t>
      </w:r>
      <w:r w:rsidRPr="0047094F">
        <w:rPr>
          <w:rFonts w:eastAsiaTheme="minorEastAsia"/>
          <w:sz w:val="24"/>
          <w:szCs w:val="24"/>
          <w:vertAlign w:val="superscript"/>
          <w:lang w:val="en-US"/>
        </w:rPr>
        <w:t>+ve</w:t>
      </w:r>
      <w:proofErr w:type="spellEnd"/>
      <w:r w:rsidRPr="0047094F">
        <w:rPr>
          <w:rFonts w:eastAsiaTheme="minorEastAsia"/>
          <w:sz w:val="24"/>
          <w:szCs w:val="24"/>
          <w:lang w:val="en-US"/>
        </w:rPr>
        <w:t xml:space="preserve"> staining in the upper or lower crypts, only fully visible crypts were included in the analysis. </w:t>
      </w:r>
      <w:proofErr w:type="spellStart"/>
      <w:r w:rsidRPr="0047094F">
        <w:rPr>
          <w:rFonts w:eastAsiaTheme="minorEastAsia"/>
          <w:sz w:val="24"/>
          <w:szCs w:val="24"/>
          <w:lang w:val="en-US"/>
        </w:rPr>
        <w:t>PAS-AB</w:t>
      </w:r>
      <w:r w:rsidRPr="0047094F">
        <w:rPr>
          <w:rFonts w:eastAsiaTheme="minorEastAsia"/>
          <w:sz w:val="24"/>
          <w:szCs w:val="24"/>
          <w:vertAlign w:val="superscript"/>
          <w:lang w:val="en-US"/>
        </w:rPr>
        <w:t>+ve</w:t>
      </w:r>
      <w:proofErr w:type="spellEnd"/>
      <w:r w:rsidRPr="0047094F">
        <w:rPr>
          <w:rFonts w:eastAsiaTheme="minorEastAsia"/>
          <w:sz w:val="24"/>
          <w:szCs w:val="24"/>
          <w:lang w:val="en-US"/>
        </w:rPr>
        <w:t xml:space="preserve"> stained regions in the top or bottom half of the crypt were manually outlined and measured using the “Pen” tool in Aperio </w:t>
      </w:r>
      <w:proofErr w:type="spellStart"/>
      <w:r w:rsidRPr="0047094F">
        <w:rPr>
          <w:rFonts w:eastAsiaTheme="minorEastAsia"/>
          <w:sz w:val="24"/>
          <w:szCs w:val="24"/>
          <w:lang w:val="en-US"/>
        </w:rPr>
        <w:t>ImageScope</w:t>
      </w:r>
      <w:proofErr w:type="spellEnd"/>
      <w:r w:rsidRPr="0047094F">
        <w:rPr>
          <w:rFonts w:eastAsiaTheme="minorEastAsia"/>
          <w:sz w:val="24"/>
          <w:szCs w:val="24"/>
          <w:lang w:val="en-US"/>
        </w:rPr>
        <w:t>.</w:t>
      </w:r>
    </w:p>
    <w:p w14:paraId="011F3BAE" w14:textId="3F2BA441" w:rsidR="007909D7" w:rsidRPr="0047094F" w:rsidRDefault="007909D7" w:rsidP="00751C50">
      <w:pPr>
        <w:spacing w:line="480" w:lineRule="auto"/>
        <w:jc w:val="both"/>
        <w:rPr>
          <w:rFonts w:eastAsiaTheme="minorEastAsia"/>
          <w:sz w:val="24"/>
          <w:szCs w:val="24"/>
          <w:lang w:val="en-US"/>
        </w:rPr>
      </w:pPr>
      <w:r w:rsidRPr="0047094F">
        <w:rPr>
          <w:rFonts w:eastAsiaTheme="minorEastAsia"/>
          <w:sz w:val="24"/>
          <w:szCs w:val="24"/>
          <w:lang w:val="en-US"/>
        </w:rPr>
        <w:t xml:space="preserve">For quantification of </w:t>
      </w:r>
      <w:proofErr w:type="spellStart"/>
      <w:r w:rsidRPr="0047094F">
        <w:rPr>
          <w:rFonts w:eastAsiaTheme="minorEastAsia"/>
          <w:sz w:val="24"/>
          <w:szCs w:val="24"/>
          <w:lang w:val="en-US"/>
        </w:rPr>
        <w:t>PAS-AB</w:t>
      </w:r>
      <w:r w:rsidRPr="0047094F">
        <w:rPr>
          <w:rFonts w:eastAsiaTheme="minorEastAsia"/>
          <w:sz w:val="24"/>
          <w:szCs w:val="24"/>
          <w:vertAlign w:val="superscript"/>
          <w:lang w:val="en-US"/>
        </w:rPr>
        <w:t>+ve</w:t>
      </w:r>
      <w:proofErr w:type="spellEnd"/>
      <w:r w:rsidRPr="0047094F">
        <w:rPr>
          <w:rFonts w:eastAsiaTheme="minorEastAsia"/>
          <w:sz w:val="24"/>
          <w:szCs w:val="24"/>
          <w:lang w:val="en-US"/>
        </w:rPr>
        <w:t xml:space="preserve"> staining in the colon epithelium, analysis was performed using Fiji ImageJ. </w:t>
      </w:r>
      <w:r w:rsidR="00AD0071">
        <w:rPr>
          <w:rFonts w:eastAsiaTheme="minorEastAsia"/>
          <w:sz w:val="24"/>
          <w:szCs w:val="24"/>
          <w:lang w:val="en-US"/>
        </w:rPr>
        <w:t xml:space="preserve">The length of the muscularis mucosae was measured using the Line tool to obtain a reference length for normalization. </w:t>
      </w:r>
      <w:r w:rsidRPr="0047094F">
        <w:rPr>
          <w:rFonts w:eastAsiaTheme="minorEastAsia"/>
          <w:sz w:val="24"/>
          <w:szCs w:val="24"/>
          <w:lang w:val="en-US"/>
        </w:rPr>
        <w:t>The areas of interest (i.e</w:t>
      </w:r>
      <w:r w:rsidR="0050099D">
        <w:rPr>
          <w:rFonts w:eastAsiaTheme="minorEastAsia"/>
          <w:sz w:val="24"/>
          <w:szCs w:val="24"/>
          <w:lang w:val="en-US"/>
        </w:rPr>
        <w:t>.</w:t>
      </w:r>
      <w:r w:rsidRPr="0047094F">
        <w:rPr>
          <w:rFonts w:eastAsiaTheme="minorEastAsia"/>
          <w:sz w:val="24"/>
          <w:szCs w:val="24"/>
          <w:lang w:val="en-US"/>
        </w:rPr>
        <w:t xml:space="preserve"> distal colon) were isolated by defining a Region of Interest (ROI). </w:t>
      </w:r>
      <w:proofErr w:type="spellStart"/>
      <w:r w:rsidRPr="0047094F">
        <w:rPr>
          <w:rFonts w:eastAsiaTheme="minorEastAsia"/>
          <w:sz w:val="24"/>
          <w:szCs w:val="24"/>
          <w:lang w:val="en-US"/>
        </w:rPr>
        <w:t>Colour</w:t>
      </w:r>
      <w:proofErr w:type="spellEnd"/>
      <w:r w:rsidRPr="0047094F">
        <w:rPr>
          <w:rFonts w:eastAsiaTheme="minorEastAsia"/>
          <w:sz w:val="24"/>
          <w:szCs w:val="24"/>
          <w:lang w:val="en-US"/>
        </w:rPr>
        <w:t xml:space="preserve"> deconvolution was applied using the “</w:t>
      </w:r>
      <w:proofErr w:type="spellStart"/>
      <w:r w:rsidRPr="0047094F">
        <w:rPr>
          <w:rFonts w:eastAsiaTheme="minorEastAsia"/>
          <w:sz w:val="24"/>
          <w:szCs w:val="24"/>
          <w:lang w:val="en-US"/>
        </w:rPr>
        <w:t>Colour</w:t>
      </w:r>
      <w:proofErr w:type="spellEnd"/>
      <w:r w:rsidRPr="0047094F">
        <w:rPr>
          <w:rFonts w:eastAsiaTheme="minorEastAsia"/>
          <w:sz w:val="24"/>
          <w:szCs w:val="24"/>
          <w:lang w:val="en-US"/>
        </w:rPr>
        <w:t xml:space="preserve"> Deconvolution 2” tool to separate </w:t>
      </w:r>
      <w:proofErr w:type="spellStart"/>
      <w:r w:rsidRPr="0047094F">
        <w:rPr>
          <w:rFonts w:eastAsiaTheme="minorEastAsia"/>
          <w:sz w:val="24"/>
          <w:szCs w:val="24"/>
          <w:lang w:val="en-US"/>
        </w:rPr>
        <w:t>PAS</w:t>
      </w:r>
      <w:r w:rsidRPr="0047094F">
        <w:rPr>
          <w:rFonts w:eastAsiaTheme="minorEastAsia"/>
          <w:sz w:val="24"/>
          <w:szCs w:val="24"/>
          <w:vertAlign w:val="superscript"/>
          <w:lang w:val="en-US"/>
        </w:rPr>
        <w:t>+ve</w:t>
      </w:r>
      <w:proofErr w:type="spellEnd"/>
      <w:r w:rsidRPr="0047094F">
        <w:rPr>
          <w:rFonts w:eastAsiaTheme="minorEastAsia"/>
          <w:sz w:val="24"/>
          <w:szCs w:val="24"/>
          <w:lang w:val="en-US"/>
        </w:rPr>
        <w:t xml:space="preserve">, </w:t>
      </w:r>
      <w:proofErr w:type="spellStart"/>
      <w:r w:rsidRPr="0047094F">
        <w:rPr>
          <w:rFonts w:eastAsiaTheme="minorEastAsia"/>
          <w:sz w:val="24"/>
          <w:szCs w:val="24"/>
          <w:lang w:val="en-US"/>
        </w:rPr>
        <w:t>AB</w:t>
      </w:r>
      <w:r w:rsidRPr="0047094F">
        <w:rPr>
          <w:rFonts w:eastAsiaTheme="minorEastAsia"/>
          <w:sz w:val="24"/>
          <w:szCs w:val="24"/>
          <w:vertAlign w:val="superscript"/>
          <w:lang w:val="en-US"/>
        </w:rPr>
        <w:t>+ve</w:t>
      </w:r>
      <w:proofErr w:type="spellEnd"/>
      <w:r w:rsidRPr="0047094F">
        <w:rPr>
          <w:rFonts w:eastAsiaTheme="minorEastAsia"/>
          <w:sz w:val="24"/>
          <w:szCs w:val="24"/>
          <w:lang w:val="en-US"/>
        </w:rPr>
        <w:t xml:space="preserve">, and </w:t>
      </w:r>
      <w:proofErr w:type="spellStart"/>
      <w:r w:rsidRPr="0047094F">
        <w:rPr>
          <w:rFonts w:eastAsiaTheme="minorEastAsia"/>
          <w:sz w:val="24"/>
          <w:szCs w:val="24"/>
          <w:lang w:val="en-US"/>
        </w:rPr>
        <w:t>haematoxylin</w:t>
      </w:r>
      <w:proofErr w:type="spellEnd"/>
      <w:r w:rsidRPr="0047094F">
        <w:rPr>
          <w:rFonts w:eastAsiaTheme="minorEastAsia"/>
          <w:sz w:val="24"/>
          <w:szCs w:val="24"/>
          <w:lang w:val="en-US"/>
        </w:rPr>
        <w:t xml:space="preserve"> staining, allowing mucin staining to be distinguished from background and nuclear staining. </w:t>
      </w:r>
      <w:proofErr w:type="spellStart"/>
      <w:r w:rsidRPr="0047094F">
        <w:rPr>
          <w:rFonts w:eastAsiaTheme="minorEastAsia"/>
          <w:sz w:val="24"/>
          <w:szCs w:val="24"/>
          <w:lang w:val="en-US"/>
        </w:rPr>
        <w:t>PAS</w:t>
      </w:r>
      <w:r w:rsidRPr="0047094F">
        <w:rPr>
          <w:rFonts w:eastAsiaTheme="minorEastAsia"/>
          <w:sz w:val="24"/>
          <w:szCs w:val="24"/>
          <w:vertAlign w:val="superscript"/>
          <w:lang w:val="en-US"/>
        </w:rPr>
        <w:t>+ve</w:t>
      </w:r>
      <w:proofErr w:type="spellEnd"/>
      <w:r w:rsidRPr="0047094F">
        <w:rPr>
          <w:rFonts w:eastAsiaTheme="minorEastAsia"/>
          <w:sz w:val="24"/>
          <w:szCs w:val="24"/>
          <w:lang w:val="en-US"/>
        </w:rPr>
        <w:t xml:space="preserve"> and </w:t>
      </w:r>
      <w:proofErr w:type="spellStart"/>
      <w:r w:rsidRPr="0047094F">
        <w:rPr>
          <w:rFonts w:eastAsiaTheme="minorEastAsia"/>
          <w:sz w:val="24"/>
          <w:szCs w:val="24"/>
          <w:lang w:val="en-US"/>
        </w:rPr>
        <w:t>AB</w:t>
      </w:r>
      <w:r w:rsidRPr="0047094F">
        <w:rPr>
          <w:rFonts w:eastAsiaTheme="minorEastAsia"/>
          <w:sz w:val="24"/>
          <w:szCs w:val="24"/>
          <w:vertAlign w:val="superscript"/>
          <w:lang w:val="en-US"/>
        </w:rPr>
        <w:t>+ve</w:t>
      </w:r>
      <w:proofErr w:type="spellEnd"/>
      <w:r w:rsidRPr="0047094F">
        <w:rPr>
          <w:rFonts w:eastAsiaTheme="minorEastAsia"/>
          <w:sz w:val="24"/>
          <w:szCs w:val="24"/>
          <w:lang w:val="en-US"/>
        </w:rPr>
        <w:t xml:space="preserve"> channels were then </w:t>
      </w:r>
      <w:proofErr w:type="spellStart"/>
      <w:r w:rsidRPr="0047094F">
        <w:rPr>
          <w:rFonts w:eastAsiaTheme="minorEastAsia"/>
          <w:sz w:val="24"/>
          <w:szCs w:val="24"/>
          <w:lang w:val="en-US"/>
        </w:rPr>
        <w:t>thresholded</w:t>
      </w:r>
      <w:proofErr w:type="spellEnd"/>
      <w:r w:rsidRPr="0047094F">
        <w:rPr>
          <w:rFonts w:eastAsiaTheme="minorEastAsia"/>
          <w:sz w:val="24"/>
          <w:szCs w:val="24"/>
          <w:lang w:val="en-US"/>
        </w:rPr>
        <w:t xml:space="preserve"> (Image&gt;Adjust&gt;Threshold (default)) to generate binary images. Watershed separation plugin (Process&gt;Binary&gt;Watershed) was applied to separate the structures. </w:t>
      </w:r>
      <w:proofErr w:type="spellStart"/>
      <w:r w:rsidRPr="0047094F">
        <w:rPr>
          <w:rFonts w:eastAsiaTheme="minorEastAsia"/>
          <w:sz w:val="24"/>
          <w:szCs w:val="24"/>
          <w:lang w:val="en-US"/>
        </w:rPr>
        <w:t>PAS</w:t>
      </w:r>
      <w:r w:rsidRPr="0047094F">
        <w:rPr>
          <w:rFonts w:eastAsiaTheme="minorEastAsia"/>
          <w:sz w:val="24"/>
          <w:szCs w:val="24"/>
          <w:vertAlign w:val="superscript"/>
          <w:lang w:val="en-US"/>
        </w:rPr>
        <w:t>+ve</w:t>
      </w:r>
      <w:proofErr w:type="spellEnd"/>
      <w:r w:rsidRPr="0047094F">
        <w:rPr>
          <w:rFonts w:eastAsiaTheme="minorEastAsia"/>
          <w:sz w:val="24"/>
          <w:szCs w:val="24"/>
          <w:lang w:val="en-US"/>
        </w:rPr>
        <w:t xml:space="preserve"> or </w:t>
      </w:r>
      <w:proofErr w:type="spellStart"/>
      <w:r w:rsidRPr="0047094F">
        <w:rPr>
          <w:rFonts w:eastAsiaTheme="minorEastAsia"/>
          <w:sz w:val="24"/>
          <w:szCs w:val="24"/>
          <w:lang w:val="en-US"/>
        </w:rPr>
        <w:t>AB</w:t>
      </w:r>
      <w:r w:rsidRPr="0047094F">
        <w:rPr>
          <w:rFonts w:eastAsiaTheme="minorEastAsia"/>
          <w:sz w:val="24"/>
          <w:szCs w:val="24"/>
          <w:vertAlign w:val="superscript"/>
          <w:lang w:val="en-US"/>
        </w:rPr>
        <w:t>+ve</w:t>
      </w:r>
      <w:proofErr w:type="spellEnd"/>
      <w:r w:rsidRPr="0047094F">
        <w:rPr>
          <w:rFonts w:eastAsiaTheme="minorEastAsia"/>
          <w:sz w:val="24"/>
          <w:szCs w:val="24"/>
          <w:lang w:val="en-US"/>
        </w:rPr>
        <w:t xml:space="preserve"> areas were quantified by </w:t>
      </w:r>
      <w:proofErr w:type="spellStart"/>
      <w:r w:rsidRPr="0047094F">
        <w:rPr>
          <w:rFonts w:eastAsiaTheme="minorEastAsia"/>
          <w:sz w:val="24"/>
          <w:szCs w:val="24"/>
          <w:lang w:val="en-US"/>
        </w:rPr>
        <w:t>analysing</w:t>
      </w:r>
      <w:proofErr w:type="spellEnd"/>
      <w:r w:rsidRPr="0047094F">
        <w:rPr>
          <w:rFonts w:eastAsiaTheme="minorEastAsia"/>
          <w:sz w:val="24"/>
          <w:szCs w:val="24"/>
          <w:lang w:val="en-US"/>
        </w:rPr>
        <w:t xml:space="preserve"> the structures of interest within the ROI (Analyze&gt;Analyze Particle). The total </w:t>
      </w:r>
      <w:proofErr w:type="spellStart"/>
      <w:r w:rsidRPr="0047094F">
        <w:rPr>
          <w:rFonts w:eastAsiaTheme="minorEastAsia"/>
          <w:sz w:val="24"/>
          <w:szCs w:val="24"/>
          <w:lang w:val="en-US"/>
        </w:rPr>
        <w:t>PAS-AB</w:t>
      </w:r>
      <w:r w:rsidRPr="0047094F">
        <w:rPr>
          <w:rFonts w:eastAsiaTheme="minorEastAsia"/>
          <w:sz w:val="24"/>
          <w:szCs w:val="24"/>
          <w:vertAlign w:val="superscript"/>
          <w:lang w:val="en-US"/>
        </w:rPr>
        <w:t>+ve</w:t>
      </w:r>
      <w:proofErr w:type="spellEnd"/>
      <w:r w:rsidRPr="0047094F">
        <w:rPr>
          <w:rFonts w:eastAsiaTheme="minorEastAsia"/>
          <w:sz w:val="24"/>
          <w:szCs w:val="24"/>
          <w:lang w:val="en-US"/>
        </w:rPr>
        <w:t xml:space="preserve"> mucin area was obtained by summing the quantified </w:t>
      </w:r>
      <w:proofErr w:type="spellStart"/>
      <w:r w:rsidRPr="0047094F">
        <w:rPr>
          <w:rFonts w:eastAsiaTheme="minorEastAsia"/>
          <w:sz w:val="24"/>
          <w:szCs w:val="24"/>
          <w:lang w:val="en-US"/>
        </w:rPr>
        <w:t>PAS</w:t>
      </w:r>
      <w:r w:rsidRPr="0047094F">
        <w:rPr>
          <w:rFonts w:eastAsiaTheme="minorEastAsia"/>
          <w:sz w:val="24"/>
          <w:szCs w:val="24"/>
          <w:vertAlign w:val="superscript"/>
          <w:lang w:val="en-US"/>
        </w:rPr>
        <w:t>+ve</w:t>
      </w:r>
      <w:proofErr w:type="spellEnd"/>
      <w:r w:rsidRPr="0047094F">
        <w:rPr>
          <w:rFonts w:eastAsiaTheme="minorEastAsia"/>
          <w:sz w:val="24"/>
          <w:szCs w:val="24"/>
          <w:lang w:val="en-US"/>
        </w:rPr>
        <w:t xml:space="preserve"> and </w:t>
      </w:r>
      <w:proofErr w:type="spellStart"/>
      <w:r w:rsidRPr="0047094F">
        <w:rPr>
          <w:rFonts w:eastAsiaTheme="minorEastAsia"/>
          <w:sz w:val="24"/>
          <w:szCs w:val="24"/>
          <w:lang w:val="en-US"/>
        </w:rPr>
        <w:t>AB</w:t>
      </w:r>
      <w:r w:rsidRPr="0047094F">
        <w:rPr>
          <w:rFonts w:eastAsiaTheme="minorEastAsia"/>
          <w:sz w:val="24"/>
          <w:szCs w:val="24"/>
          <w:vertAlign w:val="superscript"/>
          <w:lang w:val="en-US"/>
        </w:rPr>
        <w:t>+ve</w:t>
      </w:r>
      <w:proofErr w:type="spellEnd"/>
      <w:r w:rsidRPr="0047094F">
        <w:rPr>
          <w:rFonts w:eastAsiaTheme="minorEastAsia"/>
          <w:sz w:val="24"/>
          <w:szCs w:val="24"/>
          <w:lang w:val="en-US"/>
        </w:rPr>
        <w:t xml:space="preserve"> areas.</w:t>
      </w:r>
      <w:r w:rsidR="00AD0071">
        <w:rPr>
          <w:rFonts w:eastAsiaTheme="minorEastAsia"/>
          <w:sz w:val="24"/>
          <w:szCs w:val="24"/>
          <w:lang w:val="en-US"/>
        </w:rPr>
        <w:t xml:space="preserve"> </w:t>
      </w:r>
    </w:p>
    <w:p w14:paraId="26413C48" w14:textId="32901BF1" w:rsidR="007909D7" w:rsidRPr="0047094F" w:rsidRDefault="007909D7" w:rsidP="00751C50">
      <w:pPr>
        <w:spacing w:line="480" w:lineRule="auto"/>
        <w:jc w:val="both"/>
        <w:rPr>
          <w:rFonts w:eastAsiaTheme="minorEastAsia"/>
          <w:sz w:val="24"/>
          <w:szCs w:val="24"/>
          <w:lang w:val="en-US"/>
        </w:rPr>
      </w:pPr>
      <w:r w:rsidRPr="0047094F">
        <w:rPr>
          <w:rFonts w:eastAsiaTheme="minorEastAsia"/>
          <w:sz w:val="24"/>
          <w:szCs w:val="24"/>
          <w:lang w:val="en-US"/>
        </w:rPr>
        <w:t>For quantification of immunofluorescence staining, Fiji ImageJ was used. Spatial calibration was first conducted by setting the appropriate scale for each image (</w:t>
      </w:r>
      <w:proofErr w:type="spellStart"/>
      <w:r w:rsidRPr="0047094F">
        <w:rPr>
          <w:rFonts w:eastAsiaTheme="minorEastAsia"/>
          <w:sz w:val="24"/>
          <w:szCs w:val="24"/>
          <w:lang w:val="en-US"/>
        </w:rPr>
        <w:t>Analyse</w:t>
      </w:r>
      <w:proofErr w:type="spellEnd"/>
      <w:r w:rsidRPr="0047094F">
        <w:rPr>
          <w:rFonts w:eastAsiaTheme="minorEastAsia"/>
          <w:sz w:val="24"/>
          <w:szCs w:val="24"/>
          <w:lang w:val="en-US"/>
        </w:rPr>
        <w:t xml:space="preserve">&gt;Set Scale). Quantification of the size of RAB5 vesicles was performed by manually drawing an ROI comprising of more than 5 contiguous intestinal epithelial cells displaying clear apical-basal orientation, while excluding non-specific or luminal debris staining in the organoid lumen, using the polygonal, freehand and line selection tools. The RAB5 channel was then </w:t>
      </w:r>
      <w:proofErr w:type="spellStart"/>
      <w:r w:rsidRPr="0047094F">
        <w:rPr>
          <w:rFonts w:eastAsiaTheme="minorEastAsia"/>
          <w:sz w:val="24"/>
          <w:szCs w:val="24"/>
          <w:lang w:val="en-US"/>
        </w:rPr>
        <w:t>thresholded</w:t>
      </w:r>
      <w:proofErr w:type="spellEnd"/>
      <w:r w:rsidRPr="0047094F">
        <w:rPr>
          <w:rFonts w:eastAsiaTheme="minorEastAsia"/>
          <w:sz w:val="24"/>
          <w:szCs w:val="24"/>
          <w:lang w:val="en-US"/>
        </w:rPr>
        <w:t xml:space="preserve"> to create a binary image containing the </w:t>
      </w:r>
      <w:r w:rsidRPr="0047094F">
        <w:rPr>
          <w:rFonts w:eastAsiaTheme="minorEastAsia"/>
          <w:sz w:val="24"/>
          <w:szCs w:val="24"/>
          <w:lang w:val="en-US"/>
        </w:rPr>
        <w:lastRenderedPageBreak/>
        <w:t>structures of interest (Image&gt;Adjust&gt;Threshold (default)) followed by the application of the watershed separation plugin (Process&gt;Binary&gt;Watershed) to separate the structures (referred to herein as particles). The particles within the ROI were then analysed (Analyze&gt;Analyze Particle) to obtain the average size of particle.</w:t>
      </w:r>
    </w:p>
    <w:p w14:paraId="2FB2673B" w14:textId="77777777" w:rsidR="007909D7" w:rsidRPr="0047094F" w:rsidRDefault="007909D7" w:rsidP="00751C50">
      <w:pPr>
        <w:spacing w:line="480" w:lineRule="auto"/>
        <w:jc w:val="both"/>
        <w:rPr>
          <w:rFonts w:eastAsiaTheme="minorEastAsia"/>
          <w:sz w:val="24"/>
          <w:szCs w:val="24"/>
          <w:lang w:val="en-US"/>
        </w:rPr>
      </w:pPr>
      <w:r w:rsidRPr="0047094F">
        <w:rPr>
          <w:rFonts w:eastAsiaTheme="minorEastAsia"/>
          <w:sz w:val="24"/>
          <w:szCs w:val="24"/>
          <w:lang w:val="en-US"/>
        </w:rPr>
        <w:t>Quantification of apical, lateral, basal and cytoplasmic fluorescence signals on whole-mount fluorescence images was conducted by manually drawing ROIs around the relevant structures using the polygonal, freehand and line selection tools and measured using the ‘Measure’ (</w:t>
      </w:r>
      <w:proofErr w:type="spellStart"/>
      <w:r w:rsidRPr="0047094F">
        <w:rPr>
          <w:rFonts w:eastAsiaTheme="minorEastAsia"/>
          <w:sz w:val="24"/>
          <w:szCs w:val="24"/>
          <w:lang w:val="en-US"/>
        </w:rPr>
        <w:t>Analyse</w:t>
      </w:r>
      <w:proofErr w:type="spellEnd"/>
      <w:r w:rsidRPr="0047094F">
        <w:rPr>
          <w:rFonts w:eastAsiaTheme="minorEastAsia"/>
          <w:sz w:val="24"/>
          <w:szCs w:val="24"/>
          <w:lang w:val="en-US"/>
        </w:rPr>
        <w:t>&gt;Measure) function. A minimum of 3 ROIs (comprising of &gt;5 cells one after another) per stack, and at least 3 z-sections with clear apical-to-basal orientation, were analysed per organoid.</w:t>
      </w:r>
    </w:p>
    <w:p w14:paraId="5EC864EB" w14:textId="099A32AF" w:rsidR="006A05DE" w:rsidRDefault="007909D7" w:rsidP="00751C50">
      <w:pPr>
        <w:spacing w:line="480" w:lineRule="auto"/>
        <w:jc w:val="both"/>
        <w:rPr>
          <w:rFonts w:eastAsiaTheme="minorEastAsia"/>
          <w:sz w:val="24"/>
          <w:szCs w:val="24"/>
          <w:lang w:val="en-US"/>
        </w:rPr>
      </w:pPr>
      <w:r w:rsidRPr="0047094F">
        <w:rPr>
          <w:rFonts w:eastAsiaTheme="minorEastAsia"/>
          <w:sz w:val="24"/>
          <w:szCs w:val="24"/>
          <w:lang w:val="en-US"/>
        </w:rPr>
        <w:t xml:space="preserve">Co-localisation analysis was performed using the Just Another Colocalisation Plugin (JaCoP; Bioimaging and Optics Platform, BIOP). Otsu thresholding was applied to define object boundaries. </w:t>
      </w:r>
    </w:p>
    <w:p w14:paraId="4F856DBC" w14:textId="77777777" w:rsidR="00F227C4" w:rsidRPr="00B46026" w:rsidRDefault="00F227C4" w:rsidP="00751C50">
      <w:pPr>
        <w:spacing w:line="480" w:lineRule="auto"/>
        <w:jc w:val="both"/>
        <w:rPr>
          <w:rFonts w:eastAsiaTheme="minorEastAsia"/>
          <w:sz w:val="24"/>
          <w:szCs w:val="24"/>
          <w:lang w:val="en-US"/>
        </w:rPr>
      </w:pPr>
    </w:p>
    <w:p w14:paraId="2BCC631E" w14:textId="2625B938" w:rsidR="00B46026" w:rsidRPr="0047094F" w:rsidRDefault="00B46026" w:rsidP="00751C50">
      <w:pPr>
        <w:spacing w:line="480" w:lineRule="auto"/>
        <w:jc w:val="both"/>
        <w:rPr>
          <w:rFonts w:eastAsiaTheme="minorEastAsia"/>
          <w:b/>
          <w:bCs/>
          <w:sz w:val="24"/>
          <w:szCs w:val="24"/>
          <w:lang w:val="en-US"/>
        </w:rPr>
      </w:pPr>
      <w:r w:rsidRPr="0047094F">
        <w:rPr>
          <w:rFonts w:eastAsiaTheme="minorEastAsia"/>
          <w:b/>
          <w:bCs/>
          <w:sz w:val="24"/>
          <w:szCs w:val="24"/>
          <w:lang w:val="en-US"/>
        </w:rPr>
        <w:t>Statistics and reproducibility</w:t>
      </w:r>
    </w:p>
    <w:p w14:paraId="726B72E8" w14:textId="77777777" w:rsidR="008C6A21" w:rsidRDefault="00B46026" w:rsidP="00CE5724">
      <w:pPr>
        <w:spacing w:line="480" w:lineRule="auto"/>
        <w:jc w:val="both"/>
        <w:rPr>
          <w:rFonts w:eastAsiaTheme="minorEastAsia"/>
          <w:sz w:val="24"/>
          <w:szCs w:val="24"/>
          <w:lang w:val="en-US"/>
        </w:rPr>
      </w:pPr>
      <w:r w:rsidRPr="0047094F">
        <w:rPr>
          <w:rFonts w:eastAsiaTheme="minorEastAsia"/>
          <w:sz w:val="24"/>
          <w:szCs w:val="24"/>
          <w:lang w:val="en-US"/>
        </w:rPr>
        <w:t xml:space="preserve">Numerical source data for all graphs are provided in </w:t>
      </w:r>
      <w:r w:rsidR="006E6769">
        <w:rPr>
          <w:rFonts w:eastAsiaTheme="minorEastAsia"/>
          <w:sz w:val="24"/>
          <w:szCs w:val="24"/>
          <w:lang w:val="en-US"/>
        </w:rPr>
        <w:t xml:space="preserve">Materials and </w:t>
      </w:r>
      <w:r w:rsidRPr="0047094F">
        <w:rPr>
          <w:rFonts w:eastAsiaTheme="minorEastAsia"/>
          <w:sz w:val="24"/>
          <w:szCs w:val="24"/>
          <w:lang w:val="en-US"/>
        </w:rPr>
        <w:t>Methods and Figure legends. Statistical tests were performed using GraphPad Prism 8 Software (GraphPad, San Diego, C</w:t>
      </w:r>
      <w:r>
        <w:rPr>
          <w:rFonts w:eastAsiaTheme="minorEastAsia"/>
          <w:sz w:val="24"/>
          <w:szCs w:val="24"/>
          <w:lang w:val="en-US"/>
        </w:rPr>
        <w:t>alifornia, USA</w:t>
      </w:r>
      <w:r w:rsidRPr="0047094F">
        <w:rPr>
          <w:rFonts w:eastAsiaTheme="minorEastAsia"/>
          <w:sz w:val="24"/>
          <w:szCs w:val="24"/>
          <w:lang w:val="en-US"/>
        </w:rPr>
        <w:t xml:space="preserve">) </w:t>
      </w:r>
      <w:r w:rsidRPr="0047094F">
        <w:rPr>
          <w:rFonts w:eastAsiaTheme="minorEastAsia"/>
          <w:i/>
          <w:iCs/>
          <w:sz w:val="24"/>
          <w:szCs w:val="24"/>
          <w:lang w:val="en-US"/>
        </w:rPr>
        <w:t xml:space="preserve">via </w:t>
      </w:r>
      <w:r w:rsidRPr="0047094F">
        <w:rPr>
          <w:rFonts w:eastAsiaTheme="minorEastAsia"/>
          <w:sz w:val="24"/>
          <w:szCs w:val="24"/>
          <w:lang w:val="en-US"/>
        </w:rPr>
        <w:t xml:space="preserve">Student’s unpaired t-tests when comparing between two groups. One-way ANOVA or two-way ANOVA (with Tukey post-hoc comparisons) was used for multiple comparisons. Each mouse was assessed as an individual sample. All data were obtained by performing at least </w:t>
      </w:r>
      <w:r w:rsidRPr="0047094F">
        <w:rPr>
          <w:rFonts w:eastAsiaTheme="minorEastAsia"/>
          <w:i/>
          <w:iCs/>
          <w:sz w:val="24"/>
          <w:szCs w:val="24"/>
          <w:lang w:val="en-US"/>
        </w:rPr>
        <w:t>n</w:t>
      </w:r>
      <w:r w:rsidRPr="0047094F">
        <w:rPr>
          <w:rFonts w:eastAsiaTheme="minorEastAsia"/>
          <w:sz w:val="24"/>
          <w:szCs w:val="24"/>
          <w:lang w:val="en-US"/>
        </w:rPr>
        <w:t xml:space="preserve"> &gt; 2 independent experiments with representative data shown and expressed as the mean ± standard error of the mean </w:t>
      </w:r>
      <w:r w:rsidRPr="0047094F">
        <w:rPr>
          <w:rFonts w:eastAsiaTheme="minorEastAsia"/>
          <w:sz w:val="24"/>
          <w:szCs w:val="24"/>
          <w:lang w:val="en-US"/>
        </w:rPr>
        <w:lastRenderedPageBreak/>
        <w:t xml:space="preserve">(S.E.M). </w:t>
      </w:r>
      <w:r w:rsidRPr="0047094F">
        <w:rPr>
          <w:rFonts w:eastAsiaTheme="minorEastAsia"/>
          <w:i/>
          <w:iCs/>
          <w:sz w:val="24"/>
          <w:szCs w:val="24"/>
          <w:lang w:val="en-US"/>
        </w:rPr>
        <w:t>P values</w:t>
      </w:r>
      <w:r w:rsidRPr="0047094F">
        <w:rPr>
          <w:rFonts w:eastAsiaTheme="minorEastAsia"/>
          <w:sz w:val="24"/>
          <w:szCs w:val="24"/>
          <w:lang w:val="en-US"/>
        </w:rPr>
        <w:t xml:space="preserve"> &lt; 0.05 were considered as statistically significant. Significance levels were split further as follows:  **</w:t>
      </w:r>
      <w:r w:rsidRPr="0047094F">
        <w:rPr>
          <w:rFonts w:eastAsiaTheme="minorEastAsia"/>
          <w:i/>
          <w:iCs/>
          <w:sz w:val="24"/>
          <w:szCs w:val="24"/>
          <w:lang w:val="en-US"/>
        </w:rPr>
        <w:t>P</w:t>
      </w:r>
      <w:r w:rsidRPr="0047094F">
        <w:rPr>
          <w:rFonts w:eastAsiaTheme="minorEastAsia"/>
          <w:sz w:val="24"/>
          <w:szCs w:val="24"/>
          <w:lang w:val="en-US"/>
        </w:rPr>
        <w:t xml:space="preserve"> &lt; 0.01, ***</w:t>
      </w:r>
      <w:r w:rsidRPr="0047094F">
        <w:rPr>
          <w:rFonts w:eastAsiaTheme="minorEastAsia"/>
          <w:i/>
          <w:iCs/>
          <w:sz w:val="24"/>
          <w:szCs w:val="24"/>
          <w:lang w:val="en-US"/>
        </w:rPr>
        <w:t>P</w:t>
      </w:r>
      <w:r w:rsidRPr="0047094F">
        <w:rPr>
          <w:rFonts w:eastAsiaTheme="minorEastAsia"/>
          <w:sz w:val="24"/>
          <w:szCs w:val="24"/>
          <w:lang w:val="en-US"/>
        </w:rPr>
        <w:t xml:space="preserve"> &lt; 0.001, ****</w:t>
      </w:r>
      <w:r w:rsidRPr="0047094F">
        <w:rPr>
          <w:rFonts w:eastAsiaTheme="minorEastAsia"/>
          <w:i/>
          <w:iCs/>
          <w:sz w:val="24"/>
          <w:szCs w:val="24"/>
          <w:lang w:val="en-US"/>
        </w:rPr>
        <w:t>P</w:t>
      </w:r>
      <w:r w:rsidRPr="0047094F">
        <w:rPr>
          <w:rFonts w:eastAsiaTheme="minorEastAsia"/>
          <w:sz w:val="24"/>
          <w:szCs w:val="24"/>
          <w:lang w:val="en-US"/>
        </w:rPr>
        <w:t xml:space="preserve"> &lt; 0.0001.</w:t>
      </w:r>
    </w:p>
    <w:p w14:paraId="4B7CDF55" w14:textId="77777777" w:rsidR="008C6A21" w:rsidRPr="006B7558" w:rsidRDefault="008C6A21" w:rsidP="00CE5724">
      <w:pPr>
        <w:spacing w:line="480" w:lineRule="auto"/>
        <w:jc w:val="both"/>
        <w:rPr>
          <w:rFonts w:eastAsiaTheme="minorEastAsia"/>
          <w:sz w:val="24"/>
          <w:szCs w:val="24"/>
          <w:lang w:val="en-US"/>
        </w:rPr>
      </w:pPr>
    </w:p>
    <w:p w14:paraId="2C7F6172" w14:textId="77777777" w:rsidR="008C6A21" w:rsidRPr="006B7558" w:rsidRDefault="008C6A21" w:rsidP="00CE5724">
      <w:pPr>
        <w:spacing w:line="480" w:lineRule="auto"/>
        <w:jc w:val="both"/>
        <w:rPr>
          <w:b/>
          <w:sz w:val="24"/>
          <w:szCs w:val="24"/>
        </w:rPr>
      </w:pPr>
      <w:r w:rsidRPr="006B7558">
        <w:rPr>
          <w:b/>
          <w:sz w:val="24"/>
          <w:szCs w:val="24"/>
        </w:rPr>
        <w:t>SUPPLEMENTARY FIGURE LEGENDS</w:t>
      </w:r>
    </w:p>
    <w:p w14:paraId="71A789B2" w14:textId="032B4CF7" w:rsidR="00CE5724" w:rsidRDefault="00CE5724" w:rsidP="00CE5724">
      <w:pPr>
        <w:spacing w:line="480" w:lineRule="auto"/>
        <w:jc w:val="both"/>
        <w:rPr>
          <w:sz w:val="24"/>
          <w:szCs w:val="24"/>
          <w:lang w:val="en-US"/>
        </w:rPr>
      </w:pPr>
      <w:r w:rsidRPr="006B7558">
        <w:rPr>
          <w:b/>
          <w:bCs/>
          <w:sz w:val="24"/>
          <w:szCs w:val="24"/>
          <w:lang w:val="en-US"/>
        </w:rPr>
        <w:t xml:space="preserve">Supplementary Figure 1. Monoallelic </w:t>
      </w:r>
      <w:r w:rsidRPr="006B7558">
        <w:rPr>
          <w:b/>
          <w:bCs/>
          <w:i/>
          <w:iCs/>
          <w:sz w:val="24"/>
          <w:szCs w:val="24"/>
          <w:lang w:val="en-US"/>
        </w:rPr>
        <w:t>Becn1</w:t>
      </w:r>
      <w:r w:rsidRPr="006B7558">
        <w:rPr>
          <w:b/>
          <w:bCs/>
          <w:sz w:val="24"/>
          <w:szCs w:val="24"/>
          <w:lang w:val="en-US"/>
        </w:rPr>
        <w:t xml:space="preserve"> deletion in mice results in shortened small intestines and reduced colonic crypt length even when aged up to one month. (A) </w:t>
      </w:r>
      <w:r w:rsidRPr="006B7558">
        <w:rPr>
          <w:sz w:val="24"/>
          <w:szCs w:val="24"/>
          <w:lang w:val="en-US"/>
        </w:rPr>
        <w:t xml:space="preserve">Representative PCR genotyping of IECs isolated from different sections of the gastrointestinal tract of both </w:t>
      </w:r>
      <w:r w:rsidRPr="006B7558">
        <w:rPr>
          <w:i/>
          <w:iCs/>
          <w:sz w:val="24"/>
          <w:szCs w:val="24"/>
          <w:lang w:val="en-US"/>
        </w:rPr>
        <w:t>Becn1</w:t>
      </w:r>
      <w:r w:rsidRPr="006B7558">
        <w:rPr>
          <w:i/>
          <w:iCs/>
          <w:sz w:val="24"/>
          <w:szCs w:val="24"/>
          <w:vertAlign w:val="superscript"/>
          <w:lang w:val="en-US"/>
        </w:rPr>
        <w:t>+/</w:t>
      </w:r>
      <w:proofErr w:type="gramStart"/>
      <w:r w:rsidRPr="006B7558">
        <w:rPr>
          <w:i/>
          <w:iCs/>
          <w:sz w:val="24"/>
          <w:szCs w:val="24"/>
          <w:vertAlign w:val="superscript"/>
          <w:lang w:val="en-US"/>
        </w:rPr>
        <w:t>+</w:t>
      </w:r>
      <w:r w:rsidRPr="006B7558">
        <w:rPr>
          <w:i/>
          <w:iCs/>
          <w:sz w:val="24"/>
          <w:szCs w:val="24"/>
          <w:lang w:val="en-US"/>
        </w:rPr>
        <w:t>;Vil</w:t>
      </w:r>
      <w:proofErr w:type="gramEnd"/>
      <w:r w:rsidRPr="006B7558">
        <w:rPr>
          <w:i/>
          <w:iCs/>
          <w:sz w:val="24"/>
          <w:szCs w:val="24"/>
          <w:lang w:val="en-US"/>
        </w:rPr>
        <w:t>1-CreERT2</w:t>
      </w:r>
      <w:r w:rsidRPr="006B7558">
        <w:rPr>
          <w:i/>
          <w:iCs/>
          <w:sz w:val="24"/>
          <w:szCs w:val="24"/>
          <w:vertAlign w:val="superscript"/>
          <w:lang w:val="en-US"/>
        </w:rPr>
        <w:t xml:space="preserve">Cre/+ </w:t>
      </w:r>
      <w:r w:rsidRPr="006B7558">
        <w:rPr>
          <w:sz w:val="24"/>
          <w:szCs w:val="24"/>
          <w:lang w:val="en-US"/>
        </w:rPr>
        <w:t xml:space="preserve">and </w:t>
      </w:r>
      <w:r w:rsidRPr="006B7558">
        <w:rPr>
          <w:i/>
          <w:iCs/>
          <w:sz w:val="24"/>
          <w:szCs w:val="24"/>
          <w:lang w:val="en-US"/>
        </w:rPr>
        <w:t>Becn1</w:t>
      </w:r>
      <w:r w:rsidRPr="006B7558">
        <w:rPr>
          <w:i/>
          <w:iCs/>
          <w:sz w:val="24"/>
          <w:szCs w:val="24"/>
          <w:vertAlign w:val="superscript"/>
          <w:lang w:val="en-US"/>
        </w:rPr>
        <w:t>fl/</w:t>
      </w:r>
      <w:proofErr w:type="gramStart"/>
      <w:r w:rsidRPr="006B7558">
        <w:rPr>
          <w:i/>
          <w:iCs/>
          <w:sz w:val="24"/>
          <w:szCs w:val="24"/>
          <w:vertAlign w:val="superscript"/>
          <w:lang w:val="en-US"/>
        </w:rPr>
        <w:t>+</w:t>
      </w:r>
      <w:r w:rsidRPr="006B7558">
        <w:rPr>
          <w:i/>
          <w:iCs/>
          <w:sz w:val="24"/>
          <w:szCs w:val="24"/>
          <w:lang w:val="en-US"/>
        </w:rPr>
        <w:t>;Vil</w:t>
      </w:r>
      <w:proofErr w:type="gramEnd"/>
      <w:r w:rsidRPr="006B7558">
        <w:rPr>
          <w:i/>
          <w:iCs/>
          <w:sz w:val="24"/>
          <w:szCs w:val="24"/>
          <w:lang w:val="en-US"/>
        </w:rPr>
        <w:t>1-CreERT2</w:t>
      </w:r>
      <w:r w:rsidRPr="006B7558">
        <w:rPr>
          <w:i/>
          <w:iCs/>
          <w:sz w:val="24"/>
          <w:szCs w:val="24"/>
          <w:vertAlign w:val="superscript"/>
          <w:lang w:val="en-US"/>
        </w:rPr>
        <w:t>Cre/+</w:t>
      </w:r>
      <w:r w:rsidRPr="006B7558">
        <w:rPr>
          <w:sz w:val="24"/>
          <w:szCs w:val="24"/>
          <w:lang w:val="en-US"/>
        </w:rPr>
        <w:t xml:space="preserve"> mice two weeks post-Tamoxifen treatment. Numbers (1-6) correspond to individual animals. Untreated IEC controls (</w:t>
      </w:r>
      <w:r w:rsidRPr="006B7558">
        <w:rPr>
          <w:i/>
          <w:iCs/>
          <w:sz w:val="24"/>
          <w:szCs w:val="24"/>
          <w:lang w:val="en-US"/>
        </w:rPr>
        <w:t xml:space="preserve">+/+, </w:t>
      </w:r>
      <w:proofErr w:type="spellStart"/>
      <w:r w:rsidRPr="006B7558">
        <w:rPr>
          <w:i/>
          <w:iCs/>
          <w:sz w:val="24"/>
          <w:szCs w:val="24"/>
          <w:lang w:val="en-US"/>
        </w:rPr>
        <w:t>fl</w:t>
      </w:r>
      <w:proofErr w:type="spellEnd"/>
      <w:r w:rsidRPr="006B7558">
        <w:rPr>
          <w:i/>
          <w:iCs/>
          <w:sz w:val="24"/>
          <w:szCs w:val="24"/>
          <w:lang w:val="en-US"/>
        </w:rPr>
        <w:t xml:space="preserve">/+ </w:t>
      </w:r>
      <w:r w:rsidRPr="006B7558">
        <w:rPr>
          <w:sz w:val="24"/>
          <w:szCs w:val="24"/>
          <w:lang w:val="en-US"/>
        </w:rPr>
        <w:t xml:space="preserve">and </w:t>
      </w:r>
      <w:proofErr w:type="spellStart"/>
      <w:r w:rsidRPr="006B7558">
        <w:rPr>
          <w:i/>
          <w:iCs/>
          <w:sz w:val="24"/>
          <w:szCs w:val="24"/>
          <w:lang w:val="en-US"/>
        </w:rPr>
        <w:t>fl</w:t>
      </w:r>
      <w:proofErr w:type="spellEnd"/>
      <w:r w:rsidRPr="006B7558">
        <w:rPr>
          <w:i/>
          <w:iCs/>
          <w:sz w:val="24"/>
          <w:szCs w:val="24"/>
          <w:lang w:val="en-US"/>
        </w:rPr>
        <w:t>/</w:t>
      </w:r>
      <w:proofErr w:type="spellStart"/>
      <w:r w:rsidRPr="006B7558">
        <w:rPr>
          <w:i/>
          <w:iCs/>
          <w:sz w:val="24"/>
          <w:szCs w:val="24"/>
          <w:lang w:val="en-US"/>
        </w:rPr>
        <w:t>fl</w:t>
      </w:r>
      <w:proofErr w:type="spellEnd"/>
      <w:r w:rsidRPr="006B7558">
        <w:rPr>
          <w:sz w:val="24"/>
          <w:szCs w:val="24"/>
          <w:lang w:val="en-US"/>
        </w:rPr>
        <w:t xml:space="preserve">) were isolated from the duodenum of </w:t>
      </w:r>
      <w:r w:rsidRPr="006B7558">
        <w:rPr>
          <w:i/>
          <w:iCs/>
          <w:sz w:val="24"/>
          <w:szCs w:val="24"/>
          <w:lang w:val="en-US"/>
        </w:rPr>
        <w:t>Becn1</w:t>
      </w:r>
      <w:r w:rsidRPr="006B7558">
        <w:rPr>
          <w:i/>
          <w:iCs/>
          <w:sz w:val="24"/>
          <w:szCs w:val="24"/>
          <w:vertAlign w:val="superscript"/>
          <w:lang w:val="en-US"/>
        </w:rPr>
        <w:t>+/</w:t>
      </w:r>
      <w:proofErr w:type="gramStart"/>
      <w:r w:rsidRPr="006B7558">
        <w:rPr>
          <w:i/>
          <w:iCs/>
          <w:sz w:val="24"/>
          <w:szCs w:val="24"/>
          <w:vertAlign w:val="superscript"/>
          <w:lang w:val="en-US"/>
        </w:rPr>
        <w:t>+</w:t>
      </w:r>
      <w:r w:rsidRPr="006B7558">
        <w:rPr>
          <w:i/>
          <w:iCs/>
          <w:sz w:val="24"/>
          <w:szCs w:val="24"/>
          <w:lang w:val="en-US"/>
        </w:rPr>
        <w:t>;</w:t>
      </w:r>
      <w:r w:rsidR="00FB30A0">
        <w:rPr>
          <w:i/>
          <w:iCs/>
          <w:sz w:val="24"/>
          <w:szCs w:val="24"/>
          <w:lang w:val="en-US"/>
        </w:rPr>
        <w:t>,</w:t>
      </w:r>
      <w:proofErr w:type="gramEnd"/>
      <w:r w:rsidRPr="006B7558">
        <w:rPr>
          <w:i/>
          <w:iCs/>
          <w:sz w:val="24"/>
          <w:szCs w:val="24"/>
          <w:lang w:val="en-US"/>
        </w:rPr>
        <w:t xml:space="preserve"> Becn1</w:t>
      </w:r>
      <w:r w:rsidRPr="006B7558">
        <w:rPr>
          <w:i/>
          <w:iCs/>
          <w:sz w:val="24"/>
          <w:szCs w:val="24"/>
          <w:vertAlign w:val="superscript"/>
          <w:lang w:val="en-US"/>
        </w:rPr>
        <w:t>fl/</w:t>
      </w:r>
      <w:proofErr w:type="gramStart"/>
      <w:r w:rsidRPr="006B7558">
        <w:rPr>
          <w:i/>
          <w:iCs/>
          <w:sz w:val="24"/>
          <w:szCs w:val="24"/>
          <w:vertAlign w:val="superscript"/>
          <w:lang w:val="en-US"/>
        </w:rPr>
        <w:t>+</w:t>
      </w:r>
      <w:r w:rsidRPr="006B7558">
        <w:rPr>
          <w:i/>
          <w:iCs/>
          <w:sz w:val="24"/>
          <w:szCs w:val="24"/>
          <w:lang w:val="en-US"/>
        </w:rPr>
        <w:t>;</w:t>
      </w:r>
      <w:r w:rsidR="00FB30A0">
        <w:rPr>
          <w:i/>
          <w:iCs/>
          <w:sz w:val="24"/>
          <w:szCs w:val="24"/>
          <w:lang w:val="en-US"/>
        </w:rPr>
        <w:t>,</w:t>
      </w:r>
      <w:proofErr w:type="gramEnd"/>
      <w:r w:rsidRPr="006B7558">
        <w:rPr>
          <w:i/>
          <w:iCs/>
          <w:sz w:val="24"/>
          <w:szCs w:val="24"/>
          <w:lang w:val="en-US"/>
        </w:rPr>
        <w:t xml:space="preserve"> </w:t>
      </w:r>
      <w:r w:rsidRPr="006B7558">
        <w:rPr>
          <w:sz w:val="24"/>
          <w:szCs w:val="24"/>
          <w:lang w:val="en-US"/>
        </w:rPr>
        <w:t xml:space="preserve">and </w:t>
      </w:r>
      <w:r w:rsidRPr="006B7558">
        <w:rPr>
          <w:i/>
          <w:iCs/>
          <w:sz w:val="24"/>
          <w:szCs w:val="24"/>
          <w:lang w:val="en-US"/>
        </w:rPr>
        <w:t>Becn1</w:t>
      </w:r>
      <w:r w:rsidRPr="006B7558">
        <w:rPr>
          <w:i/>
          <w:iCs/>
          <w:sz w:val="24"/>
          <w:szCs w:val="24"/>
          <w:vertAlign w:val="superscript"/>
          <w:lang w:val="en-US"/>
        </w:rPr>
        <w:t>fl/</w:t>
      </w:r>
      <w:proofErr w:type="gramStart"/>
      <w:r w:rsidRPr="006B7558">
        <w:rPr>
          <w:i/>
          <w:iCs/>
          <w:sz w:val="24"/>
          <w:szCs w:val="24"/>
          <w:vertAlign w:val="superscript"/>
          <w:lang w:val="en-US"/>
        </w:rPr>
        <w:t>fl</w:t>
      </w:r>
      <w:r w:rsidRPr="006B7558">
        <w:rPr>
          <w:i/>
          <w:iCs/>
          <w:sz w:val="24"/>
          <w:szCs w:val="24"/>
          <w:lang w:val="en-US"/>
        </w:rPr>
        <w:t>;Vil</w:t>
      </w:r>
      <w:proofErr w:type="gramEnd"/>
      <w:r w:rsidRPr="006B7558">
        <w:rPr>
          <w:i/>
          <w:iCs/>
          <w:sz w:val="24"/>
          <w:szCs w:val="24"/>
          <w:lang w:val="en-US"/>
        </w:rPr>
        <w:t>1-CreERT2</w:t>
      </w:r>
      <w:r w:rsidRPr="006B7558">
        <w:rPr>
          <w:i/>
          <w:iCs/>
          <w:sz w:val="24"/>
          <w:szCs w:val="24"/>
          <w:vertAlign w:val="superscript"/>
          <w:lang w:val="en-US"/>
        </w:rPr>
        <w:t>Cre/+</w:t>
      </w:r>
      <w:r w:rsidRPr="006B7558">
        <w:rPr>
          <w:sz w:val="24"/>
          <w:szCs w:val="24"/>
          <w:lang w:val="en-US"/>
        </w:rPr>
        <w:t xml:space="preserve"> mice without Tamoxifen treatment. </w:t>
      </w:r>
      <w:r w:rsidR="00C904E6" w:rsidRPr="006B7558">
        <w:rPr>
          <w:sz w:val="24"/>
          <w:szCs w:val="24"/>
          <w:lang w:val="en-US"/>
        </w:rPr>
        <w:t>Monoallelic</w:t>
      </w:r>
      <w:r w:rsidRPr="006B7558">
        <w:rPr>
          <w:sz w:val="24"/>
          <w:szCs w:val="24"/>
          <w:lang w:val="en-US"/>
        </w:rPr>
        <w:t xml:space="preserve"> </w:t>
      </w:r>
      <w:r w:rsidRPr="006B7558">
        <w:rPr>
          <w:i/>
          <w:iCs/>
          <w:sz w:val="24"/>
          <w:szCs w:val="24"/>
          <w:lang w:val="en-US"/>
        </w:rPr>
        <w:t>Becn1</w:t>
      </w:r>
      <w:r w:rsidRPr="006B7558">
        <w:rPr>
          <w:sz w:val="24"/>
          <w:szCs w:val="24"/>
          <w:lang w:val="en-US"/>
        </w:rPr>
        <w:t xml:space="preserve"> deletion (Pos </w:t>
      </w:r>
      <w:proofErr w:type="spellStart"/>
      <w:r w:rsidRPr="006B7558">
        <w:rPr>
          <w:i/>
          <w:iCs/>
          <w:sz w:val="24"/>
          <w:szCs w:val="24"/>
          <w:lang w:val="en-US"/>
        </w:rPr>
        <w:t>fl</w:t>
      </w:r>
      <w:proofErr w:type="spellEnd"/>
      <w:r w:rsidRPr="006B7558">
        <w:rPr>
          <w:i/>
          <w:iCs/>
          <w:sz w:val="24"/>
          <w:szCs w:val="24"/>
          <w:lang w:val="en-US"/>
        </w:rPr>
        <w:t>/+</w:t>
      </w:r>
      <w:r w:rsidRPr="006B7558">
        <w:rPr>
          <w:sz w:val="24"/>
          <w:szCs w:val="24"/>
          <w:lang w:val="en-US"/>
        </w:rPr>
        <w:t>) is evidenced by the presence of a 398 bp band corresponding to the ‘</w:t>
      </w:r>
      <w:proofErr w:type="gramStart"/>
      <w:r w:rsidRPr="006B7558">
        <w:rPr>
          <w:sz w:val="24"/>
          <w:szCs w:val="24"/>
          <w:lang w:val="en-US"/>
        </w:rPr>
        <w:t>wild-type</w:t>
      </w:r>
      <w:proofErr w:type="gramEnd"/>
      <w:r w:rsidRPr="006B7558">
        <w:rPr>
          <w:sz w:val="24"/>
          <w:szCs w:val="24"/>
          <w:lang w:val="en-US"/>
        </w:rPr>
        <w:t xml:space="preserve"> (WT)’ allele, the loss or significant reduction of the 510 bp ‘Floxed’ band, and the emergence of a 721 bp band corresponding to the deleted allele (KO). </w:t>
      </w:r>
      <w:r w:rsidRPr="006B7558">
        <w:rPr>
          <w:b/>
          <w:bCs/>
          <w:sz w:val="24"/>
          <w:szCs w:val="24"/>
          <w:lang w:val="en-US"/>
        </w:rPr>
        <w:t>(B)</w:t>
      </w:r>
      <w:r w:rsidRPr="006B7558">
        <w:rPr>
          <w:sz w:val="24"/>
          <w:szCs w:val="24"/>
          <w:lang w:val="en-US"/>
        </w:rPr>
        <w:t xml:space="preserve"> Body weight of mice over time, </w:t>
      </w:r>
      <w:proofErr w:type="spellStart"/>
      <w:r w:rsidRPr="006B7558">
        <w:rPr>
          <w:sz w:val="24"/>
          <w:szCs w:val="24"/>
          <w:lang w:val="en-US"/>
        </w:rPr>
        <w:t>normalised</w:t>
      </w:r>
      <w:proofErr w:type="spellEnd"/>
      <w:r w:rsidRPr="006B7558">
        <w:rPr>
          <w:sz w:val="24"/>
          <w:szCs w:val="24"/>
          <w:lang w:val="en-US"/>
        </w:rPr>
        <w:t xml:space="preserve"> to day 0. Data represent </w:t>
      </w:r>
      <w:r w:rsidRPr="006B7558">
        <w:rPr>
          <w:i/>
          <w:iCs/>
          <w:sz w:val="24"/>
          <w:szCs w:val="24"/>
          <w:lang w:val="en-US"/>
        </w:rPr>
        <w:t xml:space="preserve">n </w:t>
      </w:r>
      <w:r w:rsidRPr="006B7558">
        <w:rPr>
          <w:sz w:val="24"/>
          <w:szCs w:val="24"/>
          <w:lang w:val="en-US"/>
        </w:rPr>
        <w:t xml:space="preserve">&gt; 6 biologically independent mice of each genotype from </w:t>
      </w:r>
      <w:r w:rsidRPr="006B7558">
        <w:rPr>
          <w:i/>
          <w:iCs/>
          <w:sz w:val="24"/>
          <w:szCs w:val="24"/>
          <w:lang w:val="en-US"/>
        </w:rPr>
        <w:t xml:space="preserve">n = </w:t>
      </w:r>
      <w:r w:rsidRPr="006B7558">
        <w:rPr>
          <w:sz w:val="24"/>
          <w:szCs w:val="24"/>
          <w:lang w:val="en-US"/>
        </w:rPr>
        <w:t xml:space="preserve">3 independent experiments. </w:t>
      </w:r>
      <w:r w:rsidRPr="006B7558">
        <w:rPr>
          <w:b/>
          <w:bCs/>
          <w:sz w:val="24"/>
          <w:szCs w:val="24"/>
          <w:lang w:val="en-US"/>
        </w:rPr>
        <w:t>(C)</w:t>
      </w:r>
      <w:r w:rsidRPr="006B7558">
        <w:rPr>
          <w:sz w:val="24"/>
          <w:szCs w:val="24"/>
          <w:lang w:val="en-US"/>
        </w:rPr>
        <w:t xml:space="preserve"> Distal colon crypt width of </w:t>
      </w:r>
      <w:r w:rsidRPr="006B7558">
        <w:rPr>
          <w:i/>
          <w:iCs/>
          <w:sz w:val="24"/>
          <w:szCs w:val="24"/>
          <w:lang w:val="en-US"/>
        </w:rPr>
        <w:t>Becn1</w:t>
      </w:r>
      <w:r w:rsidRPr="006B7558">
        <w:rPr>
          <w:i/>
          <w:iCs/>
          <w:sz w:val="24"/>
          <w:szCs w:val="24"/>
          <w:vertAlign w:val="superscript"/>
          <w:lang w:val="en-US"/>
        </w:rPr>
        <w:t>+/+</w:t>
      </w:r>
      <w:r w:rsidRPr="006B7558">
        <w:rPr>
          <w:sz w:val="24"/>
          <w:szCs w:val="24"/>
          <w:lang w:val="en-US"/>
        </w:rPr>
        <w:t xml:space="preserve"> and </w:t>
      </w:r>
      <w:r w:rsidRPr="006B7558">
        <w:rPr>
          <w:i/>
          <w:iCs/>
          <w:sz w:val="24"/>
          <w:szCs w:val="24"/>
          <w:lang w:val="en-US"/>
        </w:rPr>
        <w:t>Becn1</w:t>
      </w:r>
      <w:r w:rsidRPr="006B7558">
        <w:rPr>
          <w:i/>
          <w:iCs/>
          <w:sz w:val="24"/>
          <w:szCs w:val="24"/>
          <w:vertAlign w:val="superscript"/>
          <w:lang w:val="en-US"/>
        </w:rPr>
        <w:t>+/-</w:t>
      </w:r>
      <w:r w:rsidRPr="006B7558">
        <w:rPr>
          <w:sz w:val="24"/>
          <w:szCs w:val="24"/>
          <w:lang w:val="en-US"/>
        </w:rPr>
        <w:t xml:space="preserve"> mice at days 7 and 35 post-tamoxifen administration. Data represent </w:t>
      </w:r>
      <w:r w:rsidRPr="006B7558">
        <w:rPr>
          <w:i/>
          <w:iCs/>
          <w:sz w:val="24"/>
          <w:szCs w:val="24"/>
          <w:lang w:val="en-US"/>
        </w:rPr>
        <w:t>n</w:t>
      </w:r>
      <w:r w:rsidRPr="006B7558">
        <w:rPr>
          <w:sz w:val="24"/>
          <w:szCs w:val="24"/>
          <w:lang w:val="en-US"/>
        </w:rPr>
        <w:t xml:space="preserve"> &gt; 4 animals per genotype from </w:t>
      </w:r>
      <w:r w:rsidRPr="006B7558">
        <w:rPr>
          <w:i/>
          <w:iCs/>
          <w:sz w:val="24"/>
          <w:szCs w:val="24"/>
          <w:lang w:val="en-US"/>
        </w:rPr>
        <w:t>n</w:t>
      </w:r>
      <w:r w:rsidRPr="006B7558">
        <w:rPr>
          <w:sz w:val="24"/>
          <w:szCs w:val="24"/>
          <w:lang w:val="en-US"/>
        </w:rPr>
        <w:t xml:space="preserve"> = 3 independent experiments. </w:t>
      </w:r>
      <w:r w:rsidRPr="006B7558">
        <w:rPr>
          <w:b/>
          <w:bCs/>
          <w:sz w:val="24"/>
          <w:szCs w:val="24"/>
          <w:lang w:val="en-US"/>
        </w:rPr>
        <w:t xml:space="preserve">(D) </w:t>
      </w:r>
      <w:r w:rsidRPr="006B7558">
        <w:rPr>
          <w:sz w:val="24"/>
          <w:szCs w:val="24"/>
          <w:lang w:val="en-US"/>
        </w:rPr>
        <w:t xml:space="preserve">Representative images of intestinal tracts of </w:t>
      </w:r>
      <w:r w:rsidRPr="006B7558">
        <w:rPr>
          <w:i/>
          <w:iCs/>
          <w:sz w:val="24"/>
          <w:szCs w:val="24"/>
          <w:lang w:val="en-US"/>
        </w:rPr>
        <w:t>Becn1</w:t>
      </w:r>
      <w:r w:rsidRPr="006B7558">
        <w:rPr>
          <w:i/>
          <w:iCs/>
          <w:sz w:val="24"/>
          <w:szCs w:val="24"/>
          <w:vertAlign w:val="superscript"/>
          <w:lang w:val="en-US"/>
        </w:rPr>
        <w:t>+/+</w:t>
      </w:r>
      <w:r w:rsidRPr="006B7558">
        <w:rPr>
          <w:sz w:val="24"/>
          <w:szCs w:val="24"/>
          <w:lang w:val="en-US"/>
        </w:rPr>
        <w:t xml:space="preserve"> and </w:t>
      </w:r>
      <w:r w:rsidRPr="006B7558">
        <w:rPr>
          <w:i/>
          <w:iCs/>
          <w:sz w:val="24"/>
          <w:szCs w:val="24"/>
          <w:lang w:val="en-US"/>
        </w:rPr>
        <w:t>Becn1</w:t>
      </w:r>
      <w:r w:rsidRPr="006B7558">
        <w:rPr>
          <w:i/>
          <w:iCs/>
          <w:sz w:val="24"/>
          <w:szCs w:val="24"/>
          <w:vertAlign w:val="superscript"/>
          <w:lang w:val="en-US"/>
        </w:rPr>
        <w:t>+/-</w:t>
      </w:r>
      <w:r w:rsidRPr="006B7558">
        <w:rPr>
          <w:iCs/>
          <w:sz w:val="24"/>
          <w:szCs w:val="24"/>
          <w:lang w:val="en-US"/>
        </w:rPr>
        <w:t xml:space="preserve"> </w:t>
      </w:r>
      <w:r w:rsidRPr="006B7558">
        <w:rPr>
          <w:sz w:val="24"/>
          <w:szCs w:val="24"/>
          <w:lang w:val="en-US"/>
        </w:rPr>
        <w:t xml:space="preserve">mice along with the measurements of intestinal length at Day 35 post Tamoxifen administration. Data represent </w:t>
      </w:r>
      <w:r w:rsidRPr="006B7558">
        <w:rPr>
          <w:i/>
          <w:iCs/>
          <w:sz w:val="24"/>
          <w:szCs w:val="24"/>
          <w:lang w:val="en-US"/>
        </w:rPr>
        <w:t>n</w:t>
      </w:r>
      <w:r w:rsidRPr="006B7558">
        <w:rPr>
          <w:sz w:val="24"/>
          <w:szCs w:val="24"/>
          <w:lang w:val="en-US"/>
        </w:rPr>
        <w:t xml:space="preserve"> &gt; 3 animals per genotype. </w:t>
      </w:r>
      <w:r w:rsidRPr="006B7558">
        <w:rPr>
          <w:b/>
          <w:bCs/>
          <w:sz w:val="24"/>
          <w:szCs w:val="24"/>
          <w:lang w:val="en-US"/>
        </w:rPr>
        <w:t xml:space="preserve">(E) </w:t>
      </w:r>
      <w:r w:rsidRPr="006B7558">
        <w:rPr>
          <w:sz w:val="24"/>
          <w:szCs w:val="24"/>
        </w:rPr>
        <w:t>H&amp;E</w:t>
      </w:r>
      <w:r w:rsidR="00DA6C4D" w:rsidRPr="006B7558">
        <w:rPr>
          <w:sz w:val="24"/>
          <w:szCs w:val="24"/>
        </w:rPr>
        <w:t>-</w:t>
      </w:r>
      <w:r w:rsidRPr="006B7558">
        <w:rPr>
          <w:sz w:val="24"/>
          <w:szCs w:val="24"/>
        </w:rPr>
        <w:t xml:space="preserve">stained FFPE sections of </w:t>
      </w:r>
      <w:r w:rsidRPr="006B7558">
        <w:rPr>
          <w:i/>
          <w:iCs/>
          <w:sz w:val="24"/>
          <w:szCs w:val="24"/>
        </w:rPr>
        <w:t>Becn1</w:t>
      </w:r>
      <w:r w:rsidRPr="006B7558">
        <w:rPr>
          <w:i/>
          <w:iCs/>
          <w:sz w:val="24"/>
          <w:szCs w:val="24"/>
          <w:vertAlign w:val="superscript"/>
        </w:rPr>
        <w:t xml:space="preserve">+/+ </w:t>
      </w:r>
      <w:r w:rsidRPr="006B7558">
        <w:rPr>
          <w:sz w:val="24"/>
          <w:szCs w:val="24"/>
        </w:rPr>
        <w:t>and</w:t>
      </w:r>
      <w:r w:rsidRPr="006B7558">
        <w:rPr>
          <w:i/>
          <w:iCs/>
          <w:sz w:val="24"/>
          <w:szCs w:val="24"/>
        </w:rPr>
        <w:t xml:space="preserve"> Becn1</w:t>
      </w:r>
      <w:r w:rsidRPr="006B7558">
        <w:rPr>
          <w:i/>
          <w:iCs/>
          <w:sz w:val="24"/>
          <w:szCs w:val="24"/>
          <w:vertAlign w:val="superscript"/>
        </w:rPr>
        <w:t>+/-</w:t>
      </w:r>
      <w:r w:rsidRPr="006B7558">
        <w:rPr>
          <w:i/>
          <w:iCs/>
          <w:sz w:val="24"/>
          <w:szCs w:val="24"/>
        </w:rPr>
        <w:t xml:space="preserve"> </w:t>
      </w:r>
      <w:r w:rsidRPr="006B7558">
        <w:rPr>
          <w:sz w:val="24"/>
          <w:szCs w:val="24"/>
        </w:rPr>
        <w:t>mice intestinal tract</w:t>
      </w:r>
      <w:r w:rsidR="002A52F6" w:rsidRPr="006B7558">
        <w:rPr>
          <w:sz w:val="24"/>
          <w:szCs w:val="24"/>
        </w:rPr>
        <w:t>s</w:t>
      </w:r>
      <w:r w:rsidRPr="006B7558">
        <w:rPr>
          <w:sz w:val="24"/>
          <w:szCs w:val="24"/>
        </w:rPr>
        <w:t xml:space="preserve"> at 35 days post-tamoxifen administration. Scale bars </w:t>
      </w:r>
      <w:r w:rsidR="00F11ADC" w:rsidRPr="006B7558">
        <w:rPr>
          <w:sz w:val="24"/>
          <w:szCs w:val="24"/>
        </w:rPr>
        <w:t xml:space="preserve">= </w:t>
      </w:r>
      <w:r w:rsidRPr="006B7558">
        <w:rPr>
          <w:sz w:val="24"/>
          <w:szCs w:val="24"/>
        </w:rPr>
        <w:t xml:space="preserve">200 </w:t>
      </w:r>
      <w:proofErr w:type="spellStart"/>
      <w:r w:rsidRPr="006B7558">
        <w:rPr>
          <w:sz w:val="24"/>
          <w:szCs w:val="24"/>
        </w:rPr>
        <w:t>μm</w:t>
      </w:r>
      <w:proofErr w:type="spellEnd"/>
      <w:r w:rsidRPr="006B7558">
        <w:rPr>
          <w:sz w:val="24"/>
          <w:szCs w:val="24"/>
        </w:rPr>
        <w:t xml:space="preserve">. Data represent </w:t>
      </w:r>
      <w:r w:rsidRPr="006B7558">
        <w:rPr>
          <w:i/>
          <w:iCs/>
          <w:sz w:val="24"/>
          <w:szCs w:val="24"/>
        </w:rPr>
        <w:t>n</w:t>
      </w:r>
      <w:r w:rsidRPr="006B7558">
        <w:rPr>
          <w:sz w:val="24"/>
          <w:szCs w:val="24"/>
        </w:rPr>
        <w:t xml:space="preserve"> = 6 from </w:t>
      </w:r>
      <w:r w:rsidRPr="006B7558">
        <w:rPr>
          <w:i/>
          <w:iCs/>
          <w:sz w:val="24"/>
          <w:szCs w:val="24"/>
        </w:rPr>
        <w:t>n</w:t>
      </w:r>
      <w:r w:rsidRPr="006B7558">
        <w:rPr>
          <w:sz w:val="24"/>
          <w:szCs w:val="24"/>
        </w:rPr>
        <w:t xml:space="preserve"> = 3 independent </w:t>
      </w:r>
      <w:r w:rsidRPr="006B7558">
        <w:rPr>
          <w:sz w:val="24"/>
          <w:szCs w:val="24"/>
        </w:rPr>
        <w:lastRenderedPageBreak/>
        <w:t xml:space="preserve">experiments. </w:t>
      </w:r>
      <w:r w:rsidRPr="006B7558">
        <w:rPr>
          <w:sz w:val="24"/>
          <w:szCs w:val="24"/>
          <w:lang w:val="en-US"/>
        </w:rPr>
        <w:t>Graphs show the mean ± S.E.M. Statistical significance was determined using unpaired (Student’s) t-test.</w:t>
      </w:r>
      <w:r w:rsidRPr="006B7558">
        <w:rPr>
          <w:sz w:val="24"/>
          <w:szCs w:val="24"/>
        </w:rPr>
        <w:t xml:space="preserve"> </w:t>
      </w:r>
      <w:r w:rsidRPr="006B7558">
        <w:rPr>
          <w:sz w:val="24"/>
          <w:szCs w:val="24"/>
          <w:lang w:val="en-US"/>
        </w:rPr>
        <w:t xml:space="preserve">SI: small intestine. Duo: Duodenum. </w:t>
      </w:r>
      <w:proofErr w:type="spellStart"/>
      <w:r w:rsidRPr="006B7558">
        <w:rPr>
          <w:sz w:val="24"/>
          <w:szCs w:val="24"/>
          <w:lang w:val="en-US"/>
        </w:rPr>
        <w:t>Jej</w:t>
      </w:r>
      <w:proofErr w:type="spellEnd"/>
      <w:r w:rsidRPr="006B7558">
        <w:rPr>
          <w:sz w:val="24"/>
          <w:szCs w:val="24"/>
          <w:lang w:val="en-US"/>
        </w:rPr>
        <w:t xml:space="preserve">: jejunum. Ile: ileum. Col: colon. BP: base pairs. Pos: positive control. Neg: negative control. </w:t>
      </w:r>
    </w:p>
    <w:p w14:paraId="6F1F34AE" w14:textId="77777777" w:rsidR="00D61575" w:rsidRPr="006B7558" w:rsidRDefault="00D61575" w:rsidP="00CE5724">
      <w:pPr>
        <w:spacing w:line="480" w:lineRule="auto"/>
        <w:jc w:val="both"/>
        <w:rPr>
          <w:rFonts w:ascii="Aptos" w:hAnsi="Aptos" w:cs="Times New Roman"/>
          <w:sz w:val="24"/>
          <w:szCs w:val="24"/>
          <w:lang w:val="en-US"/>
        </w:rPr>
      </w:pPr>
    </w:p>
    <w:p w14:paraId="618CBE50" w14:textId="2A8B24C6" w:rsidR="003218F9" w:rsidRPr="006B7558" w:rsidRDefault="00CE5724" w:rsidP="00CE5724">
      <w:pPr>
        <w:spacing w:line="480" w:lineRule="auto"/>
        <w:jc w:val="both"/>
        <w:rPr>
          <w:sz w:val="24"/>
          <w:szCs w:val="24"/>
        </w:rPr>
      </w:pPr>
      <w:r w:rsidRPr="006B7558">
        <w:rPr>
          <w:b/>
          <w:bCs/>
          <w:sz w:val="24"/>
          <w:szCs w:val="24"/>
        </w:rPr>
        <w:t xml:space="preserve">Supplementary Figure 2. BECLIN1 reduction in intestinal organoids does not inhibit basal autophagic function. (A) </w:t>
      </w:r>
      <w:r w:rsidRPr="006B7558">
        <w:rPr>
          <w:sz w:val="24"/>
          <w:szCs w:val="24"/>
        </w:rPr>
        <w:t xml:space="preserve">Representative Western immunoblot measuring BECLIN1 levels in </w:t>
      </w:r>
      <w:r w:rsidRPr="006B7558">
        <w:rPr>
          <w:i/>
          <w:iCs/>
          <w:sz w:val="24"/>
          <w:szCs w:val="24"/>
        </w:rPr>
        <w:t>Becn1</w:t>
      </w:r>
      <w:r w:rsidRPr="006B7558">
        <w:rPr>
          <w:i/>
          <w:iCs/>
          <w:sz w:val="24"/>
          <w:szCs w:val="24"/>
          <w:vertAlign w:val="superscript"/>
        </w:rPr>
        <w:t>+/+</w:t>
      </w:r>
      <w:r w:rsidRPr="006B7558">
        <w:rPr>
          <w:i/>
          <w:iCs/>
          <w:sz w:val="24"/>
          <w:szCs w:val="24"/>
        </w:rPr>
        <w:t>, Becn1</w:t>
      </w:r>
      <w:r w:rsidRPr="006B7558">
        <w:rPr>
          <w:i/>
          <w:iCs/>
          <w:sz w:val="24"/>
          <w:szCs w:val="24"/>
          <w:vertAlign w:val="superscript"/>
        </w:rPr>
        <w:t>+/-</w:t>
      </w:r>
      <w:r w:rsidRPr="006B7558">
        <w:rPr>
          <w:i/>
          <w:iCs/>
          <w:sz w:val="24"/>
          <w:szCs w:val="24"/>
        </w:rPr>
        <w:t xml:space="preserve"> and Becn1</w:t>
      </w:r>
      <w:r w:rsidRPr="006B7558">
        <w:rPr>
          <w:i/>
          <w:iCs/>
          <w:sz w:val="24"/>
          <w:szCs w:val="24"/>
          <w:vertAlign w:val="superscript"/>
        </w:rPr>
        <w:t>-/-</w:t>
      </w:r>
      <w:r w:rsidRPr="006B7558">
        <w:rPr>
          <w:i/>
          <w:iCs/>
          <w:sz w:val="24"/>
          <w:szCs w:val="24"/>
        </w:rPr>
        <w:t xml:space="preserve"> </w:t>
      </w:r>
      <w:r w:rsidRPr="006B7558">
        <w:rPr>
          <w:sz w:val="24"/>
          <w:szCs w:val="24"/>
        </w:rPr>
        <w:t xml:space="preserve">organoids at day 7 post-4HT treatment. </w:t>
      </w:r>
      <w:r w:rsidRPr="006B7558">
        <w:rPr>
          <w:b/>
          <w:bCs/>
          <w:sz w:val="24"/>
          <w:szCs w:val="24"/>
        </w:rPr>
        <w:t xml:space="preserve">(B) </w:t>
      </w:r>
      <w:r w:rsidRPr="006B7558">
        <w:rPr>
          <w:sz w:val="24"/>
          <w:szCs w:val="24"/>
        </w:rPr>
        <w:t>Western blot assessment of</w:t>
      </w:r>
      <w:r w:rsidR="006102E9" w:rsidRPr="006B7558">
        <w:rPr>
          <w:sz w:val="24"/>
          <w:szCs w:val="24"/>
        </w:rPr>
        <w:t xml:space="preserve"> basal</w:t>
      </w:r>
      <w:r w:rsidRPr="006B7558">
        <w:rPr>
          <w:sz w:val="24"/>
          <w:szCs w:val="24"/>
        </w:rPr>
        <w:t xml:space="preserve"> autophagy in </w:t>
      </w:r>
      <w:r w:rsidRPr="006B7558">
        <w:rPr>
          <w:i/>
          <w:iCs/>
          <w:sz w:val="24"/>
          <w:szCs w:val="24"/>
        </w:rPr>
        <w:t>Becn1</w:t>
      </w:r>
      <w:r w:rsidRPr="006B7558">
        <w:rPr>
          <w:i/>
          <w:iCs/>
          <w:sz w:val="24"/>
          <w:szCs w:val="24"/>
          <w:vertAlign w:val="superscript"/>
        </w:rPr>
        <w:t>+/+</w:t>
      </w:r>
      <w:r w:rsidRPr="006B7558">
        <w:rPr>
          <w:i/>
          <w:iCs/>
          <w:sz w:val="24"/>
          <w:szCs w:val="24"/>
        </w:rPr>
        <w:t>,</w:t>
      </w:r>
      <w:r w:rsidRPr="006B7558">
        <w:rPr>
          <w:sz w:val="24"/>
          <w:szCs w:val="24"/>
        </w:rPr>
        <w:t xml:space="preserve"> </w:t>
      </w:r>
      <w:r w:rsidRPr="006B7558">
        <w:rPr>
          <w:i/>
          <w:iCs/>
          <w:sz w:val="24"/>
          <w:szCs w:val="24"/>
        </w:rPr>
        <w:t>Becn1</w:t>
      </w:r>
      <w:r w:rsidRPr="006B7558">
        <w:rPr>
          <w:i/>
          <w:iCs/>
          <w:sz w:val="24"/>
          <w:szCs w:val="24"/>
          <w:vertAlign w:val="superscript"/>
        </w:rPr>
        <w:t>+/-</w:t>
      </w:r>
      <w:r w:rsidRPr="006B7558">
        <w:rPr>
          <w:sz w:val="24"/>
          <w:szCs w:val="24"/>
        </w:rPr>
        <w:t xml:space="preserve"> and </w:t>
      </w:r>
      <w:r w:rsidRPr="006B7558">
        <w:rPr>
          <w:i/>
          <w:iCs/>
          <w:sz w:val="24"/>
          <w:szCs w:val="24"/>
        </w:rPr>
        <w:t>Becn1</w:t>
      </w:r>
      <w:r w:rsidRPr="006B7558">
        <w:rPr>
          <w:i/>
          <w:iCs/>
          <w:sz w:val="24"/>
          <w:szCs w:val="24"/>
          <w:vertAlign w:val="superscript"/>
        </w:rPr>
        <w:t>-/-</w:t>
      </w:r>
      <w:r w:rsidRPr="006B7558">
        <w:rPr>
          <w:sz w:val="24"/>
          <w:szCs w:val="24"/>
        </w:rPr>
        <w:t xml:space="preserve"> organoids, analysing total levels of P62, LC3B-1 and LC3B-II</w:t>
      </w:r>
      <w:r w:rsidR="009A241F" w:rsidRPr="006B7558">
        <w:rPr>
          <w:sz w:val="24"/>
          <w:szCs w:val="24"/>
        </w:rPr>
        <w:t>, with GAPDH serving as a loading control</w:t>
      </w:r>
      <w:r w:rsidRPr="006B7558">
        <w:rPr>
          <w:sz w:val="24"/>
          <w:szCs w:val="24"/>
        </w:rPr>
        <w:t xml:space="preserve">. Images are representative from </w:t>
      </w:r>
      <w:r w:rsidRPr="006B7558">
        <w:rPr>
          <w:i/>
          <w:iCs/>
          <w:sz w:val="24"/>
          <w:szCs w:val="24"/>
        </w:rPr>
        <w:t xml:space="preserve">n = </w:t>
      </w:r>
      <w:r w:rsidRPr="006B7558">
        <w:rPr>
          <w:sz w:val="24"/>
          <w:szCs w:val="24"/>
        </w:rPr>
        <w:t xml:space="preserve">3 independent experiments with </w:t>
      </w:r>
      <w:r w:rsidRPr="006B7558">
        <w:rPr>
          <w:i/>
          <w:iCs/>
          <w:sz w:val="24"/>
          <w:szCs w:val="24"/>
        </w:rPr>
        <w:t xml:space="preserve">n = </w:t>
      </w:r>
      <w:r w:rsidRPr="006B7558">
        <w:rPr>
          <w:sz w:val="24"/>
          <w:szCs w:val="24"/>
        </w:rPr>
        <w:t xml:space="preserve">3 different biological replicates. </w:t>
      </w:r>
      <w:r w:rsidR="00C86F8D" w:rsidRPr="006B7558">
        <w:rPr>
          <w:b/>
          <w:bCs/>
          <w:sz w:val="24"/>
          <w:szCs w:val="24"/>
        </w:rPr>
        <w:t>(C)</w:t>
      </w:r>
      <w:r w:rsidR="00C86F8D" w:rsidRPr="006B7558">
        <w:rPr>
          <w:sz w:val="24"/>
          <w:szCs w:val="24"/>
        </w:rPr>
        <w:t xml:space="preserve"> Representative KI-67 immunostaining of FFPE sections from </w:t>
      </w:r>
      <w:r w:rsidR="00C86F8D" w:rsidRPr="006B7558">
        <w:rPr>
          <w:i/>
          <w:iCs/>
          <w:sz w:val="24"/>
          <w:szCs w:val="24"/>
        </w:rPr>
        <w:t>Becn1</w:t>
      </w:r>
      <w:r w:rsidR="00C86F8D" w:rsidRPr="006B7558">
        <w:rPr>
          <w:i/>
          <w:iCs/>
          <w:sz w:val="24"/>
          <w:szCs w:val="24"/>
          <w:vertAlign w:val="superscript"/>
        </w:rPr>
        <w:t>+/+</w:t>
      </w:r>
      <w:r w:rsidR="00C86F8D" w:rsidRPr="006B7558">
        <w:rPr>
          <w:sz w:val="24"/>
          <w:szCs w:val="24"/>
        </w:rPr>
        <w:t xml:space="preserve"> and </w:t>
      </w:r>
      <w:r w:rsidR="00C86F8D" w:rsidRPr="006B7558">
        <w:rPr>
          <w:i/>
          <w:iCs/>
          <w:sz w:val="24"/>
          <w:szCs w:val="24"/>
        </w:rPr>
        <w:t>Becn1</w:t>
      </w:r>
      <w:r w:rsidR="00C86F8D" w:rsidRPr="006B7558">
        <w:rPr>
          <w:i/>
          <w:iCs/>
          <w:sz w:val="24"/>
          <w:szCs w:val="24"/>
          <w:vertAlign w:val="superscript"/>
        </w:rPr>
        <w:t>+/-</w:t>
      </w:r>
      <w:r w:rsidR="00C86F8D" w:rsidRPr="006B7558">
        <w:rPr>
          <w:sz w:val="24"/>
          <w:szCs w:val="24"/>
        </w:rPr>
        <w:t xml:space="preserve"> mice at day 7 post-tamoxifen administration across different segments of the small and large intestine. Red arrowheads indicate intact proliferative activity within the intestinal stem cell compartments.</w:t>
      </w:r>
      <w:r w:rsidR="003218F9" w:rsidRPr="006B7558">
        <w:rPr>
          <w:sz w:val="24"/>
          <w:szCs w:val="24"/>
        </w:rPr>
        <w:t xml:space="preserve"> Data represent </w:t>
      </w:r>
      <w:r w:rsidR="003218F9" w:rsidRPr="006B7558">
        <w:rPr>
          <w:i/>
          <w:iCs/>
          <w:sz w:val="24"/>
          <w:szCs w:val="24"/>
        </w:rPr>
        <w:t>n</w:t>
      </w:r>
      <w:r w:rsidR="003218F9" w:rsidRPr="006B7558">
        <w:rPr>
          <w:sz w:val="24"/>
          <w:szCs w:val="24"/>
        </w:rPr>
        <w:t xml:space="preserve"> = 6 from </w:t>
      </w:r>
      <w:r w:rsidR="003218F9" w:rsidRPr="006B7558">
        <w:rPr>
          <w:i/>
          <w:iCs/>
          <w:sz w:val="24"/>
          <w:szCs w:val="24"/>
        </w:rPr>
        <w:t>n</w:t>
      </w:r>
      <w:r w:rsidR="003218F9" w:rsidRPr="006B7558">
        <w:rPr>
          <w:sz w:val="24"/>
          <w:szCs w:val="24"/>
        </w:rPr>
        <w:t xml:space="preserve"> = 3 independent experiments.</w:t>
      </w:r>
      <w:r w:rsidR="00C86F8D" w:rsidRPr="006B7558">
        <w:rPr>
          <w:sz w:val="24"/>
          <w:szCs w:val="24"/>
        </w:rPr>
        <w:t xml:space="preserve"> Scale bar = 100 </w:t>
      </w:r>
      <w:proofErr w:type="spellStart"/>
      <w:r w:rsidR="00C86F8D" w:rsidRPr="006B7558">
        <w:rPr>
          <w:sz w:val="24"/>
          <w:szCs w:val="24"/>
        </w:rPr>
        <w:t>μm</w:t>
      </w:r>
      <w:proofErr w:type="spellEnd"/>
      <w:r w:rsidR="003218F9" w:rsidRPr="006B7558">
        <w:rPr>
          <w:sz w:val="24"/>
          <w:szCs w:val="24"/>
        </w:rPr>
        <w:t xml:space="preserve">. </w:t>
      </w:r>
    </w:p>
    <w:p w14:paraId="004D9DB6" w14:textId="77777777" w:rsidR="00CE5724" w:rsidRPr="006B7558" w:rsidRDefault="00CE5724" w:rsidP="00CE5724">
      <w:pPr>
        <w:spacing w:line="480" w:lineRule="auto"/>
        <w:jc w:val="both"/>
        <w:rPr>
          <w:rFonts w:ascii="Aptos" w:hAnsi="Aptos" w:cs="Times New Roman"/>
          <w:sz w:val="24"/>
          <w:szCs w:val="24"/>
          <w:lang w:val="en-US"/>
        </w:rPr>
      </w:pPr>
    </w:p>
    <w:p w14:paraId="3CA7ED3D" w14:textId="7EAA787D" w:rsidR="00CE5724" w:rsidRPr="006B7558" w:rsidRDefault="00CE5724" w:rsidP="00CE5724">
      <w:pPr>
        <w:spacing w:line="480" w:lineRule="auto"/>
        <w:jc w:val="both"/>
        <w:rPr>
          <w:sz w:val="24"/>
          <w:szCs w:val="24"/>
        </w:rPr>
      </w:pPr>
      <w:r w:rsidRPr="006B7558">
        <w:rPr>
          <w:b/>
          <w:bCs/>
          <w:sz w:val="24"/>
          <w:szCs w:val="24"/>
        </w:rPr>
        <w:t xml:space="preserve">Supplementary Figure 3. Visualisation of RAB5 and E-CADHERIN colocalisation in intestinal organoids. </w:t>
      </w:r>
      <w:r w:rsidRPr="006B7558">
        <w:rPr>
          <w:sz w:val="24"/>
          <w:szCs w:val="24"/>
        </w:rPr>
        <w:t xml:space="preserve">Representative images of whole-mount </w:t>
      </w:r>
      <w:proofErr w:type="spellStart"/>
      <w:r w:rsidRPr="006B7558">
        <w:rPr>
          <w:sz w:val="24"/>
          <w:szCs w:val="24"/>
        </w:rPr>
        <w:t>immunostained</w:t>
      </w:r>
      <w:proofErr w:type="spellEnd"/>
      <w:r w:rsidRPr="006B7558">
        <w:rPr>
          <w:sz w:val="24"/>
          <w:szCs w:val="24"/>
        </w:rPr>
        <w:t xml:space="preserve"> intestinal organoids from</w:t>
      </w:r>
      <w:r w:rsidRPr="006B7558">
        <w:rPr>
          <w:i/>
          <w:iCs/>
          <w:sz w:val="24"/>
          <w:szCs w:val="24"/>
        </w:rPr>
        <w:t xml:space="preserve"> Becn1</w:t>
      </w:r>
      <w:r w:rsidRPr="006B7558">
        <w:rPr>
          <w:i/>
          <w:iCs/>
          <w:sz w:val="24"/>
          <w:szCs w:val="24"/>
          <w:vertAlign w:val="superscript"/>
        </w:rPr>
        <w:t>+/+</w:t>
      </w:r>
      <w:r w:rsidRPr="006B7558">
        <w:rPr>
          <w:sz w:val="24"/>
          <w:szCs w:val="24"/>
        </w:rPr>
        <w:t xml:space="preserve">, </w:t>
      </w:r>
      <w:r w:rsidRPr="006B7558">
        <w:rPr>
          <w:i/>
          <w:iCs/>
          <w:sz w:val="24"/>
          <w:szCs w:val="24"/>
        </w:rPr>
        <w:t>Becn1</w:t>
      </w:r>
      <w:r w:rsidRPr="006B7558">
        <w:rPr>
          <w:i/>
          <w:iCs/>
          <w:sz w:val="24"/>
          <w:szCs w:val="24"/>
          <w:vertAlign w:val="superscript"/>
        </w:rPr>
        <w:t>+/-</w:t>
      </w:r>
      <w:r w:rsidRPr="006B7558">
        <w:rPr>
          <w:sz w:val="24"/>
          <w:szCs w:val="24"/>
        </w:rPr>
        <w:t xml:space="preserve"> and </w:t>
      </w:r>
      <w:r w:rsidRPr="006B7558">
        <w:rPr>
          <w:i/>
          <w:iCs/>
          <w:sz w:val="24"/>
          <w:szCs w:val="24"/>
        </w:rPr>
        <w:t>Becn1</w:t>
      </w:r>
      <w:r w:rsidRPr="006B7558">
        <w:rPr>
          <w:i/>
          <w:iCs/>
          <w:sz w:val="24"/>
          <w:szCs w:val="24"/>
          <w:vertAlign w:val="superscript"/>
        </w:rPr>
        <w:t>-/-</w:t>
      </w:r>
      <w:r w:rsidRPr="006B7558">
        <w:rPr>
          <w:sz w:val="24"/>
          <w:szCs w:val="24"/>
        </w:rPr>
        <w:t xml:space="preserve"> </w:t>
      </w:r>
      <w:r w:rsidR="0001091A" w:rsidRPr="006B7558">
        <w:rPr>
          <w:sz w:val="24"/>
          <w:szCs w:val="24"/>
        </w:rPr>
        <w:t>mice</w:t>
      </w:r>
      <w:r w:rsidRPr="006B7558">
        <w:rPr>
          <w:sz w:val="24"/>
          <w:szCs w:val="24"/>
        </w:rPr>
        <w:t xml:space="preserve"> showing RAB5 and E-CADHERIN staining, analysed using </w:t>
      </w:r>
      <w:proofErr w:type="spellStart"/>
      <w:r w:rsidRPr="006B7558">
        <w:rPr>
          <w:sz w:val="24"/>
          <w:szCs w:val="24"/>
        </w:rPr>
        <w:t>BioP</w:t>
      </w:r>
      <w:proofErr w:type="spellEnd"/>
      <w:r w:rsidRPr="006B7558">
        <w:rPr>
          <w:sz w:val="24"/>
          <w:szCs w:val="24"/>
        </w:rPr>
        <w:t xml:space="preserve">-JACoP colocalisation with Otsu thresholding. Colocalised regions between RAB5 and E-CADHERIN are visualised in the MERGE (white) channel. </w:t>
      </w:r>
      <w:r w:rsidR="003B59FA" w:rsidRPr="006B7558">
        <w:rPr>
          <w:sz w:val="24"/>
          <w:szCs w:val="24"/>
        </w:rPr>
        <w:t>Scale bar = 5 µm.</w:t>
      </w:r>
    </w:p>
    <w:p w14:paraId="114517C1" w14:textId="77777777" w:rsidR="00CE5724" w:rsidRPr="006B7558" w:rsidRDefault="00CE5724" w:rsidP="00CE5724">
      <w:pPr>
        <w:spacing w:line="480" w:lineRule="auto"/>
        <w:jc w:val="both"/>
        <w:rPr>
          <w:b/>
          <w:bCs/>
          <w:iCs/>
          <w:sz w:val="24"/>
          <w:szCs w:val="24"/>
        </w:rPr>
      </w:pPr>
    </w:p>
    <w:p w14:paraId="22ACF9C4" w14:textId="3D7D1C22" w:rsidR="00CE5724" w:rsidRPr="006B7558" w:rsidRDefault="00CE5724" w:rsidP="00CE5724">
      <w:pPr>
        <w:spacing w:line="480" w:lineRule="auto"/>
        <w:jc w:val="both"/>
        <w:rPr>
          <w:iCs/>
          <w:sz w:val="24"/>
          <w:szCs w:val="24"/>
        </w:rPr>
      </w:pPr>
      <w:r w:rsidRPr="006B7558">
        <w:rPr>
          <w:b/>
          <w:bCs/>
          <w:iCs/>
          <w:sz w:val="24"/>
          <w:szCs w:val="24"/>
        </w:rPr>
        <w:t xml:space="preserve">Supplementary Figure 4. Baseline characteristics and intestinal length measurements of </w:t>
      </w:r>
      <w:r w:rsidRPr="006B7558">
        <w:rPr>
          <w:b/>
          <w:bCs/>
          <w:i/>
          <w:sz w:val="24"/>
          <w:szCs w:val="24"/>
        </w:rPr>
        <w:t>Becn1</w:t>
      </w:r>
      <w:r w:rsidRPr="006B7558">
        <w:rPr>
          <w:b/>
          <w:bCs/>
          <w:i/>
          <w:sz w:val="24"/>
          <w:szCs w:val="24"/>
          <w:vertAlign w:val="superscript"/>
        </w:rPr>
        <w:t>+/+</w:t>
      </w:r>
      <w:r w:rsidRPr="006B7558">
        <w:rPr>
          <w:b/>
          <w:bCs/>
          <w:i/>
          <w:sz w:val="24"/>
          <w:szCs w:val="24"/>
        </w:rPr>
        <w:t xml:space="preserve"> </w:t>
      </w:r>
      <w:r w:rsidRPr="006B7558">
        <w:rPr>
          <w:b/>
          <w:bCs/>
          <w:iCs/>
          <w:sz w:val="24"/>
          <w:szCs w:val="24"/>
        </w:rPr>
        <w:t xml:space="preserve">and </w:t>
      </w:r>
      <w:r w:rsidRPr="006B7558">
        <w:rPr>
          <w:b/>
          <w:bCs/>
          <w:i/>
          <w:sz w:val="24"/>
          <w:szCs w:val="24"/>
        </w:rPr>
        <w:t>Becn1</w:t>
      </w:r>
      <w:r w:rsidRPr="006B7558">
        <w:rPr>
          <w:b/>
          <w:bCs/>
          <w:i/>
          <w:sz w:val="24"/>
          <w:szCs w:val="24"/>
          <w:vertAlign w:val="superscript"/>
        </w:rPr>
        <w:t>+/-</w:t>
      </w:r>
      <w:r w:rsidRPr="006B7558">
        <w:rPr>
          <w:b/>
          <w:bCs/>
          <w:i/>
          <w:sz w:val="24"/>
          <w:szCs w:val="24"/>
        </w:rPr>
        <w:t xml:space="preserve"> </w:t>
      </w:r>
      <w:r w:rsidRPr="006B7558">
        <w:rPr>
          <w:b/>
          <w:bCs/>
          <w:iCs/>
          <w:sz w:val="24"/>
          <w:szCs w:val="24"/>
        </w:rPr>
        <w:t>mice following DSS or control treatment</w:t>
      </w:r>
      <w:r w:rsidR="00C0125D" w:rsidRPr="006B7558">
        <w:rPr>
          <w:b/>
          <w:bCs/>
          <w:iCs/>
          <w:sz w:val="24"/>
          <w:szCs w:val="24"/>
        </w:rPr>
        <w:t>.</w:t>
      </w:r>
      <w:r w:rsidRPr="006B7558">
        <w:rPr>
          <w:b/>
          <w:bCs/>
          <w:iCs/>
          <w:sz w:val="24"/>
          <w:szCs w:val="24"/>
        </w:rPr>
        <w:t xml:space="preserve"> (A) </w:t>
      </w:r>
      <w:r w:rsidRPr="006B7558">
        <w:rPr>
          <w:iCs/>
          <w:sz w:val="24"/>
          <w:szCs w:val="24"/>
        </w:rPr>
        <w:t>Starting weights of mice used in th</w:t>
      </w:r>
      <w:r w:rsidR="00C0125D" w:rsidRPr="006B7558">
        <w:rPr>
          <w:iCs/>
          <w:sz w:val="24"/>
          <w:szCs w:val="24"/>
        </w:rPr>
        <w:t>e</w:t>
      </w:r>
      <w:r w:rsidRPr="006B7558">
        <w:rPr>
          <w:iCs/>
          <w:sz w:val="24"/>
          <w:szCs w:val="24"/>
        </w:rPr>
        <w:t xml:space="preserve"> experiment</w:t>
      </w:r>
      <w:r w:rsidR="00C0125D" w:rsidRPr="006B7558">
        <w:rPr>
          <w:iCs/>
          <w:sz w:val="24"/>
          <w:szCs w:val="24"/>
        </w:rPr>
        <w:t>s</w:t>
      </w:r>
      <w:r w:rsidRPr="006B7558">
        <w:rPr>
          <w:iCs/>
          <w:sz w:val="24"/>
          <w:szCs w:val="24"/>
        </w:rPr>
        <w:t xml:space="preserve">, measured at day zero prior to Tamoxifen injections. </w:t>
      </w:r>
      <w:r w:rsidRPr="006B7558">
        <w:rPr>
          <w:b/>
          <w:bCs/>
          <w:iCs/>
          <w:sz w:val="24"/>
          <w:szCs w:val="24"/>
        </w:rPr>
        <w:t>(B)</w:t>
      </w:r>
      <w:r w:rsidRPr="006B7558">
        <w:rPr>
          <w:iCs/>
          <w:sz w:val="24"/>
          <w:szCs w:val="24"/>
        </w:rPr>
        <w:t xml:space="preserve"> The average amount of daily 2% DSS water intake, obtained by calculating the difference in weights of drinking water bottles at the start and end of experiment and dividing by the number of days the animals received treatment. </w:t>
      </w:r>
      <w:r w:rsidRPr="006B7558">
        <w:rPr>
          <w:b/>
          <w:bCs/>
          <w:iCs/>
          <w:sz w:val="24"/>
          <w:szCs w:val="24"/>
        </w:rPr>
        <w:t>(C)</w:t>
      </w:r>
      <w:r w:rsidRPr="006B7558">
        <w:rPr>
          <w:iCs/>
          <w:sz w:val="24"/>
          <w:szCs w:val="24"/>
        </w:rPr>
        <w:t xml:space="preserve"> Small intestinal lengths of </w:t>
      </w:r>
      <w:r w:rsidRPr="006B7558">
        <w:rPr>
          <w:i/>
          <w:sz w:val="24"/>
          <w:szCs w:val="24"/>
        </w:rPr>
        <w:t>Becn1</w:t>
      </w:r>
      <w:r w:rsidRPr="006B7558">
        <w:rPr>
          <w:i/>
          <w:sz w:val="24"/>
          <w:szCs w:val="24"/>
          <w:vertAlign w:val="superscript"/>
        </w:rPr>
        <w:t>+/+</w:t>
      </w:r>
      <w:r w:rsidRPr="006B7558">
        <w:rPr>
          <w:i/>
          <w:sz w:val="24"/>
          <w:szCs w:val="24"/>
        </w:rPr>
        <w:t xml:space="preserve"> </w:t>
      </w:r>
      <w:r w:rsidRPr="006B7558">
        <w:rPr>
          <w:iCs/>
          <w:sz w:val="24"/>
          <w:szCs w:val="24"/>
        </w:rPr>
        <w:t xml:space="preserve">and </w:t>
      </w:r>
      <w:r w:rsidRPr="006B7558">
        <w:rPr>
          <w:i/>
          <w:sz w:val="24"/>
          <w:szCs w:val="24"/>
        </w:rPr>
        <w:t>Becn1</w:t>
      </w:r>
      <w:r w:rsidRPr="006B7558">
        <w:rPr>
          <w:i/>
          <w:sz w:val="24"/>
          <w:szCs w:val="24"/>
          <w:vertAlign w:val="superscript"/>
        </w:rPr>
        <w:t>+/-</w:t>
      </w:r>
      <w:r w:rsidRPr="006B7558">
        <w:rPr>
          <w:iCs/>
          <w:sz w:val="24"/>
          <w:szCs w:val="24"/>
        </w:rPr>
        <w:t xml:space="preserve"> mice who received normal drinking water (untreated) or 2% DSS drinking water (2% DSS) at endpoint. Data are representative of at least </w:t>
      </w:r>
      <w:r w:rsidRPr="006B7558">
        <w:rPr>
          <w:i/>
          <w:sz w:val="24"/>
          <w:szCs w:val="24"/>
        </w:rPr>
        <w:t xml:space="preserve">n = </w:t>
      </w:r>
      <w:r w:rsidRPr="006B7558">
        <w:rPr>
          <w:iCs/>
          <w:sz w:val="24"/>
          <w:szCs w:val="24"/>
        </w:rPr>
        <w:t xml:space="preserve">9 biologically independent mice from </w:t>
      </w:r>
      <w:r w:rsidRPr="006B7558">
        <w:rPr>
          <w:i/>
          <w:sz w:val="24"/>
          <w:szCs w:val="24"/>
        </w:rPr>
        <w:t xml:space="preserve">n = </w:t>
      </w:r>
      <w:r w:rsidRPr="006B7558">
        <w:rPr>
          <w:iCs/>
          <w:sz w:val="24"/>
          <w:szCs w:val="24"/>
        </w:rPr>
        <w:t xml:space="preserve">3 independent experiments. Graphs indicate the ± S.E.M. Statistical significance was determined using ordinary one-way ANOVA except in (B) where unpaired (Student’s) t-test was used. </w:t>
      </w:r>
      <w:r w:rsidRPr="006B7558">
        <w:rPr>
          <w:b/>
          <w:bCs/>
          <w:iCs/>
          <w:sz w:val="24"/>
          <w:szCs w:val="24"/>
        </w:rPr>
        <w:t xml:space="preserve">(D) </w:t>
      </w:r>
      <w:r w:rsidRPr="006B7558">
        <w:rPr>
          <w:iCs/>
          <w:sz w:val="24"/>
          <w:szCs w:val="24"/>
        </w:rPr>
        <w:t xml:space="preserve">Number and </w:t>
      </w:r>
      <w:r w:rsidRPr="006B7558">
        <w:rPr>
          <w:b/>
          <w:bCs/>
          <w:iCs/>
          <w:sz w:val="24"/>
          <w:szCs w:val="24"/>
        </w:rPr>
        <w:t>(E)</w:t>
      </w:r>
      <w:r w:rsidRPr="006B7558">
        <w:rPr>
          <w:iCs/>
          <w:sz w:val="24"/>
          <w:szCs w:val="24"/>
        </w:rPr>
        <w:t xml:space="preserve"> size of lymphoid follicles in the colon of </w:t>
      </w:r>
      <w:r w:rsidRPr="006B7558">
        <w:rPr>
          <w:i/>
          <w:sz w:val="24"/>
          <w:szCs w:val="24"/>
        </w:rPr>
        <w:t>Becn1</w:t>
      </w:r>
      <w:r w:rsidRPr="006B7558">
        <w:rPr>
          <w:i/>
          <w:sz w:val="24"/>
          <w:szCs w:val="24"/>
          <w:vertAlign w:val="superscript"/>
        </w:rPr>
        <w:t>+/+</w:t>
      </w:r>
      <w:r w:rsidRPr="006B7558">
        <w:rPr>
          <w:iCs/>
          <w:sz w:val="24"/>
          <w:szCs w:val="24"/>
        </w:rPr>
        <w:t xml:space="preserve"> and </w:t>
      </w:r>
      <w:r w:rsidRPr="006B7558">
        <w:rPr>
          <w:i/>
          <w:sz w:val="24"/>
          <w:szCs w:val="24"/>
        </w:rPr>
        <w:t>Becn1</w:t>
      </w:r>
      <w:r w:rsidRPr="006B7558">
        <w:rPr>
          <w:i/>
          <w:sz w:val="24"/>
          <w:szCs w:val="24"/>
          <w:vertAlign w:val="superscript"/>
        </w:rPr>
        <w:t>+/-</w:t>
      </w:r>
      <w:r w:rsidRPr="006B7558">
        <w:rPr>
          <w:iCs/>
          <w:sz w:val="24"/>
          <w:szCs w:val="24"/>
        </w:rPr>
        <w:t xml:space="preserve"> mice receiving normal drinking water or 2% DSS drinking water, calculated using H&amp;E stained FFPE colon sections. Data are representative of at least </w:t>
      </w:r>
      <w:r w:rsidRPr="006B7558">
        <w:rPr>
          <w:i/>
          <w:sz w:val="24"/>
          <w:szCs w:val="24"/>
        </w:rPr>
        <w:t xml:space="preserve">n = </w:t>
      </w:r>
      <w:r w:rsidRPr="006B7558">
        <w:rPr>
          <w:iCs/>
          <w:sz w:val="24"/>
          <w:szCs w:val="24"/>
        </w:rPr>
        <w:t xml:space="preserve">9 biologically independent mice from </w:t>
      </w:r>
      <w:r w:rsidRPr="006B7558">
        <w:rPr>
          <w:i/>
          <w:sz w:val="24"/>
          <w:szCs w:val="24"/>
        </w:rPr>
        <w:t xml:space="preserve">n = </w:t>
      </w:r>
      <w:r w:rsidRPr="006B7558">
        <w:rPr>
          <w:iCs/>
          <w:sz w:val="24"/>
          <w:szCs w:val="24"/>
        </w:rPr>
        <w:t xml:space="preserve">3 independent experiments. Graphs indicate the ± S.E.M. Statistical significance was determined using ordinary one-way ANOVA except in (B) where unpaired (Student’s) t-test was used. </w:t>
      </w:r>
    </w:p>
    <w:p w14:paraId="60F6A5F3" w14:textId="77777777" w:rsidR="00CE5724" w:rsidRPr="006B7558" w:rsidRDefault="00CE5724" w:rsidP="00CE5724">
      <w:pPr>
        <w:spacing w:line="480" w:lineRule="auto"/>
        <w:jc w:val="both"/>
        <w:rPr>
          <w:b/>
          <w:bCs/>
          <w:iCs/>
          <w:sz w:val="24"/>
          <w:szCs w:val="24"/>
        </w:rPr>
      </w:pPr>
    </w:p>
    <w:p w14:paraId="71493BA2" w14:textId="368E9CF0" w:rsidR="00CE5724" w:rsidRPr="006B7558" w:rsidRDefault="00CE5724" w:rsidP="00CE5724">
      <w:pPr>
        <w:spacing w:line="480" w:lineRule="auto"/>
        <w:jc w:val="both"/>
        <w:rPr>
          <w:iCs/>
          <w:sz w:val="24"/>
          <w:szCs w:val="24"/>
        </w:rPr>
      </w:pPr>
      <w:r w:rsidRPr="006B7558">
        <w:rPr>
          <w:b/>
          <w:bCs/>
          <w:iCs/>
          <w:sz w:val="24"/>
          <w:szCs w:val="24"/>
        </w:rPr>
        <w:t xml:space="preserve">Supplementary Figure 5. </w:t>
      </w:r>
      <w:r w:rsidRPr="006B7558">
        <w:rPr>
          <w:iCs/>
          <w:sz w:val="24"/>
          <w:szCs w:val="24"/>
        </w:rPr>
        <w:t xml:space="preserve">Representative PAS-AB-stained distal colonic epithelium, segmented into upper and lower crypt regions as indicated by </w:t>
      </w:r>
      <w:r w:rsidR="003A35A5" w:rsidRPr="006B7558">
        <w:rPr>
          <w:iCs/>
          <w:sz w:val="24"/>
          <w:szCs w:val="24"/>
        </w:rPr>
        <w:t xml:space="preserve">the </w:t>
      </w:r>
      <w:r w:rsidRPr="006B7558">
        <w:rPr>
          <w:iCs/>
          <w:sz w:val="24"/>
          <w:szCs w:val="24"/>
        </w:rPr>
        <w:t xml:space="preserve">dashed line for mucin quantification. Scale bar = 100 </w:t>
      </w:r>
      <w:proofErr w:type="spellStart"/>
      <w:r w:rsidRPr="006B7558">
        <w:rPr>
          <w:iCs/>
          <w:sz w:val="24"/>
          <w:szCs w:val="24"/>
        </w:rPr>
        <w:t>μm</w:t>
      </w:r>
      <w:proofErr w:type="spellEnd"/>
      <w:r w:rsidRPr="006B7558">
        <w:rPr>
          <w:iCs/>
          <w:sz w:val="24"/>
          <w:szCs w:val="24"/>
        </w:rPr>
        <w:t>.</w:t>
      </w:r>
    </w:p>
    <w:p w14:paraId="69387696" w14:textId="3C7C8C41" w:rsidR="003E609D" w:rsidRPr="006B7558" w:rsidRDefault="003E609D" w:rsidP="00751C50">
      <w:pPr>
        <w:spacing w:line="480" w:lineRule="auto"/>
        <w:jc w:val="both"/>
        <w:rPr>
          <w:sz w:val="24"/>
          <w:szCs w:val="24"/>
        </w:rPr>
      </w:pPr>
      <w:r w:rsidRPr="006B7558">
        <w:rPr>
          <w:sz w:val="24"/>
          <w:szCs w:val="24"/>
        </w:rPr>
        <w:fldChar w:fldCharType="begin"/>
      </w:r>
      <w:r w:rsidRPr="006B7558">
        <w:rPr>
          <w:sz w:val="24"/>
          <w:szCs w:val="24"/>
        </w:rPr>
        <w:instrText xml:space="preserve"> ADDIN EN.REFLIST </w:instrText>
      </w:r>
      <w:r w:rsidRPr="006B7558">
        <w:rPr>
          <w:sz w:val="24"/>
          <w:szCs w:val="24"/>
        </w:rPr>
        <w:fldChar w:fldCharType="separate"/>
      </w:r>
      <w:r w:rsidRPr="006B7558">
        <w:rPr>
          <w:sz w:val="24"/>
          <w:szCs w:val="24"/>
        </w:rPr>
        <w:fldChar w:fldCharType="end"/>
      </w:r>
    </w:p>
    <w:sectPr w:rsidR="003E609D" w:rsidRPr="006B7558" w:rsidSect="006A392B">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a525xx5zapvreap9hvfaxjpzzeddef599a&quot;&gt;PhD Thesis Juliani&lt;record-ids&gt;&lt;item&gt;286&lt;/item&gt;&lt;/record-ids&gt;&lt;/item&gt;&lt;/Libraries&gt;"/>
  </w:docVars>
  <w:rsids>
    <w:rsidRoot w:val="00454B3B"/>
    <w:rsid w:val="00005F7C"/>
    <w:rsid w:val="0001091A"/>
    <w:rsid w:val="000224F7"/>
    <w:rsid w:val="00042301"/>
    <w:rsid w:val="0004518A"/>
    <w:rsid w:val="00045AD5"/>
    <w:rsid w:val="00056DE8"/>
    <w:rsid w:val="00063C8B"/>
    <w:rsid w:val="0006528C"/>
    <w:rsid w:val="0006702D"/>
    <w:rsid w:val="000753CF"/>
    <w:rsid w:val="000A68F9"/>
    <w:rsid w:val="000B501D"/>
    <w:rsid w:val="000C24D2"/>
    <w:rsid w:val="000D3120"/>
    <w:rsid w:val="000E3A77"/>
    <w:rsid w:val="000E5FBD"/>
    <w:rsid w:val="000F140D"/>
    <w:rsid w:val="000F37B9"/>
    <w:rsid w:val="000F57EE"/>
    <w:rsid w:val="0010090D"/>
    <w:rsid w:val="00123BAA"/>
    <w:rsid w:val="00130BD7"/>
    <w:rsid w:val="00137C3E"/>
    <w:rsid w:val="0015288C"/>
    <w:rsid w:val="00175D91"/>
    <w:rsid w:val="00196E45"/>
    <w:rsid w:val="001972C2"/>
    <w:rsid w:val="001A163A"/>
    <w:rsid w:val="001B2B57"/>
    <w:rsid w:val="001C245E"/>
    <w:rsid w:val="001D655B"/>
    <w:rsid w:val="001E00EF"/>
    <w:rsid w:val="001E1D70"/>
    <w:rsid w:val="001E2909"/>
    <w:rsid w:val="001F068D"/>
    <w:rsid w:val="00200C88"/>
    <w:rsid w:val="00227E4E"/>
    <w:rsid w:val="00232C08"/>
    <w:rsid w:val="00233CA9"/>
    <w:rsid w:val="0024447E"/>
    <w:rsid w:val="002621C1"/>
    <w:rsid w:val="00263885"/>
    <w:rsid w:val="00272263"/>
    <w:rsid w:val="0029400F"/>
    <w:rsid w:val="002A52F6"/>
    <w:rsid w:val="002C1150"/>
    <w:rsid w:val="002E72AF"/>
    <w:rsid w:val="002F3DA3"/>
    <w:rsid w:val="00315373"/>
    <w:rsid w:val="003218F9"/>
    <w:rsid w:val="0032692D"/>
    <w:rsid w:val="00330C54"/>
    <w:rsid w:val="0033182C"/>
    <w:rsid w:val="00331DF4"/>
    <w:rsid w:val="003467A0"/>
    <w:rsid w:val="00346843"/>
    <w:rsid w:val="00352F64"/>
    <w:rsid w:val="00365F55"/>
    <w:rsid w:val="003809F1"/>
    <w:rsid w:val="00395C4F"/>
    <w:rsid w:val="003A35A5"/>
    <w:rsid w:val="003B59FA"/>
    <w:rsid w:val="003C21A1"/>
    <w:rsid w:val="003D754C"/>
    <w:rsid w:val="003E609D"/>
    <w:rsid w:val="003F5E2B"/>
    <w:rsid w:val="00400729"/>
    <w:rsid w:val="0040197F"/>
    <w:rsid w:val="004057A3"/>
    <w:rsid w:val="00422110"/>
    <w:rsid w:val="004340D2"/>
    <w:rsid w:val="00445325"/>
    <w:rsid w:val="00447300"/>
    <w:rsid w:val="00454AD9"/>
    <w:rsid w:val="00454B3B"/>
    <w:rsid w:val="00456B2B"/>
    <w:rsid w:val="00471731"/>
    <w:rsid w:val="004720F2"/>
    <w:rsid w:val="00477BC1"/>
    <w:rsid w:val="00480B2C"/>
    <w:rsid w:val="00495862"/>
    <w:rsid w:val="004A6C26"/>
    <w:rsid w:val="004B693F"/>
    <w:rsid w:val="004C01BC"/>
    <w:rsid w:val="004C0259"/>
    <w:rsid w:val="004E24E4"/>
    <w:rsid w:val="004E33A1"/>
    <w:rsid w:val="004E6124"/>
    <w:rsid w:val="004E6B8B"/>
    <w:rsid w:val="004E7686"/>
    <w:rsid w:val="004F0EAE"/>
    <w:rsid w:val="0050099D"/>
    <w:rsid w:val="00500FA8"/>
    <w:rsid w:val="00507763"/>
    <w:rsid w:val="00510D80"/>
    <w:rsid w:val="005170E8"/>
    <w:rsid w:val="005259BD"/>
    <w:rsid w:val="00532F76"/>
    <w:rsid w:val="00536D49"/>
    <w:rsid w:val="0054551E"/>
    <w:rsid w:val="00546861"/>
    <w:rsid w:val="00547E04"/>
    <w:rsid w:val="00551A3A"/>
    <w:rsid w:val="0055229C"/>
    <w:rsid w:val="005700C6"/>
    <w:rsid w:val="00576E56"/>
    <w:rsid w:val="00581A58"/>
    <w:rsid w:val="00583E37"/>
    <w:rsid w:val="00594D82"/>
    <w:rsid w:val="00595835"/>
    <w:rsid w:val="005A3B1E"/>
    <w:rsid w:val="005A603C"/>
    <w:rsid w:val="005B2765"/>
    <w:rsid w:val="005B3D6F"/>
    <w:rsid w:val="005C3B5A"/>
    <w:rsid w:val="005C5E65"/>
    <w:rsid w:val="005D59C5"/>
    <w:rsid w:val="005F4C6E"/>
    <w:rsid w:val="00600B27"/>
    <w:rsid w:val="006102E9"/>
    <w:rsid w:val="00622A53"/>
    <w:rsid w:val="00642B28"/>
    <w:rsid w:val="00647484"/>
    <w:rsid w:val="00656164"/>
    <w:rsid w:val="00667BD6"/>
    <w:rsid w:val="006A05DE"/>
    <w:rsid w:val="006A392B"/>
    <w:rsid w:val="006B7558"/>
    <w:rsid w:val="006C21E3"/>
    <w:rsid w:val="006D30BA"/>
    <w:rsid w:val="006D35DF"/>
    <w:rsid w:val="006D6801"/>
    <w:rsid w:val="006E0357"/>
    <w:rsid w:val="006E6769"/>
    <w:rsid w:val="006E789B"/>
    <w:rsid w:val="00702197"/>
    <w:rsid w:val="00704B94"/>
    <w:rsid w:val="0071272E"/>
    <w:rsid w:val="007213B9"/>
    <w:rsid w:val="0072675A"/>
    <w:rsid w:val="007301A2"/>
    <w:rsid w:val="0073536D"/>
    <w:rsid w:val="00737A2F"/>
    <w:rsid w:val="00751C50"/>
    <w:rsid w:val="00754CA7"/>
    <w:rsid w:val="00760959"/>
    <w:rsid w:val="00772363"/>
    <w:rsid w:val="00775305"/>
    <w:rsid w:val="00784F92"/>
    <w:rsid w:val="007909D7"/>
    <w:rsid w:val="007A37AB"/>
    <w:rsid w:val="007A4719"/>
    <w:rsid w:val="007B5BE2"/>
    <w:rsid w:val="007C39AA"/>
    <w:rsid w:val="007D23DC"/>
    <w:rsid w:val="007E2C1B"/>
    <w:rsid w:val="007E3CE6"/>
    <w:rsid w:val="007F03F7"/>
    <w:rsid w:val="007F6369"/>
    <w:rsid w:val="00802B10"/>
    <w:rsid w:val="0081265A"/>
    <w:rsid w:val="00816348"/>
    <w:rsid w:val="0082164D"/>
    <w:rsid w:val="00824314"/>
    <w:rsid w:val="00826CC8"/>
    <w:rsid w:val="008476DF"/>
    <w:rsid w:val="008560B1"/>
    <w:rsid w:val="00865782"/>
    <w:rsid w:val="008707AD"/>
    <w:rsid w:val="008713BB"/>
    <w:rsid w:val="00873C05"/>
    <w:rsid w:val="00876953"/>
    <w:rsid w:val="00885DE4"/>
    <w:rsid w:val="00886336"/>
    <w:rsid w:val="008B3F77"/>
    <w:rsid w:val="008C018C"/>
    <w:rsid w:val="008C6A21"/>
    <w:rsid w:val="008D410D"/>
    <w:rsid w:val="008E2C3D"/>
    <w:rsid w:val="008E4949"/>
    <w:rsid w:val="008E4FDC"/>
    <w:rsid w:val="008F310A"/>
    <w:rsid w:val="008F54DD"/>
    <w:rsid w:val="009112A4"/>
    <w:rsid w:val="00921BB6"/>
    <w:rsid w:val="00926C9A"/>
    <w:rsid w:val="009300DE"/>
    <w:rsid w:val="00961EE1"/>
    <w:rsid w:val="009633C6"/>
    <w:rsid w:val="009736D4"/>
    <w:rsid w:val="009740A3"/>
    <w:rsid w:val="00990A9E"/>
    <w:rsid w:val="00993085"/>
    <w:rsid w:val="00993B03"/>
    <w:rsid w:val="00997C2A"/>
    <w:rsid w:val="009A241F"/>
    <w:rsid w:val="009A283B"/>
    <w:rsid w:val="009B18E0"/>
    <w:rsid w:val="009E31AE"/>
    <w:rsid w:val="009E7152"/>
    <w:rsid w:val="009F6605"/>
    <w:rsid w:val="00A00EF3"/>
    <w:rsid w:val="00A176E9"/>
    <w:rsid w:val="00A523A9"/>
    <w:rsid w:val="00A603E3"/>
    <w:rsid w:val="00A65F0F"/>
    <w:rsid w:val="00A727CC"/>
    <w:rsid w:val="00A746A5"/>
    <w:rsid w:val="00AB7BA7"/>
    <w:rsid w:val="00AD0071"/>
    <w:rsid w:val="00AE2B9C"/>
    <w:rsid w:val="00AF3DB9"/>
    <w:rsid w:val="00AF5F04"/>
    <w:rsid w:val="00B13488"/>
    <w:rsid w:val="00B15BAD"/>
    <w:rsid w:val="00B27A41"/>
    <w:rsid w:val="00B3764D"/>
    <w:rsid w:val="00B428AC"/>
    <w:rsid w:val="00B46026"/>
    <w:rsid w:val="00B46C16"/>
    <w:rsid w:val="00B47950"/>
    <w:rsid w:val="00B851E3"/>
    <w:rsid w:val="00BB250A"/>
    <w:rsid w:val="00BC2197"/>
    <w:rsid w:val="00BD63AF"/>
    <w:rsid w:val="00BE1255"/>
    <w:rsid w:val="00BE3EF1"/>
    <w:rsid w:val="00C0125D"/>
    <w:rsid w:val="00C110FC"/>
    <w:rsid w:val="00C246F4"/>
    <w:rsid w:val="00C27550"/>
    <w:rsid w:val="00C3713D"/>
    <w:rsid w:val="00C4256B"/>
    <w:rsid w:val="00C43628"/>
    <w:rsid w:val="00C520B7"/>
    <w:rsid w:val="00C606DF"/>
    <w:rsid w:val="00C609DC"/>
    <w:rsid w:val="00C66EA3"/>
    <w:rsid w:val="00C808D1"/>
    <w:rsid w:val="00C834EE"/>
    <w:rsid w:val="00C83BFB"/>
    <w:rsid w:val="00C86F8D"/>
    <w:rsid w:val="00C904E6"/>
    <w:rsid w:val="00CA2E2F"/>
    <w:rsid w:val="00CA434A"/>
    <w:rsid w:val="00CC5553"/>
    <w:rsid w:val="00CC5DB1"/>
    <w:rsid w:val="00CD690E"/>
    <w:rsid w:val="00CE4D0C"/>
    <w:rsid w:val="00CE5724"/>
    <w:rsid w:val="00CF086F"/>
    <w:rsid w:val="00CF62EB"/>
    <w:rsid w:val="00D02AFD"/>
    <w:rsid w:val="00D14691"/>
    <w:rsid w:val="00D2297A"/>
    <w:rsid w:val="00D35985"/>
    <w:rsid w:val="00D47A5B"/>
    <w:rsid w:val="00D50452"/>
    <w:rsid w:val="00D53232"/>
    <w:rsid w:val="00D61575"/>
    <w:rsid w:val="00D83ED8"/>
    <w:rsid w:val="00D87785"/>
    <w:rsid w:val="00DA2340"/>
    <w:rsid w:val="00DA6C4D"/>
    <w:rsid w:val="00DD0CAA"/>
    <w:rsid w:val="00DE1AAC"/>
    <w:rsid w:val="00DE5C5B"/>
    <w:rsid w:val="00DF04AE"/>
    <w:rsid w:val="00DF481C"/>
    <w:rsid w:val="00E023FC"/>
    <w:rsid w:val="00E02947"/>
    <w:rsid w:val="00E05A20"/>
    <w:rsid w:val="00E07F6F"/>
    <w:rsid w:val="00E2581C"/>
    <w:rsid w:val="00E321A8"/>
    <w:rsid w:val="00E54502"/>
    <w:rsid w:val="00E67BBC"/>
    <w:rsid w:val="00E80720"/>
    <w:rsid w:val="00E8214F"/>
    <w:rsid w:val="00E90DC4"/>
    <w:rsid w:val="00EA2B49"/>
    <w:rsid w:val="00EA3011"/>
    <w:rsid w:val="00EA43EF"/>
    <w:rsid w:val="00EB4B39"/>
    <w:rsid w:val="00ED5759"/>
    <w:rsid w:val="00ED72D2"/>
    <w:rsid w:val="00EE146A"/>
    <w:rsid w:val="00F10DAB"/>
    <w:rsid w:val="00F11ADC"/>
    <w:rsid w:val="00F131D4"/>
    <w:rsid w:val="00F227C4"/>
    <w:rsid w:val="00F357AA"/>
    <w:rsid w:val="00F53438"/>
    <w:rsid w:val="00F54A98"/>
    <w:rsid w:val="00F7217C"/>
    <w:rsid w:val="00F72494"/>
    <w:rsid w:val="00F77A92"/>
    <w:rsid w:val="00F8094B"/>
    <w:rsid w:val="00F85617"/>
    <w:rsid w:val="00F90AAF"/>
    <w:rsid w:val="00F96561"/>
    <w:rsid w:val="00FA4748"/>
    <w:rsid w:val="00FB30A0"/>
    <w:rsid w:val="00FB3B6D"/>
    <w:rsid w:val="00FD3008"/>
    <w:rsid w:val="00FE1EE1"/>
    <w:rsid w:val="00FE29A6"/>
    <w:rsid w:val="00FF1D41"/>
    <w:rsid w:val="00FF2D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9046"/>
  <w15:chartTrackingRefBased/>
  <w15:docId w15:val="{D641C3CE-D199-1842-8091-40AE15F4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B3B"/>
    <w:pPr>
      <w:spacing w:after="160" w:line="259" w:lineRule="auto"/>
    </w:pPr>
    <w:rPr>
      <w:sz w:val="22"/>
      <w:szCs w:val="22"/>
    </w:rPr>
  </w:style>
  <w:style w:type="paragraph" w:styleId="Heading1">
    <w:name w:val="heading 1"/>
    <w:basedOn w:val="Normal"/>
    <w:next w:val="Normal"/>
    <w:link w:val="Heading1Char"/>
    <w:uiPriority w:val="9"/>
    <w:qFormat/>
    <w:rsid w:val="00454B3B"/>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B3B"/>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B3B"/>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B3B"/>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54B3B"/>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54B3B"/>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54B3B"/>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54B3B"/>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54B3B"/>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B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B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B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B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B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B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B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B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B3B"/>
    <w:rPr>
      <w:rFonts w:eastAsiaTheme="majorEastAsia" w:cstheme="majorBidi"/>
      <w:color w:val="272727" w:themeColor="text1" w:themeTint="D8"/>
    </w:rPr>
  </w:style>
  <w:style w:type="paragraph" w:styleId="Title">
    <w:name w:val="Title"/>
    <w:basedOn w:val="Normal"/>
    <w:next w:val="Normal"/>
    <w:link w:val="TitleChar"/>
    <w:uiPriority w:val="10"/>
    <w:qFormat/>
    <w:rsid w:val="00454B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B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B3B"/>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B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B3B"/>
    <w:pPr>
      <w:spacing w:before="160" w:line="240"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54B3B"/>
    <w:rPr>
      <w:i/>
      <w:iCs/>
      <w:color w:val="404040" w:themeColor="text1" w:themeTint="BF"/>
    </w:rPr>
  </w:style>
  <w:style w:type="paragraph" w:styleId="ListParagraph">
    <w:name w:val="List Paragraph"/>
    <w:basedOn w:val="Normal"/>
    <w:uiPriority w:val="34"/>
    <w:qFormat/>
    <w:rsid w:val="00454B3B"/>
    <w:pPr>
      <w:spacing w:after="0" w:line="240" w:lineRule="auto"/>
      <w:ind w:left="720"/>
      <w:contextualSpacing/>
    </w:pPr>
    <w:rPr>
      <w:sz w:val="24"/>
      <w:szCs w:val="24"/>
    </w:rPr>
  </w:style>
  <w:style w:type="character" w:styleId="IntenseEmphasis">
    <w:name w:val="Intense Emphasis"/>
    <w:basedOn w:val="DefaultParagraphFont"/>
    <w:uiPriority w:val="21"/>
    <w:qFormat/>
    <w:rsid w:val="00454B3B"/>
    <w:rPr>
      <w:i/>
      <w:iCs/>
      <w:color w:val="0F4761" w:themeColor="accent1" w:themeShade="BF"/>
    </w:rPr>
  </w:style>
  <w:style w:type="paragraph" w:styleId="IntenseQuote">
    <w:name w:val="Intense Quote"/>
    <w:basedOn w:val="Normal"/>
    <w:next w:val="Normal"/>
    <w:link w:val="IntenseQuoteChar"/>
    <w:uiPriority w:val="30"/>
    <w:qFormat/>
    <w:rsid w:val="00454B3B"/>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54B3B"/>
    <w:rPr>
      <w:i/>
      <w:iCs/>
      <w:color w:val="0F4761" w:themeColor="accent1" w:themeShade="BF"/>
    </w:rPr>
  </w:style>
  <w:style w:type="character" w:styleId="IntenseReference">
    <w:name w:val="Intense Reference"/>
    <w:basedOn w:val="DefaultParagraphFont"/>
    <w:uiPriority w:val="32"/>
    <w:qFormat/>
    <w:rsid w:val="00454B3B"/>
    <w:rPr>
      <w:b/>
      <w:bCs/>
      <w:smallCaps/>
      <w:color w:val="0F4761" w:themeColor="accent1" w:themeShade="BF"/>
      <w:spacing w:val="5"/>
    </w:rPr>
  </w:style>
  <w:style w:type="paragraph" w:styleId="Revision">
    <w:name w:val="Revision"/>
    <w:hidden/>
    <w:uiPriority w:val="99"/>
    <w:semiHidden/>
    <w:rsid w:val="00885DE4"/>
    <w:rPr>
      <w:sz w:val="22"/>
      <w:szCs w:val="22"/>
    </w:rPr>
  </w:style>
  <w:style w:type="paragraph" w:customStyle="1" w:styleId="EndNoteBibliographyTitle">
    <w:name w:val="EndNote Bibliography Title"/>
    <w:basedOn w:val="Normal"/>
    <w:link w:val="EndNoteBibliographyTitleChar"/>
    <w:rsid w:val="00885DE4"/>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885DE4"/>
    <w:rPr>
      <w:rFonts w:ascii="Aptos" w:hAnsi="Aptos"/>
      <w:noProof/>
      <w:sz w:val="22"/>
      <w:szCs w:val="22"/>
      <w:lang w:val="en-US"/>
    </w:rPr>
  </w:style>
  <w:style w:type="paragraph" w:customStyle="1" w:styleId="EndNoteBibliography">
    <w:name w:val="EndNote Bibliography"/>
    <w:basedOn w:val="Normal"/>
    <w:link w:val="EndNoteBibliographyChar"/>
    <w:rsid w:val="00885DE4"/>
    <w:pPr>
      <w:spacing w:line="240" w:lineRule="auto"/>
      <w:jc w:val="both"/>
    </w:pPr>
    <w:rPr>
      <w:rFonts w:ascii="Aptos" w:hAnsi="Aptos"/>
      <w:noProof/>
      <w:lang w:val="en-US"/>
    </w:rPr>
  </w:style>
  <w:style w:type="character" w:customStyle="1" w:styleId="EndNoteBibliographyChar">
    <w:name w:val="EndNote Bibliography Char"/>
    <w:basedOn w:val="DefaultParagraphFont"/>
    <w:link w:val="EndNoteBibliography"/>
    <w:rsid w:val="00885DE4"/>
    <w:rPr>
      <w:rFonts w:ascii="Aptos" w:hAnsi="Aptos"/>
      <w:noProof/>
      <w:sz w:val="22"/>
      <w:szCs w:val="22"/>
      <w:lang w:val="en-US"/>
    </w:rPr>
  </w:style>
  <w:style w:type="character" w:styleId="LineNumber">
    <w:name w:val="line number"/>
    <w:basedOn w:val="DefaultParagraphFont"/>
    <w:uiPriority w:val="99"/>
    <w:semiHidden/>
    <w:unhideWhenUsed/>
    <w:rsid w:val="006A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ED0A8C-704C-4530-9745-9F0448BEC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Erinna Lee</dc:creator>
  <cp:keywords/>
  <dc:description/>
  <cp:lastModifiedBy>Erinna Lee</cp:lastModifiedBy>
  <cp:revision>8</cp:revision>
  <cp:lastPrinted>2025-09-08T05:24:00Z</cp:lastPrinted>
  <dcterms:created xsi:type="dcterms:W3CDTF">2025-09-08T05:25:00Z</dcterms:created>
  <dcterms:modified xsi:type="dcterms:W3CDTF">2025-09-08T11:02:00Z</dcterms:modified>
</cp:coreProperties>
</file>