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57B90" w14:textId="7E7CDC5F" w:rsidR="0087233E" w:rsidRDefault="0087233E">
      <w:pPr>
        <w:spacing w:after="160" w:line="278" w:lineRule="auto"/>
        <w:rPr>
          <w:rFonts w:asciiTheme="majorBidi" w:eastAsia="Times New Roman" w:hAnsiTheme="majorBidi" w:cstheme="majorBidi"/>
          <w:sz w:val="22"/>
          <w:szCs w:val="22"/>
        </w:rPr>
      </w:pPr>
    </w:p>
    <w:p w14:paraId="0AE21CA1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APPENDIX </w:t>
      </w:r>
    </w:p>
    <w:p w14:paraId="1F7113BF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500F5642" w14:textId="77777777" w:rsidR="0087233E" w:rsidRPr="00B03F15" w:rsidRDefault="0087233E" w:rsidP="0087233E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03F15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Supplementary Table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1</w:t>
      </w:r>
      <w:r w:rsidRPr="00B03F15">
        <w:rPr>
          <w:rFonts w:ascii="Times New Roman" w:eastAsia="Times New Roman" w:hAnsi="Times New Roman" w:cs="Times New Roman"/>
          <w:b/>
          <w:bCs/>
          <w:sz w:val="22"/>
          <w:szCs w:val="22"/>
        </w:rPr>
        <w:t>.</w:t>
      </w:r>
      <w:r w:rsidRPr="00B03F15">
        <w:rPr>
          <w:rFonts w:ascii="Times New Roman" w:eastAsia="Times New Roman" w:hAnsi="Times New Roman" w:cs="Times New Roman"/>
          <w:sz w:val="22"/>
          <w:szCs w:val="22"/>
        </w:rPr>
        <w:t xml:space="preserve"> Baseline demographics of patients in the </w:t>
      </w:r>
      <w:proofErr w:type="gramStart"/>
      <w:r w:rsidRPr="00B03F15">
        <w:rPr>
          <w:rFonts w:ascii="Times New Roman" w:eastAsia="Times New Roman" w:hAnsi="Times New Roman" w:cs="Times New Roman"/>
          <w:sz w:val="22"/>
          <w:szCs w:val="22"/>
        </w:rPr>
        <w:t>Duke</w:t>
      </w:r>
      <w:proofErr w:type="gramEnd"/>
      <w:r w:rsidRPr="00B03F15">
        <w:rPr>
          <w:rFonts w:ascii="Times New Roman" w:eastAsia="Times New Roman" w:hAnsi="Times New Roman" w:cs="Times New Roman"/>
          <w:sz w:val="22"/>
          <w:szCs w:val="22"/>
        </w:rPr>
        <w:t xml:space="preserve">-Breast-Cancer-MRI cohort used for survival analysis grouped by </w:t>
      </w:r>
      <w:r w:rsidRPr="00B03F15">
        <w:rPr>
          <w:rFonts w:ascii="Times New Roman" w:eastAsia="Times New Roman" w:hAnsi="Times New Roman" w:cs="Times New Roman"/>
          <w:b/>
          <w:bCs/>
          <w:sz w:val="22"/>
          <w:szCs w:val="22"/>
        </w:rPr>
        <w:t>(A)</w:t>
      </w:r>
      <w:r w:rsidRPr="00B03F15">
        <w:rPr>
          <w:rFonts w:ascii="Times New Roman" w:eastAsia="Times New Roman" w:hAnsi="Times New Roman" w:cs="Times New Roman"/>
          <w:sz w:val="22"/>
          <w:szCs w:val="22"/>
        </w:rPr>
        <w:t xml:space="preserve"> BPE grade and (</w:t>
      </w:r>
      <w:r w:rsidRPr="00B03F15">
        <w:rPr>
          <w:rFonts w:ascii="Times New Roman" w:eastAsia="Times New Roman" w:hAnsi="Times New Roman" w:cs="Times New Roman"/>
          <w:b/>
          <w:bCs/>
          <w:sz w:val="22"/>
          <w:szCs w:val="22"/>
        </w:rPr>
        <w:t>B)</w:t>
      </w:r>
      <w:r w:rsidRPr="00B03F15">
        <w:rPr>
          <w:rFonts w:ascii="Times New Roman" w:eastAsia="Times New Roman" w:hAnsi="Times New Roman" w:cs="Times New Roman"/>
          <w:sz w:val="22"/>
          <w:szCs w:val="22"/>
        </w:rPr>
        <w:t xml:space="preserve"> treatment types for high and low BPE grade. SD, standard deviation. IQR, interquartile range. HR, hormone receptor. HER2, human epidermal growth factor receptor 2.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B03F15">
        <w:rPr>
          <w:rFonts w:ascii="Times New Roman" w:eastAsia="Times New Roman" w:hAnsi="Times New Roman" w:cs="Times New Roman"/>
          <w:sz w:val="22"/>
          <w:szCs w:val="22"/>
        </w:rPr>
        <w:t xml:space="preserve">* </w:t>
      </w:r>
      <w:r w:rsidRPr="00B03F15">
        <w:rPr>
          <w:rFonts w:ascii="Times New Roman" w:eastAsia="Times New Roman" w:hAnsi="Times New Roman" w:cs="Times New Roman"/>
          <w:i/>
          <w:iCs/>
          <w:sz w:val="22"/>
          <w:szCs w:val="22"/>
        </w:rPr>
        <w:t>p</w:t>
      </w:r>
      <w:r w:rsidRPr="00B03F15">
        <w:rPr>
          <w:rFonts w:ascii="Times New Roman" w:eastAsia="Times New Roman" w:hAnsi="Times New Roman" w:cs="Times New Roman"/>
          <w:sz w:val="22"/>
          <w:szCs w:val="22"/>
        </w:rPr>
        <w:t xml:space="preserve"> &lt; 0.05, ** </w:t>
      </w:r>
      <w:r w:rsidRPr="00B03F15">
        <w:rPr>
          <w:rFonts w:ascii="Times New Roman" w:eastAsia="Times New Roman" w:hAnsi="Times New Roman" w:cs="Times New Roman"/>
          <w:i/>
          <w:iCs/>
          <w:sz w:val="22"/>
          <w:szCs w:val="22"/>
        </w:rPr>
        <w:t>p</w:t>
      </w:r>
      <w:r w:rsidRPr="00B03F15">
        <w:rPr>
          <w:rFonts w:ascii="Times New Roman" w:eastAsia="Times New Roman" w:hAnsi="Times New Roman" w:cs="Times New Roman"/>
          <w:sz w:val="22"/>
          <w:szCs w:val="22"/>
        </w:rPr>
        <w:t xml:space="preserve"> &lt; 0.01, and *** </w:t>
      </w:r>
      <w:r w:rsidRPr="00B03F15">
        <w:rPr>
          <w:rFonts w:ascii="Times New Roman" w:eastAsia="Times New Roman" w:hAnsi="Times New Roman" w:cs="Times New Roman"/>
          <w:i/>
          <w:iCs/>
          <w:sz w:val="22"/>
          <w:szCs w:val="22"/>
        </w:rPr>
        <w:t>p</w:t>
      </w:r>
      <w:r w:rsidRPr="00B03F15">
        <w:rPr>
          <w:rFonts w:ascii="Times New Roman" w:eastAsia="Times New Roman" w:hAnsi="Times New Roman" w:cs="Times New Roman"/>
          <w:sz w:val="22"/>
          <w:szCs w:val="22"/>
        </w:rPr>
        <w:t xml:space="preserve"> &lt; 0.001 as compared to grade 1 in A and grade 1/2 in B.</w:t>
      </w:r>
    </w:p>
    <w:p w14:paraId="776D13F0" w14:textId="77777777" w:rsidR="0087233E" w:rsidRPr="00B03F15" w:rsidRDefault="0087233E" w:rsidP="0087233E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W w:w="11624" w:type="dxa"/>
        <w:tblInd w:w="-1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686"/>
        <w:gridCol w:w="1701"/>
        <w:gridCol w:w="1984"/>
        <w:gridCol w:w="2127"/>
        <w:gridCol w:w="2126"/>
      </w:tblGrid>
      <w:tr w:rsidR="0087233E" w:rsidRPr="00E11170" w14:paraId="4F494FF9" w14:textId="77777777" w:rsidTr="004516E3">
        <w:trPr>
          <w:trHeight w:val="190"/>
        </w:trPr>
        <w:tc>
          <w:tcPr>
            <w:tcW w:w="368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2E8F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A)</w:t>
            </w:r>
          </w:p>
        </w:tc>
        <w:tc>
          <w:tcPr>
            <w:tcW w:w="7938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CFC1C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Qualitative Background Parenchymal Enhancement Grade</w:t>
            </w:r>
          </w:p>
        </w:tc>
      </w:tr>
      <w:tr w:rsidR="0087233E" w:rsidRPr="00E11170" w14:paraId="060B92D0" w14:textId="77777777" w:rsidTr="004516E3">
        <w:trPr>
          <w:trHeight w:val="190"/>
        </w:trPr>
        <w:tc>
          <w:tcPr>
            <w:tcW w:w="368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DE02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FDCB95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(n=435)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1C0216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(n=245)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2CDD5C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 (n=161)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D8F85C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 (n=81)</w:t>
            </w:r>
          </w:p>
        </w:tc>
      </w:tr>
      <w:tr w:rsidR="0087233E" w:rsidRPr="00E11170" w14:paraId="5F4F4564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0BEA8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173B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12D8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CDCD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1693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12786409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25ED4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Age, mean ± SD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D0DE3B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55.22 ± 11.58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8E4B7A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52.53 ± 10.53 **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967082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50.50 ± 10.13 ***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0B031E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46.88 ± 9.77 ***</w:t>
            </w:r>
          </w:p>
        </w:tc>
      </w:tr>
      <w:tr w:rsidR="0087233E" w:rsidRPr="00E11170" w14:paraId="06E62F62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2685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Age, median [IQR]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488A40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55.06 [47.94, 63.29]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9084CC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51.69 [45.45, 59.80] **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E76FBD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49.23 [43.89, 56.83] ***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5A71BE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45.72 [41.50, 51.20] ***</w:t>
            </w:r>
          </w:p>
        </w:tc>
      </w:tr>
      <w:tr w:rsidR="0087233E" w:rsidRPr="00E11170" w14:paraId="4B4D6100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B47A7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Race/Ethnicity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CC474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D86E2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05A5F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BC63C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29974AC2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8F1962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White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6CDC36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311 (71.49%)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ECD46F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168 (68.57%)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4284CC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116 (72.05%)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915EFA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56 (69.14%)</w:t>
            </w:r>
          </w:p>
        </w:tc>
      </w:tr>
      <w:tr w:rsidR="0087233E" w:rsidRPr="00E11170" w14:paraId="34B5D803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1BC8B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Black or African American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0EF34C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92 (21.15%)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3C951A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57 (23.27%)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D4F0BF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33 (20.50%)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C8B3D2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21 (25.93%)</w:t>
            </w:r>
          </w:p>
        </w:tc>
      </w:tr>
      <w:tr w:rsidR="0087233E" w:rsidRPr="00E11170" w14:paraId="00B9482C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2CB2A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Asian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0CE4FB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 (1.15%)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5D3F46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6 (2.45%)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F5492C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(1.24%)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A8F90F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(1.23%)</w:t>
            </w:r>
          </w:p>
        </w:tc>
      </w:tr>
      <w:tr w:rsidR="0087233E" w:rsidRPr="00E11170" w14:paraId="5E2E613A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127DC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Hispanic or Latino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370F5B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9 (2.07%)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F8E72E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 (1.63%)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6DAB51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 (1.86%)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F626E4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(2.47%)</w:t>
            </w:r>
          </w:p>
        </w:tc>
      </w:tr>
      <w:tr w:rsidR="0087233E" w:rsidRPr="00E11170" w14:paraId="096EDC98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54E56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American Indian or Alaska Native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7F2945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13 (2.99%)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03280B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 (1.63%)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C819B0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 (3.11%)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325BA7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(1.23%)</w:t>
            </w:r>
          </w:p>
        </w:tc>
      </w:tr>
      <w:tr w:rsidR="0087233E" w:rsidRPr="00E11170" w14:paraId="7EA159D5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116EC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Native Hawaiian or Pacific Islander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0D3FE5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(0.23%)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FD244F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(0.82%)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0ACE2B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(0.62%)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38273C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0 (0.00%)</w:t>
            </w:r>
          </w:p>
        </w:tc>
      </w:tr>
      <w:tr w:rsidR="0087233E" w:rsidRPr="00E11170" w14:paraId="2CE7D982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0042D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Multi-Racial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810A20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 (0.92%)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1238B7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 (1.63%)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BA9B67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(0.62%)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8CA889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0 (0.00%)</w:t>
            </w:r>
          </w:p>
        </w:tc>
      </w:tr>
      <w:tr w:rsidR="0087233E" w:rsidRPr="00E11170" w14:paraId="7A0A4868" w14:textId="77777777" w:rsidTr="004516E3">
        <w:trPr>
          <w:trHeight w:val="79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02E5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Molecular Subtype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4E787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70B4F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DC317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63719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518A3493" w14:textId="77777777" w:rsidTr="004516E3">
        <w:trPr>
          <w:trHeight w:val="109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88BCB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    HR+ HER2−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3BC609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284 (65.29%)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CD17B6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154 (62.86%)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B7831B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105 (65.22%)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D188A9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52 (64.20%)</w:t>
            </w:r>
          </w:p>
        </w:tc>
      </w:tr>
      <w:tr w:rsidR="0087233E" w:rsidRPr="00E11170" w14:paraId="2DA1D89B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0FC43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HR+ HER2+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DE66F0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51 (11.72%)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C3D661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30 (12.24%)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A82230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14 (8.70%)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D87610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9 (11.11%)</w:t>
            </w:r>
          </w:p>
        </w:tc>
      </w:tr>
      <w:tr w:rsidR="0087233E" w:rsidRPr="00E11170" w14:paraId="046D02AC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FF795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    HR− HER2+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7DEDFF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25 (5.75%)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C41D22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18 (7.35%)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428057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14 (8.70%)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E65DA1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(2.47%)</w:t>
            </w:r>
          </w:p>
        </w:tc>
      </w:tr>
      <w:tr w:rsidR="0087233E" w:rsidRPr="00E11170" w14:paraId="303D0C36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0C313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HR−/HER2− (Triple Negative)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FC7DAD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75 (17.24%)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122A91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43 (17.55%)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9BCD7E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28 (17.39%)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CB393E2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18 (22.22%)</w:t>
            </w:r>
          </w:p>
        </w:tc>
      </w:tr>
      <w:tr w:rsidR="0087233E" w:rsidRPr="00E11170" w14:paraId="546D0AF2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0A358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Menopausal Status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B55C6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A7CB9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3B365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A0FF3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6F425E8E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49D7E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Premenopausal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9EBB72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141 (32.41%)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2DDC93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119 (48.57%) ***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17CA3A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89 (55.28%) ***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59F671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58 (71.60%) ***</w:t>
            </w:r>
          </w:p>
        </w:tc>
      </w:tr>
      <w:tr w:rsidR="0087233E" w:rsidRPr="00E11170" w14:paraId="7187F698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324F5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Postmenopausal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51A34B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289 (66.44%)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9660DB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121 (49.39%) ***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B2974F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67 (41.61%) ***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078B36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22 (27.16%) ***</w:t>
            </w:r>
          </w:p>
        </w:tc>
      </w:tr>
      <w:tr w:rsidR="0087233E" w:rsidRPr="00E11170" w14:paraId="62BD8452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0C268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Unknown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52F901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 (1.15%)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CB89EC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 (2.04%)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1AFDD8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 (3.11%)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2D28ED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(1.23%)</w:t>
            </w:r>
          </w:p>
        </w:tc>
      </w:tr>
      <w:tr w:rsidR="0087233E" w:rsidRPr="00E11170" w14:paraId="0D08FC04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A37E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Outcomes at Last Follow-Up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904C6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D0B67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F47D9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82266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08449C41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8E5D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All-Cause Mortality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555DE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33 (7.59%)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FFBAF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17 (6.94%)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B34B2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10 (6.21%)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55DE7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(2.47%)</w:t>
            </w:r>
          </w:p>
        </w:tc>
      </w:tr>
      <w:tr w:rsidR="0087233E" w:rsidRPr="00E11170" w14:paraId="48F909BD" w14:textId="77777777" w:rsidTr="004516E3">
        <w:trPr>
          <w:trHeight w:val="190"/>
        </w:trPr>
        <w:tc>
          <w:tcPr>
            <w:tcW w:w="368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B2A5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All-Cause Mortality or Recurrence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04962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57 (13.10%)</w:t>
            </w:r>
          </w:p>
        </w:tc>
        <w:tc>
          <w:tcPr>
            <w:tcW w:w="1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00959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30 (12.24%)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7738F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24 (14.91%)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D037C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7 (8.64%)</w:t>
            </w:r>
          </w:p>
        </w:tc>
      </w:tr>
    </w:tbl>
    <w:p w14:paraId="14F76AD5" w14:textId="77777777" w:rsidR="0087233E" w:rsidRPr="00E11170" w:rsidRDefault="0087233E" w:rsidP="0087233E">
      <w:pPr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W w:w="11624" w:type="dxa"/>
        <w:tblInd w:w="-1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402"/>
        <w:gridCol w:w="1985"/>
        <w:gridCol w:w="2126"/>
        <w:gridCol w:w="1985"/>
        <w:gridCol w:w="2126"/>
      </w:tblGrid>
      <w:tr w:rsidR="0087233E" w:rsidRPr="00E11170" w14:paraId="6F17985B" w14:textId="77777777" w:rsidTr="004516E3">
        <w:trPr>
          <w:trHeight w:val="190"/>
        </w:trPr>
        <w:tc>
          <w:tcPr>
            <w:tcW w:w="340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A38A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B)</w:t>
            </w:r>
          </w:p>
        </w:tc>
        <w:tc>
          <w:tcPr>
            <w:tcW w:w="411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ED5A1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Neoadjuvant Chemotherapy</w:t>
            </w:r>
          </w:p>
        </w:tc>
        <w:tc>
          <w:tcPr>
            <w:tcW w:w="411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A6910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Primary Surgery</w:t>
            </w:r>
          </w:p>
        </w:tc>
      </w:tr>
      <w:tr w:rsidR="0087233E" w:rsidRPr="00E11170" w14:paraId="23065DF0" w14:textId="77777777" w:rsidTr="004516E3">
        <w:trPr>
          <w:trHeight w:val="190"/>
        </w:trPr>
        <w:tc>
          <w:tcPr>
            <w:tcW w:w="3402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CC5F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1840FD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BPE Grade 1/2 (n=199)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25F927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BPE Grade 3/4 (n=93)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7832C2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BPE Grade 1/2 (n=481)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E41F2A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BPE Grade 3/4 (n=149)</w:t>
            </w:r>
          </w:p>
        </w:tc>
      </w:tr>
      <w:tr w:rsidR="0087233E" w:rsidRPr="00E11170" w14:paraId="411CCF22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4E8A4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C2B5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8CA5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6EB2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833E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380860A1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43227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Age, mean ± SD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F8F1F2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50.25 ± 11.47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0AA094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45.68 ± 8.96 ***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632F65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55.91 ± 10.79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C20F94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51.53 ± 10.21 ***</w:t>
            </w:r>
          </w:p>
        </w:tc>
      </w:tr>
      <w:tr w:rsidR="0087233E" w:rsidRPr="00E11170" w14:paraId="0AE53CD0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6FC4A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Age, median [IQR]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ED8DF9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49.95 [42.00, 59.21]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105726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45.35 [41.12, 51.20] ***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90394A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55.67 [48.82, 63.24]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96A37A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49.90 [44.23, 57.56] ***</w:t>
            </w:r>
          </w:p>
        </w:tc>
      </w:tr>
      <w:tr w:rsidR="0087233E" w:rsidRPr="00E11170" w14:paraId="537B50CD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5AADD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Race/Ethnicity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CACB8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EE87A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D7FA4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AA188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0CF6ED85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D7A20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White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76F294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118 (59.30%)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E8E662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60 (64.52%)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7F0A65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361 (75.05%)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62AA48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112 (75.17%)</w:t>
            </w:r>
          </w:p>
        </w:tc>
      </w:tr>
      <w:tr w:rsidR="0087233E" w:rsidRPr="00E11170" w14:paraId="18170401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2C14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Black or African American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CBEE42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65 (32.66%)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24411D2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26 (27.96%)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86C9B1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84 (17.46%)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986166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28 (18.79%)</w:t>
            </w:r>
          </w:p>
        </w:tc>
      </w:tr>
      <w:tr w:rsidR="0087233E" w:rsidRPr="00E11170" w14:paraId="56642282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015AE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Asian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D082C4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 (2.51%)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D975EA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(2.15%)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3173C1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6 (1.25%)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D68BE9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(0.67%)</w:t>
            </w:r>
          </w:p>
        </w:tc>
      </w:tr>
      <w:tr w:rsidR="0087233E" w:rsidRPr="00E11170" w14:paraId="1FCAB77A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CC0E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Hispanic or Latino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4D1121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 (2.01%)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3AF003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 (3.23%)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BA77F3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9 (1.87%)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3C74C6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(1.34%)</w:t>
            </w:r>
          </w:p>
        </w:tc>
      </w:tr>
      <w:tr w:rsidR="0087233E" w:rsidRPr="00E11170" w14:paraId="11AC6D52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ED95A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American Indian or Alaska Native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B938C8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(1.01%)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681DA0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(1.08%)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E95011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15 (3.12%)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558FB4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 (3.36%)</w:t>
            </w:r>
          </w:p>
        </w:tc>
      </w:tr>
      <w:tr w:rsidR="0087233E" w:rsidRPr="00E11170" w14:paraId="369F418D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EAA1C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Native Hawaiian or Pacific Islander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A4E2C7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 (1.01%)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40C6F6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(1.08%)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C1B8A2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(0.21%)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78FE70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0 (0.00%)</w:t>
            </w:r>
          </w:p>
        </w:tc>
      </w:tr>
      <w:tr w:rsidR="0087233E" w:rsidRPr="00E11170" w14:paraId="16000BE1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A28CA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Multi-Racial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4FB832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 (1.51%)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FE2E20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0 (0.00%)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E07152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 (1.04%)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0C3E39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(0.67%)</w:t>
            </w:r>
          </w:p>
        </w:tc>
      </w:tr>
      <w:tr w:rsidR="0087233E" w:rsidRPr="00E11170" w14:paraId="02D61F52" w14:textId="77777777" w:rsidTr="004516E3">
        <w:trPr>
          <w:trHeight w:val="79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D4644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Molecular Subtype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187BD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54DFB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1686A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38B07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1BCA6DEC" w14:textId="77777777" w:rsidTr="004516E3">
        <w:trPr>
          <w:trHeight w:val="109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7C43D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    HR+ HER2−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9443C2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82 (41.21%)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9C5281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41 (44.09%)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B9FFED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356 (74.01%)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3FFEA4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116 (77.85%)</w:t>
            </w:r>
          </w:p>
        </w:tc>
      </w:tr>
      <w:tr w:rsidR="0087233E" w:rsidRPr="00E11170" w14:paraId="52762AD5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E7B3F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HR+ HER2+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6EF5A7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40 (20.10%)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76ED51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14 (15.05%)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1F0790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41 (8.52%)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15F5CC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9 (6.04%)</w:t>
            </w:r>
          </w:p>
        </w:tc>
      </w:tr>
      <w:tr w:rsidR="0087233E" w:rsidRPr="00E11170" w14:paraId="674B444A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561B9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eastAsia="Arial Unicode MS" w:hAnsi="Times New Roman" w:cs="Times New Roman"/>
                <w:sz w:val="20"/>
                <w:szCs w:val="20"/>
              </w:rPr>
              <w:t xml:space="preserve">     HR− HER2+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46D9DD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22 (11.06%)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C4D121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8 (8.60%)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3BC56E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21 (4.37%)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B5F6FA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8 (5.37%)</w:t>
            </w:r>
          </w:p>
        </w:tc>
      </w:tr>
      <w:tr w:rsidR="0087233E" w:rsidRPr="00E11170" w14:paraId="68B6D289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87B6E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HR−/HER2− (Triple Negative)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A819F7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55 (27.64%)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9CEFA9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30 (32.26%)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46F1C7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63 (13.10%)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5A4A76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16 (10.74%)</w:t>
            </w:r>
          </w:p>
        </w:tc>
      </w:tr>
      <w:tr w:rsidR="0087233E" w:rsidRPr="00E11170" w14:paraId="2FF99D22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B7D3D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Menopausal Status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46EBE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D495A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7DB28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36F24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366BB559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DE73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Premenopausal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E6ADB0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96 (48.24%)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460828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70 (75.27%) ***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57CC56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164 (34.10%)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EAE792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77 (51.68%) ***</w:t>
            </w:r>
          </w:p>
        </w:tc>
      </w:tr>
      <w:tr w:rsidR="0087233E" w:rsidRPr="00E11170" w14:paraId="74D367B3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18F6D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Postmenopausal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1C36CD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102 (51.26%)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132D41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23 (24.73%) ***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60020D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308 (64.03%)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DF9D7A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66 (44.30%) ***</w:t>
            </w:r>
          </w:p>
        </w:tc>
      </w:tr>
      <w:tr w:rsidR="0087233E" w:rsidRPr="00E11170" w14:paraId="56B08174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3E413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Unknown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8592A0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 (0.50%)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FAD63C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0 (0.00%)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9D95CA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9 (1.87%)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2C33AB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6 (4.03%)</w:t>
            </w:r>
          </w:p>
        </w:tc>
      </w:tr>
      <w:tr w:rsidR="0087233E" w:rsidRPr="00E11170" w14:paraId="18E8740E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32C7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Adjuvant Therapies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AD853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DD048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03453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836C8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7E886688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9093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Adjuvant Chemotherapy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A34B6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151 (34.71%)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91D3F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102 (41.63%)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7D811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56 (34.78%)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CF6CA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27 (33.33%)</w:t>
            </w:r>
          </w:p>
        </w:tc>
      </w:tr>
      <w:tr w:rsidR="0087233E" w:rsidRPr="00E11170" w14:paraId="172B9828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2792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Adjuvant Endocrine Therapy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7D951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280 (64.37%)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CCA23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160 (65.31%)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77E72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107 (66.46%)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ECA966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52 (64.20%)</w:t>
            </w:r>
          </w:p>
        </w:tc>
      </w:tr>
      <w:tr w:rsidR="0087233E" w:rsidRPr="00E11170" w14:paraId="405DABBF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8F1CC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Adjuvant Radiation Therapy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E112F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299 (68.74%)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A0C73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151 (61.63%)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07B27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107 (66.46%)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5685F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57 (70.37%)</w:t>
            </w:r>
          </w:p>
        </w:tc>
      </w:tr>
      <w:tr w:rsidR="0087233E" w:rsidRPr="00E11170" w14:paraId="112FA6D3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28A83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Adjuvant Anti-HER2 Therapy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D8B26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57 (13.10%)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41326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44 (17.96%)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382FA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27 (16.77%)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87F78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10 (12.35%)</w:t>
            </w:r>
          </w:p>
        </w:tc>
      </w:tr>
      <w:tr w:rsidR="0087233E" w:rsidRPr="00E11170" w14:paraId="55B0F0E0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FA9A4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b/>
                <w:sz w:val="20"/>
                <w:szCs w:val="20"/>
              </w:rPr>
              <w:t>Outcomes at Last Follow-Up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BBF33D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6F2BF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F6CDDE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44926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233E" w:rsidRPr="00E11170" w14:paraId="17B586FE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5A675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All-Cause Mortality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9F8B41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23 (11.56%)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AE11A8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8 (8.60%)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E847BA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27 (5.61%)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14816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4 (2.68%)</w:t>
            </w:r>
          </w:p>
        </w:tc>
      </w:tr>
      <w:tr w:rsidR="0087233E" w:rsidRPr="00E11170" w14:paraId="6654F1E8" w14:textId="77777777" w:rsidTr="004516E3">
        <w:trPr>
          <w:trHeight w:val="190"/>
        </w:trPr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87CD7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 xml:space="preserve">     All-Cause Mortality or Recurrence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AA1149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35 (17.59%)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65D470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16 (17.20%)</w:t>
            </w:r>
          </w:p>
        </w:tc>
        <w:tc>
          <w:tcPr>
            <w:tcW w:w="198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93D25B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52 (10.81%)</w:t>
            </w:r>
          </w:p>
        </w:tc>
        <w:tc>
          <w:tcPr>
            <w:tcW w:w="212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F9EF0F" w14:textId="77777777" w:rsidR="0087233E" w:rsidRPr="00E11170" w:rsidRDefault="0087233E" w:rsidP="004516E3">
            <w:pPr>
              <w:widowControl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11170">
              <w:rPr>
                <w:rFonts w:ascii="Times New Roman" w:hAnsi="Times New Roman" w:cs="Times New Roman"/>
                <w:sz w:val="20"/>
                <w:szCs w:val="20"/>
              </w:rPr>
              <w:t>15 (10.07%)</w:t>
            </w:r>
          </w:p>
        </w:tc>
      </w:tr>
    </w:tbl>
    <w:p w14:paraId="63D13ADA" w14:textId="77777777" w:rsidR="0087233E" w:rsidRPr="00B03F15" w:rsidRDefault="0087233E" w:rsidP="0087233E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03F15">
        <w:rPr>
          <w:rFonts w:ascii="Times New Roman" w:eastAsia="Times New Roman" w:hAnsi="Times New Roman" w:cs="Times New Roman"/>
          <w:b/>
          <w:bCs/>
          <w:sz w:val="22"/>
          <w:szCs w:val="22"/>
        </w:rPr>
        <w:br w:type="page"/>
      </w:r>
      <w:r w:rsidRPr="00B03F15">
        <w:rPr>
          <w:rFonts w:ascii="Times New Roman" w:eastAsia="Times New Roman" w:hAnsi="Times New Roman" w:cs="Times New Roman"/>
          <w:b/>
          <w:bCs/>
          <w:sz w:val="22"/>
          <w:szCs w:val="22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2</w:t>
      </w:r>
      <w:r w:rsidRPr="00B03F15">
        <w:rPr>
          <w:rFonts w:ascii="Times New Roman" w:eastAsia="Times New Roman" w:hAnsi="Times New Roman" w:cs="Times New Roman"/>
          <w:b/>
          <w:bCs/>
          <w:sz w:val="22"/>
          <w:szCs w:val="22"/>
        </w:rPr>
        <w:t>.</w:t>
      </w:r>
      <w:r w:rsidRPr="00B03F15">
        <w:rPr>
          <w:rFonts w:ascii="Times New Roman" w:eastAsia="Times New Roman" w:hAnsi="Times New Roman" w:cs="Times New Roman"/>
          <w:sz w:val="22"/>
          <w:szCs w:val="22"/>
        </w:rPr>
        <w:t xml:space="preserve"> Correlation between calculated BPE and radiologist-defined ground truths, optimal enhancement thresholds, and the AUC of BPE sub-group separation using BPE measurements derived from the contralateral breast and the ipsilateral breast under the optimal enhancement threshold. Note: tumor voxels were excluded for the ipsilateral breast images. </w:t>
      </w:r>
    </w:p>
    <w:tbl>
      <w:tblPr>
        <w:tblStyle w:val="TableGrid"/>
        <w:tblW w:w="0" w:type="auto"/>
        <w:tblInd w:w="535" w:type="dxa"/>
        <w:tblLook w:val="04A0" w:firstRow="1" w:lastRow="0" w:firstColumn="1" w:lastColumn="0" w:noHBand="0" w:noVBand="1"/>
      </w:tblPr>
      <w:tblGrid>
        <w:gridCol w:w="3420"/>
        <w:gridCol w:w="2160"/>
        <w:gridCol w:w="1980"/>
      </w:tblGrid>
      <w:tr w:rsidR="0087233E" w:rsidRPr="00B03F15" w14:paraId="11C5875F" w14:textId="77777777" w:rsidTr="004516E3">
        <w:tc>
          <w:tcPr>
            <w:tcW w:w="3420" w:type="dxa"/>
          </w:tcPr>
          <w:p w14:paraId="6CCBBAC6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</w:tcPr>
          <w:p w14:paraId="5EC92840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Contralateral breast</w:t>
            </w:r>
          </w:p>
        </w:tc>
        <w:tc>
          <w:tcPr>
            <w:tcW w:w="1980" w:type="dxa"/>
          </w:tcPr>
          <w:p w14:paraId="661A15DC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Ipsilateral breast</w:t>
            </w:r>
          </w:p>
        </w:tc>
      </w:tr>
      <w:tr w:rsidR="0087233E" w:rsidRPr="00B03F15" w14:paraId="345ACF72" w14:textId="77777777" w:rsidTr="004516E3">
        <w:tc>
          <w:tcPr>
            <w:tcW w:w="3420" w:type="dxa"/>
          </w:tcPr>
          <w:p w14:paraId="61E6F0F2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Best correlation</w:t>
            </w:r>
          </w:p>
        </w:tc>
        <w:tc>
          <w:tcPr>
            <w:tcW w:w="2160" w:type="dxa"/>
          </w:tcPr>
          <w:p w14:paraId="73B65EE9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0.45</w:t>
            </w:r>
          </w:p>
        </w:tc>
        <w:tc>
          <w:tcPr>
            <w:tcW w:w="1980" w:type="dxa"/>
          </w:tcPr>
          <w:p w14:paraId="3663F92C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0.37</w:t>
            </w:r>
          </w:p>
        </w:tc>
      </w:tr>
      <w:tr w:rsidR="0087233E" w:rsidRPr="00B03F15" w14:paraId="69432AD5" w14:textId="77777777" w:rsidTr="004516E3">
        <w:tc>
          <w:tcPr>
            <w:tcW w:w="3420" w:type="dxa"/>
          </w:tcPr>
          <w:p w14:paraId="1AD526AD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Enhancement threshold</w:t>
            </w:r>
          </w:p>
        </w:tc>
        <w:tc>
          <w:tcPr>
            <w:tcW w:w="2160" w:type="dxa"/>
          </w:tcPr>
          <w:p w14:paraId="7E3981A7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55%</w:t>
            </w:r>
          </w:p>
        </w:tc>
        <w:tc>
          <w:tcPr>
            <w:tcW w:w="1980" w:type="dxa"/>
          </w:tcPr>
          <w:p w14:paraId="7F2FD674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32%</w:t>
            </w:r>
          </w:p>
        </w:tc>
      </w:tr>
      <w:tr w:rsidR="0087233E" w:rsidRPr="00B03F15" w14:paraId="2C673668" w14:textId="77777777" w:rsidTr="004516E3">
        <w:tc>
          <w:tcPr>
            <w:tcW w:w="3420" w:type="dxa"/>
          </w:tcPr>
          <w:p w14:paraId="50CF0F9C" w14:textId="77777777" w:rsidR="0087233E" w:rsidRPr="00B03F15" w:rsidRDefault="0087233E" w:rsidP="004516E3">
            <w:pPr>
              <w:tabs>
                <w:tab w:val="left" w:pos="529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AUC: Grade 1 vs. Grades 2–4</w:t>
            </w:r>
          </w:p>
        </w:tc>
        <w:tc>
          <w:tcPr>
            <w:tcW w:w="2160" w:type="dxa"/>
          </w:tcPr>
          <w:p w14:paraId="3296B288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0.704</w:t>
            </w:r>
          </w:p>
        </w:tc>
        <w:tc>
          <w:tcPr>
            <w:tcW w:w="1980" w:type="dxa"/>
          </w:tcPr>
          <w:p w14:paraId="5A4BE398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0.662</w:t>
            </w:r>
          </w:p>
        </w:tc>
      </w:tr>
      <w:tr w:rsidR="0087233E" w:rsidRPr="00B03F15" w14:paraId="4901B464" w14:textId="77777777" w:rsidTr="004516E3">
        <w:tc>
          <w:tcPr>
            <w:tcW w:w="3420" w:type="dxa"/>
          </w:tcPr>
          <w:p w14:paraId="0E9EF4BF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AUC: Grades 1–2 vs. Grades 3–4</w:t>
            </w:r>
          </w:p>
        </w:tc>
        <w:tc>
          <w:tcPr>
            <w:tcW w:w="2160" w:type="dxa"/>
          </w:tcPr>
          <w:p w14:paraId="03200960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0.765</w:t>
            </w:r>
          </w:p>
        </w:tc>
        <w:tc>
          <w:tcPr>
            <w:tcW w:w="1980" w:type="dxa"/>
          </w:tcPr>
          <w:p w14:paraId="7F144E03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0.709</w:t>
            </w:r>
          </w:p>
        </w:tc>
      </w:tr>
      <w:tr w:rsidR="0087233E" w:rsidRPr="00B03F15" w14:paraId="082C9882" w14:textId="77777777" w:rsidTr="004516E3">
        <w:tc>
          <w:tcPr>
            <w:tcW w:w="3420" w:type="dxa"/>
          </w:tcPr>
          <w:p w14:paraId="61722F13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AUC: Grades 1–3 vs. Grade 4</w:t>
            </w:r>
          </w:p>
        </w:tc>
        <w:tc>
          <w:tcPr>
            <w:tcW w:w="2160" w:type="dxa"/>
          </w:tcPr>
          <w:p w14:paraId="7484E86E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0.862</w:t>
            </w:r>
          </w:p>
        </w:tc>
        <w:tc>
          <w:tcPr>
            <w:tcW w:w="1980" w:type="dxa"/>
          </w:tcPr>
          <w:p w14:paraId="29D5BFD2" w14:textId="77777777" w:rsidR="0087233E" w:rsidRPr="00B03F15" w:rsidRDefault="0087233E" w:rsidP="004516E3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B03F15">
              <w:rPr>
                <w:rFonts w:ascii="Times New Roman" w:eastAsia="Times New Roman" w:hAnsi="Times New Roman" w:cs="Times New Roman"/>
                <w:sz w:val="22"/>
                <w:szCs w:val="22"/>
              </w:rPr>
              <w:t>0.827</w:t>
            </w:r>
          </w:p>
        </w:tc>
      </w:tr>
    </w:tbl>
    <w:p w14:paraId="31E37610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7E351E8C" w14:textId="77777777" w:rsidR="0087233E" w:rsidRPr="0087233E" w:rsidRDefault="0087233E" w:rsidP="0087233E">
      <w:pPr>
        <w:jc w:val="both"/>
        <w:rPr>
          <w:rFonts w:ascii="Times New Roman" w:eastAsia="Times New Roman" w:hAnsi="Times New Roman" w:cs="Times New Roman"/>
          <w:b/>
          <w:bCs/>
        </w:rPr>
      </w:pPr>
      <w:r w:rsidRPr="0087233E">
        <w:rPr>
          <w:rFonts w:ascii="Times New Roman" w:eastAsia="Times New Roman" w:hAnsi="Times New Roman" w:cs="Times New Roman"/>
          <w:b/>
          <w:bCs/>
        </w:rPr>
        <w:t>Intensity-based BPE calculation</w:t>
      </w:r>
    </w:p>
    <w:p w14:paraId="56E1DFC9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 formula for two additional intensity-based BPE calculations are as follows:</w:t>
      </w:r>
    </w:p>
    <w:p w14:paraId="325316D5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</w:p>
    <w:p w14:paraId="389FCA0A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Method A: </w:t>
      </w:r>
    </w:p>
    <w:p w14:paraId="6516A13F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</w:p>
    <w:p w14:paraId="3034CFE5" w14:textId="77777777" w:rsidR="0087233E" w:rsidRPr="0055412A" w:rsidRDefault="00000000" w:rsidP="0087233E">
      <w:pPr>
        <w:jc w:val="both"/>
        <w:rPr>
          <w:rFonts w:ascii="Times New Roman" w:eastAsia="Times New Roman" w:hAnsi="Times New Roman" w:cs="Times New Roman"/>
        </w:rPr>
      </w:pPr>
      <m:oMathPara>
        <m:oMath>
          <m:sSubSup>
            <m:sSubSupPr>
              <m:ctrlPr>
                <w:rPr>
                  <w:rFonts w:ascii="Cambria Math" w:eastAsia="Times New Roman" w:hAnsi="Cambria Math" w:cs="Times New Roman"/>
                </w:rPr>
              </m:ctrlPr>
            </m:sSubSupPr>
            <m:e>
              <m:r>
                <w:rPr>
                  <w:rFonts w:ascii="Cambria Math" w:eastAsia="Times New Roman" w:hAnsi="Cambria Math" w:cs="Times New Roman"/>
                </w:rPr>
                <m:t>BPE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i,k</m:t>
              </m:r>
            </m:sub>
            <m:sup>
              <m:r>
                <w:rPr>
                  <w:rFonts w:ascii="Cambria Math" w:eastAsia="Times New Roman" w:hAnsi="Cambria Math" w:cs="Times New Roman"/>
                </w:rPr>
                <m:t>A</m:t>
              </m:r>
            </m:sup>
          </m:sSubSup>
          <m:r>
            <w:rPr>
              <w:rFonts w:ascii="Cambria Math" w:eastAsia="Times New Roman" w:hAnsi="Cambria Math" w:cs="Times New Roman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</w:rPr>
              </m:ctrlPr>
            </m:fPr>
            <m:num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</w:rPr>
                    <m:t>j∈FGT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</w:rPr>
                        <m:t>i,j</m:t>
                      </m:r>
                    </m:sub>
                  </m:sSub>
                </m:e>
              </m:nary>
              <m:r>
                <w:rPr>
                  <w:rFonts w:ascii="Cambria Math" w:eastAsia="Times New Roman" w:hAnsi="Cambria Math" w:cs="Times New Roman"/>
                </w:rPr>
                <m:t>-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</w:rPr>
                    <m:t>j∈FGT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</w:rPr>
                        <m:t>0,j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</w:rPr>
                    <m:t>j∈FGT</m:t>
                  </m:r>
                </m:sub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</w:rPr>
                        <m:t>S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</w:rPr>
                        <m:t>0,j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Cambria Math" w:cs="Times New Roman"/>
            </w:rPr>
            <m:t>×100%</m:t>
          </m:r>
        </m:oMath>
      </m:oMathPara>
    </w:p>
    <w:p w14:paraId="75184E25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</w:p>
    <w:p w14:paraId="407AC5FF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where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</w:rPr>
              <m:t>0,j</m:t>
            </m:r>
          </m:sub>
        </m:sSub>
      </m:oMath>
      <w:r>
        <w:rPr>
          <w:rFonts w:ascii="Times New Roman" w:eastAsia="Times New Roman" w:hAnsi="Times New Roman" w:cs="Times New Roman"/>
        </w:rPr>
        <w:t xml:space="preserve"> denotes </w:t>
      </w:r>
      <w:r w:rsidRPr="00FE1953">
        <w:rPr>
          <w:rFonts w:ascii="Times New Roman" w:eastAsia="Times New Roman" w:hAnsi="Times New Roman" w:cs="Times New Roman"/>
        </w:rPr>
        <w:t>the signal</w:t>
      </w:r>
      <w:r>
        <w:rPr>
          <w:rFonts w:ascii="Times New Roman" w:eastAsia="Times New Roman" w:hAnsi="Times New Roman" w:cs="Times New Roman"/>
        </w:rPr>
        <w:t xml:space="preserve"> </w:t>
      </w:r>
      <w:r w:rsidRPr="00FE1953">
        <w:rPr>
          <w:rFonts w:ascii="Times New Roman" w:eastAsia="Times New Roman" w:hAnsi="Times New Roman" w:cs="Times New Roman"/>
        </w:rPr>
        <w:t>intensity of voxel j on the pre</w:t>
      </w:r>
      <w:r>
        <w:rPr>
          <w:rFonts w:ascii="Times New Roman" w:eastAsia="Times New Roman" w:hAnsi="Times New Roman" w:cs="Times New Roman"/>
        </w:rPr>
        <w:t>-</w:t>
      </w:r>
      <w:r w:rsidRPr="00FE1953">
        <w:rPr>
          <w:rFonts w:ascii="Times New Roman" w:eastAsia="Times New Roman" w:hAnsi="Times New Roman" w:cs="Times New Roman"/>
        </w:rPr>
        <w:t>contrast image</w:t>
      </w:r>
      <w:r>
        <w:rPr>
          <w:rFonts w:ascii="Times New Roman" w:eastAsia="Times New Roman" w:hAnsi="Times New Roman" w:cs="Times New Roman"/>
        </w:rPr>
        <w:t>,</w:t>
      </w:r>
      <w:r w:rsidRPr="00FE1953">
        <w:rPr>
          <w:rFonts w:ascii="Times New Roman" w:eastAsia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</w:rPr>
              <m:t>i,j</m:t>
            </m:r>
          </m:sub>
        </m:sSub>
      </m:oMath>
      <w:r>
        <w:rPr>
          <w:rFonts w:ascii="Times New Roman" w:eastAsia="Times New Roman" w:hAnsi="Times New Roman" w:cs="Times New Roman"/>
        </w:rPr>
        <w:t xml:space="preserve"> </w:t>
      </w:r>
      <w:r w:rsidRPr="00FE1953">
        <w:rPr>
          <w:rFonts w:ascii="Times New Roman" w:eastAsia="Times New Roman" w:hAnsi="Times New Roman" w:cs="Times New Roman"/>
        </w:rPr>
        <w:t>denotes the</w:t>
      </w:r>
      <w:r>
        <w:rPr>
          <w:rFonts w:ascii="Times New Roman" w:eastAsia="Times New Roman" w:hAnsi="Times New Roman" w:cs="Times New Roman"/>
        </w:rPr>
        <w:t xml:space="preserve"> </w:t>
      </w:r>
      <w:r w:rsidRPr="00FE1953">
        <w:rPr>
          <w:rFonts w:ascii="Times New Roman" w:eastAsia="Times New Roman" w:hAnsi="Times New Roman" w:cs="Times New Roman"/>
        </w:rPr>
        <w:t xml:space="preserve">signal intensity </w:t>
      </w:r>
      <w:r>
        <w:rPr>
          <w:rFonts w:ascii="Times New Roman" w:eastAsia="Times New Roman" w:hAnsi="Times New Roman" w:cs="Times New Roman"/>
        </w:rPr>
        <w:t xml:space="preserve">of the same voxel </w:t>
      </w:r>
      <w:r w:rsidRPr="00FE1953">
        <w:rPr>
          <w:rFonts w:ascii="Times New Roman" w:eastAsia="Times New Roman" w:hAnsi="Times New Roman" w:cs="Times New Roman"/>
        </w:rPr>
        <w:t xml:space="preserve">on the </w:t>
      </w:r>
      <w:proofErr w:type="spellStart"/>
      <w:r w:rsidRPr="00FE1953">
        <w:rPr>
          <w:rFonts w:ascii="Times New Roman" w:eastAsia="Times New Roman" w:hAnsi="Times New Roman" w:cs="Times New Roman"/>
        </w:rPr>
        <w:t>i</w:t>
      </w:r>
      <w:proofErr w:type="spellEnd"/>
      <w:r w:rsidRPr="00FE1953">
        <w:rPr>
          <w:rFonts w:ascii="Times New Roman" w:eastAsia="Times New Roman" w:hAnsi="Times New Roman" w:cs="Times New Roman"/>
        </w:rPr>
        <w:t xml:space="preserve"> postcontrast image</w:t>
      </w:r>
      <w:r>
        <w:rPr>
          <w:rFonts w:ascii="Times New Roman" w:eastAsia="Times New Roman" w:hAnsi="Times New Roman" w:cs="Times New Roman"/>
        </w:rPr>
        <w:t>. This method emphasizes the overall signal enhancement of all FGT.</w:t>
      </w:r>
    </w:p>
    <w:p w14:paraId="410A987C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</w:p>
    <w:p w14:paraId="4E88A683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Method B: </w:t>
      </w:r>
    </w:p>
    <w:p w14:paraId="6B68C4C8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</w:p>
    <w:p w14:paraId="2D521AA7" w14:textId="77777777" w:rsidR="0087233E" w:rsidRPr="00E9361F" w:rsidRDefault="00000000" w:rsidP="0087233E">
      <w:pPr>
        <w:jc w:val="both"/>
        <w:rPr>
          <w:rFonts w:ascii="Times New Roman" w:eastAsia="Times New Roman" w:hAnsi="Times New Roman" w:cs="Times New Roman"/>
        </w:rPr>
      </w:pPr>
      <m:oMathPara>
        <m:oMath>
          <m:sSubSup>
            <m:sSubSupPr>
              <m:ctrlPr>
                <w:rPr>
                  <w:rFonts w:ascii="Cambria Math" w:eastAsia="Times New Roman" w:hAnsi="Cambria Math" w:cs="Times New Roman"/>
                </w:rPr>
              </m:ctrlPr>
            </m:sSubSupPr>
            <m:e>
              <m:r>
                <w:rPr>
                  <w:rFonts w:ascii="Cambria Math" w:eastAsia="Times New Roman" w:hAnsi="Cambria Math" w:cs="Times New Roman"/>
                </w:rPr>
                <m:t>BPE</m:t>
              </m:r>
            </m:e>
            <m:sub>
              <m:r>
                <w:rPr>
                  <w:rFonts w:ascii="Cambria Math" w:eastAsia="Times New Roman" w:hAnsi="Cambria Math" w:cs="Times New Roman"/>
                </w:rPr>
                <m:t>i,k</m:t>
              </m:r>
            </m:sub>
            <m:sup>
              <m:r>
                <w:rPr>
                  <w:rFonts w:ascii="Cambria Math" w:eastAsia="Times New Roman" w:hAnsi="Cambria Math" w:cs="Times New Roman"/>
                </w:rPr>
                <m:t>B</m:t>
              </m:r>
            </m:sup>
          </m:sSubSup>
          <m:r>
            <w:rPr>
              <w:rFonts w:ascii="Cambria Math" w:eastAsia="Times New Roman" w:hAnsi="Cambria Math" w:cs="Times New Roman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</w:rPr>
                <m:t>1</m:t>
              </m:r>
            </m:num>
            <m:den>
              <m:d>
                <m:dPr>
                  <m:begChr m:val="|"/>
                  <m:endChr m:val="|"/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eastAsia="Times New Roman" w:hAnsi="Cambria Math" w:cs="Times New Roman"/>
                    </w:rPr>
                    <m:t>FGT</m:t>
                  </m:r>
                </m:e>
              </m:d>
            </m:den>
          </m:f>
          <m:nary>
            <m:naryPr>
              <m:chr m:val="∑"/>
              <m:limLoc m:val="undOvr"/>
              <m:supHide m:val="1"/>
              <m:ctrlPr>
                <w:rPr>
                  <w:rFonts w:ascii="Cambria Math" w:eastAsia="Times New Roman" w:hAnsi="Cambria Math" w:cs="Times New Roman"/>
                  <w:i/>
                </w:rPr>
              </m:ctrlPr>
            </m:naryPr>
            <m:sub>
              <m:r>
                <w:rPr>
                  <w:rFonts w:ascii="Cambria Math" w:eastAsia="Times New Roman" w:hAnsi="Cambria Math" w:cs="Times New Roman"/>
                </w:rPr>
                <m:t>j∈FGT</m:t>
              </m:r>
            </m:sub>
            <m:sup/>
            <m:e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Top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k</m:t>
                  </m:r>
                </m:sub>
              </m:sSub>
              <m:d>
                <m:dPr>
                  <m:ctrlPr>
                    <w:rPr>
                      <w:rFonts w:ascii="Cambria Math" w:eastAsia="Times New Roman" w:hAnsi="Cambria Math" w:cs="Times New Roman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</w:rPr>
                            <m:t>i,j</m:t>
                          </m:r>
                        </m:sub>
                      </m:sSub>
                      <m:r>
                        <w:rPr>
                          <w:rFonts w:ascii="Cambria Math" w:eastAsia="Times New Roman" w:hAnsi="Cambria Math" w:cs="Times New Roman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</w:rPr>
                            <m:t>0,j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</w:rPr>
                            <m:t>S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</w:rPr>
                            <m:t>0,j</m:t>
                          </m:r>
                        </m:sub>
                      </m:sSub>
                    </m:den>
                  </m:f>
                </m:e>
              </m:d>
            </m:e>
          </m:nary>
          <m:r>
            <w:rPr>
              <w:rFonts w:ascii="Cambria Math" w:eastAsia="Times New Roman" w:hAnsi="Cambria Math" w:cs="Times New Roman"/>
            </w:rPr>
            <m:t>×100%</m:t>
          </m:r>
        </m:oMath>
      </m:oMathPara>
    </w:p>
    <w:p w14:paraId="41D54505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</w:p>
    <w:p w14:paraId="2DC5AE2E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where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</w:rPr>
              <m:t>0,j</m:t>
            </m:r>
          </m:sub>
        </m:sSub>
      </m:oMath>
      <w:r>
        <w:rPr>
          <w:rFonts w:ascii="Times New Roman" w:eastAsia="Times New Roman" w:hAnsi="Times New Roman" w:cs="Times New Roman"/>
        </w:rPr>
        <w:t xml:space="preserve"> denotes </w:t>
      </w:r>
      <w:r w:rsidRPr="00FE1953">
        <w:rPr>
          <w:rFonts w:ascii="Times New Roman" w:eastAsia="Times New Roman" w:hAnsi="Times New Roman" w:cs="Times New Roman"/>
        </w:rPr>
        <w:t>the signal</w:t>
      </w:r>
      <w:r>
        <w:rPr>
          <w:rFonts w:ascii="Times New Roman" w:eastAsia="Times New Roman" w:hAnsi="Times New Roman" w:cs="Times New Roman"/>
        </w:rPr>
        <w:t xml:space="preserve"> </w:t>
      </w:r>
      <w:r w:rsidRPr="00FE1953">
        <w:rPr>
          <w:rFonts w:ascii="Times New Roman" w:eastAsia="Times New Roman" w:hAnsi="Times New Roman" w:cs="Times New Roman"/>
        </w:rPr>
        <w:t>intensity of voxel j on the pre</w:t>
      </w:r>
      <w:r>
        <w:rPr>
          <w:rFonts w:ascii="Times New Roman" w:eastAsia="Times New Roman" w:hAnsi="Times New Roman" w:cs="Times New Roman"/>
        </w:rPr>
        <w:t>-</w:t>
      </w:r>
      <w:r w:rsidRPr="00FE1953">
        <w:rPr>
          <w:rFonts w:ascii="Times New Roman" w:eastAsia="Times New Roman" w:hAnsi="Times New Roman" w:cs="Times New Roman"/>
        </w:rPr>
        <w:t>contrast image</w:t>
      </w:r>
      <w:r>
        <w:rPr>
          <w:rFonts w:ascii="Times New Roman" w:eastAsia="Times New Roman" w:hAnsi="Times New Roman" w:cs="Times New Roman"/>
        </w:rPr>
        <w:t>,</w:t>
      </w:r>
      <w:r w:rsidRPr="00FE1953">
        <w:rPr>
          <w:rFonts w:ascii="Times New Roman" w:eastAsia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S</m:t>
            </m:r>
          </m:e>
          <m:sub>
            <m:r>
              <w:rPr>
                <w:rFonts w:ascii="Cambria Math" w:eastAsia="Times New Roman" w:hAnsi="Cambria Math" w:cs="Times New Roman"/>
              </w:rPr>
              <m:t>i,j</m:t>
            </m:r>
          </m:sub>
        </m:sSub>
      </m:oMath>
      <w:r>
        <w:rPr>
          <w:rFonts w:ascii="Times New Roman" w:eastAsia="Times New Roman" w:hAnsi="Times New Roman" w:cs="Times New Roman"/>
        </w:rPr>
        <w:t xml:space="preserve"> </w:t>
      </w:r>
      <w:r w:rsidRPr="00FE1953">
        <w:rPr>
          <w:rFonts w:ascii="Times New Roman" w:eastAsia="Times New Roman" w:hAnsi="Times New Roman" w:cs="Times New Roman"/>
        </w:rPr>
        <w:t>denotes the</w:t>
      </w:r>
      <w:r>
        <w:rPr>
          <w:rFonts w:ascii="Times New Roman" w:eastAsia="Times New Roman" w:hAnsi="Times New Roman" w:cs="Times New Roman"/>
        </w:rPr>
        <w:t xml:space="preserve"> </w:t>
      </w:r>
      <w:r w:rsidRPr="00FE1953">
        <w:rPr>
          <w:rFonts w:ascii="Times New Roman" w:eastAsia="Times New Roman" w:hAnsi="Times New Roman" w:cs="Times New Roman"/>
        </w:rPr>
        <w:t xml:space="preserve">signal intensity </w:t>
      </w:r>
      <w:r>
        <w:rPr>
          <w:rFonts w:ascii="Times New Roman" w:eastAsia="Times New Roman" w:hAnsi="Times New Roman" w:cs="Times New Roman"/>
        </w:rPr>
        <w:t xml:space="preserve">of the same voxel </w:t>
      </w:r>
      <w:r w:rsidRPr="00FE1953">
        <w:rPr>
          <w:rFonts w:ascii="Times New Roman" w:eastAsia="Times New Roman" w:hAnsi="Times New Roman" w:cs="Times New Roman"/>
        </w:rPr>
        <w:t xml:space="preserve">on the </w:t>
      </w:r>
      <w:proofErr w:type="spellStart"/>
      <w:r w:rsidRPr="00FE1953">
        <w:rPr>
          <w:rFonts w:ascii="Times New Roman" w:eastAsia="Times New Roman" w:hAnsi="Times New Roman" w:cs="Times New Roman"/>
        </w:rPr>
        <w:t>i</w:t>
      </w:r>
      <w:proofErr w:type="spellEnd"/>
      <w:r w:rsidRPr="00FE1953">
        <w:rPr>
          <w:rFonts w:ascii="Times New Roman" w:eastAsia="Times New Roman" w:hAnsi="Times New Roman" w:cs="Times New Roman"/>
        </w:rPr>
        <w:t xml:space="preserve"> postcontrast image</w:t>
      </w:r>
      <w:r>
        <w:rPr>
          <w:rFonts w:ascii="Times New Roman" w:eastAsia="Times New Roman" w:hAnsi="Times New Roman" w:cs="Times New Roman"/>
        </w:rPr>
        <w:t xml:space="preserve">. This method represents average FGT enhancement with top k percent enhancement thresholding. In our dataset, maximum </w:t>
      </w:r>
      <w:r w:rsidRPr="00654C15">
        <w:rPr>
          <w:rFonts w:ascii="Times New Roman" w:eastAsia="Times New Roman" w:hAnsi="Times New Roman" w:cs="Times New Roman"/>
        </w:rPr>
        <w:t>Spearman</w:t>
      </w:r>
      <w:r>
        <w:rPr>
          <w:rFonts w:ascii="Times New Roman" w:eastAsia="Times New Roman" w:hAnsi="Times New Roman" w:cs="Times New Roman"/>
        </w:rPr>
        <w:t xml:space="preserve"> correlation between qualitative BPE and quantitative BPE was achieved when k=77%. The AUC of sub-group separation is shown in Supplemental Table 3</w:t>
      </w:r>
    </w:p>
    <w:p w14:paraId="13B7DAA1" w14:textId="77777777" w:rsidR="0087233E" w:rsidRDefault="0087233E" w:rsidP="0087233E">
      <w:pPr>
        <w:jc w:val="both"/>
        <w:rPr>
          <w:rFonts w:ascii="Times New Roman" w:eastAsia="Times New Roman" w:hAnsi="Times New Roman" w:cs="Times New Roman"/>
        </w:rPr>
      </w:pPr>
    </w:p>
    <w:p w14:paraId="0F4B03A5" w14:textId="77777777" w:rsidR="0087233E" w:rsidRPr="0087233E" w:rsidRDefault="0087233E" w:rsidP="0087233E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03F15">
        <w:rPr>
          <w:rFonts w:ascii="Times New Roman" w:eastAsia="Times New Roman" w:hAnsi="Times New Roman" w:cs="Times New Roman"/>
          <w:b/>
          <w:bCs/>
          <w:sz w:val="22"/>
          <w:szCs w:val="22"/>
        </w:rPr>
        <w:t>Supplementary</w:t>
      </w:r>
      <w:r w:rsidRPr="0087233E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 Table 3</w:t>
      </w:r>
      <w:r w:rsidRPr="0087233E">
        <w:rPr>
          <w:rFonts w:ascii="Times New Roman" w:eastAsia="Times New Roman" w:hAnsi="Times New Roman" w:cs="Times New Roman"/>
          <w:sz w:val="22"/>
          <w:szCs w:val="22"/>
        </w:rPr>
        <w:t>: Correlation between qualitative BPE quantitative BPE and AUC of BPE sub-group separation using the volume-based BPE calculation from the main text of the article and two intensity-based BPE calculations mentioned above on the contralateral side breast.</w:t>
      </w:r>
    </w:p>
    <w:tbl>
      <w:tblPr>
        <w:tblStyle w:val="TableGrid"/>
        <w:tblW w:w="11289" w:type="dxa"/>
        <w:tblInd w:w="-1535" w:type="dxa"/>
        <w:tblLook w:val="04A0" w:firstRow="1" w:lastRow="0" w:firstColumn="1" w:lastColumn="0" w:noHBand="0" w:noVBand="1"/>
      </w:tblPr>
      <w:tblGrid>
        <w:gridCol w:w="3420"/>
        <w:gridCol w:w="2430"/>
        <w:gridCol w:w="2700"/>
        <w:gridCol w:w="2739"/>
      </w:tblGrid>
      <w:tr w:rsidR="0087233E" w14:paraId="1EB1C493" w14:textId="77777777" w:rsidTr="004516E3">
        <w:trPr>
          <w:trHeight w:val="257"/>
        </w:trPr>
        <w:tc>
          <w:tcPr>
            <w:tcW w:w="3420" w:type="dxa"/>
          </w:tcPr>
          <w:p w14:paraId="4BD78A69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Quantitative BPE method</w:t>
            </w:r>
          </w:p>
        </w:tc>
        <w:tc>
          <w:tcPr>
            <w:tcW w:w="2430" w:type="dxa"/>
          </w:tcPr>
          <w:p w14:paraId="26E5C433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Volume-based method</w:t>
            </w:r>
          </w:p>
        </w:tc>
        <w:tc>
          <w:tcPr>
            <w:tcW w:w="2700" w:type="dxa"/>
          </w:tcPr>
          <w:p w14:paraId="57A49B23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Intensity-based method A</w:t>
            </w:r>
          </w:p>
        </w:tc>
        <w:tc>
          <w:tcPr>
            <w:tcW w:w="2739" w:type="dxa"/>
          </w:tcPr>
          <w:p w14:paraId="60E079E9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Intensity-based method B</w:t>
            </w:r>
          </w:p>
        </w:tc>
      </w:tr>
      <w:tr w:rsidR="0087233E" w14:paraId="35826AF5" w14:textId="77777777" w:rsidTr="004516E3">
        <w:trPr>
          <w:trHeight w:val="265"/>
        </w:trPr>
        <w:tc>
          <w:tcPr>
            <w:tcW w:w="3420" w:type="dxa"/>
          </w:tcPr>
          <w:p w14:paraId="24CF0895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A5E3F">
              <w:rPr>
                <w:rFonts w:ascii="Times New Roman" w:eastAsia="Times New Roman" w:hAnsi="Times New Roman" w:cs="Times New Roman"/>
              </w:rPr>
              <w:t>Best correlation</w:t>
            </w:r>
          </w:p>
        </w:tc>
        <w:tc>
          <w:tcPr>
            <w:tcW w:w="2430" w:type="dxa"/>
          </w:tcPr>
          <w:p w14:paraId="3588F30D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2700" w:type="dxa"/>
          </w:tcPr>
          <w:p w14:paraId="61E11908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2739" w:type="dxa"/>
          </w:tcPr>
          <w:p w14:paraId="138A238C" w14:textId="77777777" w:rsidR="0087233E" w:rsidRPr="00654C15" w:rsidRDefault="0087233E" w:rsidP="004516E3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54C15">
              <w:rPr>
                <w:rFonts w:ascii="Times New Roman" w:eastAsia="Times New Roman" w:hAnsi="Times New Roman" w:cs="Times New Roman"/>
                <w:b/>
                <w:bCs/>
              </w:rPr>
              <w:t>0.48</w:t>
            </w:r>
          </w:p>
        </w:tc>
      </w:tr>
      <w:tr w:rsidR="0087233E" w14:paraId="15E8879C" w14:textId="77777777" w:rsidTr="004516E3">
        <w:trPr>
          <w:trHeight w:val="257"/>
        </w:trPr>
        <w:tc>
          <w:tcPr>
            <w:tcW w:w="3420" w:type="dxa"/>
          </w:tcPr>
          <w:p w14:paraId="674DFC36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A5E3F">
              <w:rPr>
                <w:rFonts w:ascii="Times New Roman" w:eastAsia="Times New Roman" w:hAnsi="Times New Roman" w:cs="Times New Roman"/>
              </w:rPr>
              <w:t>AUC</w:t>
            </w:r>
            <w:r>
              <w:rPr>
                <w:rFonts w:ascii="Times New Roman" w:eastAsia="Times New Roman" w:hAnsi="Times New Roman" w:cs="Times New Roman"/>
              </w:rPr>
              <w:t xml:space="preserve">: Grade </w:t>
            </w:r>
            <w:r w:rsidRPr="00AA5E3F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AA5E3F">
              <w:rPr>
                <w:rFonts w:ascii="Times New Roman" w:eastAsia="Times New Roman" w:hAnsi="Times New Roman" w:cs="Times New Roman"/>
              </w:rPr>
              <w:t>vs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AA5E3F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Grades </w:t>
            </w:r>
            <w:r w:rsidRPr="00AA5E3F">
              <w:rPr>
                <w:rFonts w:ascii="Times New Roman" w:eastAsia="Times New Roman" w:hAnsi="Times New Roman" w:cs="Times New Roman"/>
              </w:rPr>
              <w:t>2</w:t>
            </w:r>
            <w:r w:rsidRPr="00FC0FC6">
              <w:rPr>
                <w:rFonts w:ascii="Times New Roman" w:eastAsia="Times New Roman" w:hAnsi="Times New Roman" w:cs="Times New Roman"/>
              </w:rPr>
              <w:t>–</w:t>
            </w:r>
            <w:r w:rsidRPr="00AA5E3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430" w:type="dxa"/>
          </w:tcPr>
          <w:p w14:paraId="35D1A133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0.704</w:t>
            </w:r>
          </w:p>
        </w:tc>
        <w:tc>
          <w:tcPr>
            <w:tcW w:w="2700" w:type="dxa"/>
          </w:tcPr>
          <w:p w14:paraId="4621E57D" w14:textId="77777777" w:rsidR="0087233E" w:rsidRPr="00654C15" w:rsidRDefault="0087233E" w:rsidP="004516E3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54C15">
              <w:rPr>
                <w:rFonts w:ascii="Times New Roman" w:eastAsia="Times New Roman" w:hAnsi="Times New Roman" w:cs="Times New Roman"/>
                <w:b/>
                <w:bCs/>
              </w:rPr>
              <w:t>0.736</w:t>
            </w:r>
          </w:p>
        </w:tc>
        <w:tc>
          <w:tcPr>
            <w:tcW w:w="2739" w:type="dxa"/>
          </w:tcPr>
          <w:p w14:paraId="1D6DBC96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0.733</w:t>
            </w:r>
          </w:p>
        </w:tc>
      </w:tr>
      <w:tr w:rsidR="0087233E" w14:paraId="366A9092" w14:textId="77777777" w:rsidTr="004516E3">
        <w:trPr>
          <w:trHeight w:val="265"/>
        </w:trPr>
        <w:tc>
          <w:tcPr>
            <w:tcW w:w="3420" w:type="dxa"/>
          </w:tcPr>
          <w:p w14:paraId="14A7193B" w14:textId="77777777" w:rsidR="0087233E" w:rsidRDefault="0087233E" w:rsidP="004516E3">
            <w:pPr>
              <w:tabs>
                <w:tab w:val="left" w:pos="529"/>
              </w:tabs>
              <w:jc w:val="both"/>
              <w:rPr>
                <w:rFonts w:ascii="Times New Roman" w:eastAsia="Times New Roman" w:hAnsi="Times New Roman" w:cs="Times New Roman"/>
              </w:rPr>
            </w:pPr>
            <w:r w:rsidRPr="00AA5E3F">
              <w:rPr>
                <w:rFonts w:ascii="Times New Roman" w:eastAsia="Times New Roman" w:hAnsi="Times New Roman" w:cs="Times New Roman"/>
              </w:rPr>
              <w:lastRenderedPageBreak/>
              <w:t>AUC</w:t>
            </w:r>
            <w:r>
              <w:rPr>
                <w:rFonts w:ascii="Times New Roman" w:eastAsia="Times New Roman" w:hAnsi="Times New Roman" w:cs="Times New Roman"/>
              </w:rPr>
              <w:t xml:space="preserve">: Grades </w:t>
            </w:r>
            <w:r w:rsidRPr="00AA5E3F">
              <w:rPr>
                <w:rFonts w:ascii="Times New Roman" w:eastAsia="Times New Roman" w:hAnsi="Times New Roman" w:cs="Times New Roman"/>
              </w:rPr>
              <w:t>1</w:t>
            </w:r>
            <w:r w:rsidRPr="00FC0FC6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2 </w:t>
            </w:r>
            <w:r w:rsidRPr="00AA5E3F">
              <w:rPr>
                <w:rFonts w:ascii="Times New Roman" w:eastAsia="Times New Roman" w:hAnsi="Times New Roman" w:cs="Times New Roman"/>
              </w:rPr>
              <w:t>vs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AA5E3F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Grades 3</w:t>
            </w:r>
            <w:r w:rsidRPr="00FC0FC6">
              <w:rPr>
                <w:rFonts w:ascii="Times New Roman" w:eastAsia="Times New Roman" w:hAnsi="Times New Roman" w:cs="Times New Roman"/>
              </w:rPr>
              <w:t>–</w:t>
            </w:r>
            <w:r w:rsidRPr="00AA5E3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430" w:type="dxa"/>
          </w:tcPr>
          <w:p w14:paraId="697FB0B1" w14:textId="77777777" w:rsidR="0087233E" w:rsidRPr="00654C15" w:rsidRDefault="0087233E" w:rsidP="004516E3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54C15">
              <w:rPr>
                <w:rFonts w:ascii="Times New Roman" w:eastAsia="Times New Roman" w:hAnsi="Times New Roman" w:cs="Times New Roman"/>
                <w:b/>
                <w:bCs/>
              </w:rPr>
              <w:t>0.765</w:t>
            </w:r>
          </w:p>
        </w:tc>
        <w:tc>
          <w:tcPr>
            <w:tcW w:w="2700" w:type="dxa"/>
          </w:tcPr>
          <w:p w14:paraId="62AA6258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0.743</w:t>
            </w:r>
          </w:p>
        </w:tc>
        <w:tc>
          <w:tcPr>
            <w:tcW w:w="2739" w:type="dxa"/>
          </w:tcPr>
          <w:p w14:paraId="3D8BC753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0.755</w:t>
            </w:r>
          </w:p>
        </w:tc>
      </w:tr>
      <w:tr w:rsidR="0087233E" w14:paraId="1687E08C" w14:textId="77777777" w:rsidTr="004516E3">
        <w:trPr>
          <w:trHeight w:val="265"/>
        </w:trPr>
        <w:tc>
          <w:tcPr>
            <w:tcW w:w="3420" w:type="dxa"/>
          </w:tcPr>
          <w:p w14:paraId="31390D94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A5E3F">
              <w:rPr>
                <w:rFonts w:ascii="Times New Roman" w:eastAsia="Times New Roman" w:hAnsi="Times New Roman" w:cs="Times New Roman"/>
              </w:rPr>
              <w:t>AUC</w:t>
            </w:r>
            <w:r>
              <w:rPr>
                <w:rFonts w:ascii="Times New Roman" w:eastAsia="Times New Roman" w:hAnsi="Times New Roman" w:cs="Times New Roman"/>
              </w:rPr>
              <w:t xml:space="preserve">: Grades </w:t>
            </w:r>
            <w:r w:rsidRPr="00AA5E3F">
              <w:rPr>
                <w:rFonts w:ascii="Times New Roman" w:eastAsia="Times New Roman" w:hAnsi="Times New Roman" w:cs="Times New Roman"/>
              </w:rPr>
              <w:t>1</w:t>
            </w:r>
            <w:r w:rsidRPr="00FC0FC6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3 </w:t>
            </w:r>
            <w:r w:rsidRPr="00AA5E3F">
              <w:rPr>
                <w:rFonts w:ascii="Times New Roman" w:eastAsia="Times New Roman" w:hAnsi="Times New Roman" w:cs="Times New Roman"/>
              </w:rPr>
              <w:t>vs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AA5E3F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Grade </w:t>
            </w:r>
            <w:r w:rsidRPr="00AA5E3F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430" w:type="dxa"/>
          </w:tcPr>
          <w:p w14:paraId="74CAA6C0" w14:textId="77777777" w:rsidR="0087233E" w:rsidRPr="00654C15" w:rsidRDefault="0087233E" w:rsidP="004516E3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54C15">
              <w:rPr>
                <w:rFonts w:ascii="Times New Roman" w:eastAsia="Times New Roman" w:hAnsi="Times New Roman" w:cs="Times New Roman"/>
                <w:b/>
                <w:bCs/>
              </w:rPr>
              <w:t>0.862</w:t>
            </w:r>
          </w:p>
        </w:tc>
        <w:tc>
          <w:tcPr>
            <w:tcW w:w="2700" w:type="dxa"/>
          </w:tcPr>
          <w:p w14:paraId="1D6C189A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0.831</w:t>
            </w:r>
          </w:p>
        </w:tc>
        <w:tc>
          <w:tcPr>
            <w:tcW w:w="2739" w:type="dxa"/>
          </w:tcPr>
          <w:p w14:paraId="56F8815E" w14:textId="77777777" w:rsidR="0087233E" w:rsidRDefault="0087233E" w:rsidP="004516E3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0.844</w:t>
            </w:r>
          </w:p>
        </w:tc>
      </w:tr>
    </w:tbl>
    <w:p w14:paraId="75BE15D3" w14:textId="77777777" w:rsidR="0087233E" w:rsidRPr="00CB0896" w:rsidRDefault="0087233E" w:rsidP="0087233E">
      <w:pPr>
        <w:jc w:val="both"/>
        <w:rPr>
          <w:rFonts w:ascii="Times New Roman" w:eastAsia="Times New Roman" w:hAnsi="Times New Roman" w:cs="Times New Roman"/>
        </w:rPr>
      </w:pPr>
    </w:p>
    <w:p w14:paraId="18583DFC" w14:textId="77777777" w:rsidR="0087233E" w:rsidRPr="00CB0896" w:rsidRDefault="0087233E" w:rsidP="0087233E">
      <w:pPr>
        <w:jc w:val="both"/>
        <w:rPr>
          <w:rFonts w:ascii="Times New Roman" w:eastAsia="Times New Roman" w:hAnsi="Times New Roman" w:cs="Times New Roman"/>
        </w:rPr>
      </w:pPr>
    </w:p>
    <w:p w14:paraId="5418D98B" w14:textId="634AB341" w:rsidR="008C6D50" w:rsidRPr="0087233E" w:rsidRDefault="008C6D50" w:rsidP="0087233E">
      <w:pPr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sectPr w:rsidR="008C6D50" w:rsidRPr="0087233E" w:rsidSect="00647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C9187" w14:textId="77777777" w:rsidR="00BD609D" w:rsidRDefault="00BD609D">
      <w:r>
        <w:separator/>
      </w:r>
    </w:p>
  </w:endnote>
  <w:endnote w:type="continuationSeparator" w:id="0">
    <w:p w14:paraId="7681A786" w14:textId="77777777" w:rsidR="00BD609D" w:rsidRDefault="00BD6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56F16" w14:textId="77777777" w:rsidR="00BD609D" w:rsidRDefault="00BD609D">
      <w:r>
        <w:separator/>
      </w:r>
    </w:p>
  </w:footnote>
  <w:footnote w:type="continuationSeparator" w:id="0">
    <w:p w14:paraId="242FF28A" w14:textId="77777777" w:rsidR="00BD609D" w:rsidRDefault="00BD60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913708"/>
    <w:multiLevelType w:val="hybridMultilevel"/>
    <w:tmpl w:val="2B081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A20603"/>
    <w:multiLevelType w:val="multilevel"/>
    <w:tmpl w:val="9C48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710900"/>
    <w:multiLevelType w:val="hybridMultilevel"/>
    <w:tmpl w:val="85DE0A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D129A8"/>
    <w:multiLevelType w:val="multilevel"/>
    <w:tmpl w:val="8DC43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4943387">
    <w:abstractNumId w:val="2"/>
  </w:num>
  <w:num w:numId="2" w16cid:durableId="910164393">
    <w:abstractNumId w:val="3"/>
  </w:num>
  <w:num w:numId="3" w16cid:durableId="910429027">
    <w:abstractNumId w:val="0"/>
  </w:num>
  <w:num w:numId="4" w16cid:durableId="13819820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east Cancer Research&lt;/Style&gt;&lt;LeftDelim&gt;{&lt;/LeftDelim&gt;&lt;RightDelim&gt;}&lt;/RightDelim&gt;&lt;FontName&gt;等线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fswrezp9fw2t3e9v955ve0rddx9af22a0rv&quot;&gt;BPE&lt;record-ids&gt;&lt;item&gt;1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/record-ids&gt;&lt;/item&gt;&lt;/Libraries&gt;"/>
  </w:docVars>
  <w:rsids>
    <w:rsidRoot w:val="008C6D50"/>
    <w:rsid w:val="00020EED"/>
    <w:rsid w:val="00082989"/>
    <w:rsid w:val="000D23A4"/>
    <w:rsid w:val="0018353D"/>
    <w:rsid w:val="001A0AD9"/>
    <w:rsid w:val="002618A3"/>
    <w:rsid w:val="002D16BF"/>
    <w:rsid w:val="002D47CF"/>
    <w:rsid w:val="003514EC"/>
    <w:rsid w:val="003E172E"/>
    <w:rsid w:val="003F3EFB"/>
    <w:rsid w:val="0042482F"/>
    <w:rsid w:val="00455781"/>
    <w:rsid w:val="004F4B11"/>
    <w:rsid w:val="00500ED0"/>
    <w:rsid w:val="005A51F8"/>
    <w:rsid w:val="005E55FA"/>
    <w:rsid w:val="00607CC5"/>
    <w:rsid w:val="006164C7"/>
    <w:rsid w:val="00647554"/>
    <w:rsid w:val="006A220F"/>
    <w:rsid w:val="006C16B1"/>
    <w:rsid w:val="006E2307"/>
    <w:rsid w:val="007245CA"/>
    <w:rsid w:val="00791F84"/>
    <w:rsid w:val="00795E93"/>
    <w:rsid w:val="007C0AF7"/>
    <w:rsid w:val="007F5FE7"/>
    <w:rsid w:val="0087233E"/>
    <w:rsid w:val="008752C1"/>
    <w:rsid w:val="008A29E4"/>
    <w:rsid w:val="008C3B6D"/>
    <w:rsid w:val="008C6D50"/>
    <w:rsid w:val="008E7A76"/>
    <w:rsid w:val="00942299"/>
    <w:rsid w:val="009A0D3E"/>
    <w:rsid w:val="009F54A6"/>
    <w:rsid w:val="00AD1184"/>
    <w:rsid w:val="00AD5E42"/>
    <w:rsid w:val="00AE68D5"/>
    <w:rsid w:val="00AE74C5"/>
    <w:rsid w:val="00AF40A9"/>
    <w:rsid w:val="00B04D92"/>
    <w:rsid w:val="00B56771"/>
    <w:rsid w:val="00BD17DA"/>
    <w:rsid w:val="00BD609D"/>
    <w:rsid w:val="00BE0B11"/>
    <w:rsid w:val="00C4669C"/>
    <w:rsid w:val="00CA700B"/>
    <w:rsid w:val="00CD369C"/>
    <w:rsid w:val="00CE7C5B"/>
    <w:rsid w:val="00D1142B"/>
    <w:rsid w:val="00D13F7E"/>
    <w:rsid w:val="00D14A80"/>
    <w:rsid w:val="00D2129F"/>
    <w:rsid w:val="00D2668C"/>
    <w:rsid w:val="00D57214"/>
    <w:rsid w:val="00DD259A"/>
    <w:rsid w:val="00DD3E34"/>
    <w:rsid w:val="00E02F4B"/>
    <w:rsid w:val="00E2362B"/>
    <w:rsid w:val="00E479A2"/>
    <w:rsid w:val="00EA2E2B"/>
    <w:rsid w:val="00EB0A93"/>
    <w:rsid w:val="00ED03AB"/>
    <w:rsid w:val="00EF3603"/>
    <w:rsid w:val="00F724C2"/>
    <w:rsid w:val="00FA2997"/>
    <w:rsid w:val="00FA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F17CAF"/>
  <w15:chartTrackingRefBased/>
  <w15:docId w15:val="{702232FC-EB68-4F15-B056-D4306F720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D50"/>
    <w:pPr>
      <w:spacing w:after="0" w:line="240" w:lineRule="auto"/>
    </w:pPr>
    <w:rPr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6D5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C6D5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6D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6D5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6D50"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6D5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6D5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6D5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6D5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6D5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C6D50"/>
    <w:rPr>
      <w:rFonts w:ascii="Times New Roman" w:eastAsia="Times New Roman" w:hAnsi="Times New Roman" w:cs="Times New Roman"/>
      <w:b/>
      <w:bCs/>
      <w:kern w:val="0"/>
      <w:sz w:val="36"/>
      <w:szCs w:val="36"/>
      <w:lang w:eastAsia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6D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6D50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6D50"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6D50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6D50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6D50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6D50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8C6D5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6D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6D5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6D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6D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6D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6D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6D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6D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6D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6D50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6D5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6D50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8C6D50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8C6D50"/>
    <w:pPr>
      <w:tabs>
        <w:tab w:val="left" w:pos="380"/>
      </w:tabs>
      <w:ind w:left="384" w:hanging="384"/>
    </w:pPr>
  </w:style>
  <w:style w:type="character" w:styleId="PlaceholderText">
    <w:name w:val="Placeholder Text"/>
    <w:basedOn w:val="DefaultParagraphFont"/>
    <w:uiPriority w:val="99"/>
    <w:semiHidden/>
    <w:rsid w:val="008C6D50"/>
    <w:rPr>
      <w:color w:val="808080"/>
    </w:rPr>
  </w:style>
  <w:style w:type="table" w:styleId="TableGrid">
    <w:name w:val="Table Grid"/>
    <w:basedOn w:val="TableNormal"/>
    <w:uiPriority w:val="39"/>
    <w:rsid w:val="008C6D50"/>
    <w:pPr>
      <w:spacing w:after="0" w:line="240" w:lineRule="auto"/>
    </w:pPr>
    <w:rPr>
      <w:kern w:val="0"/>
      <w:sz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C6D50"/>
    <w:pPr>
      <w:spacing w:after="0" w:line="240" w:lineRule="auto"/>
    </w:pPr>
    <w:rPr>
      <w:kern w:val="0"/>
      <w:sz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C6D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C6D5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C6D50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6D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6D50"/>
    <w:rPr>
      <w:b/>
      <w:bCs/>
      <w:kern w:val="0"/>
      <w:sz w:val="20"/>
      <w:szCs w:val="20"/>
      <w14:ligatures w14:val="none"/>
    </w:rPr>
  </w:style>
  <w:style w:type="paragraph" w:customStyle="1" w:styleId="p1">
    <w:name w:val="p1"/>
    <w:basedOn w:val="Normal"/>
    <w:rsid w:val="008C6D5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customStyle="1" w:styleId="p2">
    <w:name w:val="p2"/>
    <w:basedOn w:val="Normal"/>
    <w:rsid w:val="008C6D5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character" w:customStyle="1" w:styleId="apple-converted-space">
    <w:name w:val="apple-converted-space"/>
    <w:basedOn w:val="DefaultParagraphFont"/>
    <w:rsid w:val="008C6D50"/>
  </w:style>
  <w:style w:type="character" w:styleId="Hyperlink">
    <w:name w:val="Hyperlink"/>
    <w:basedOn w:val="DefaultParagraphFont"/>
    <w:uiPriority w:val="99"/>
    <w:unhideWhenUsed/>
    <w:rsid w:val="008C6D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6D5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8C6D50"/>
    <w:pPr>
      <w:jc w:val="center"/>
    </w:pPr>
    <w:rPr>
      <w:rFonts w:ascii="DengXian" w:eastAsia="DengXian" w:hAnsi="DengXian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C6D50"/>
    <w:rPr>
      <w:rFonts w:ascii="DengXian" w:eastAsia="DengXian" w:hAnsi="DengXian" w:cs="Calibri"/>
      <w:kern w:val="0"/>
      <w:sz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C6D50"/>
    <w:rPr>
      <w:rFonts w:ascii="DengXian" w:eastAsia="DengXian" w:hAnsi="DengXian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C6D50"/>
    <w:rPr>
      <w:rFonts w:ascii="DengXian" w:eastAsia="DengXian" w:hAnsi="DengXian" w:cs="Calibri"/>
      <w:kern w:val="0"/>
      <w:sz w:val="24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8C6D50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C6D5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898</Words>
  <Characters>5124</Characters>
  <Application>Microsoft Office Word</Application>
  <DocSecurity>0</DocSecurity>
  <Lines>42</Lines>
  <Paragraphs>12</Paragraphs>
  <ScaleCrop>false</ScaleCrop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Yihui Zhu</dc:creator>
  <cp:keywords/>
  <dc:description/>
  <cp:lastModifiedBy>Bhushan Tandale</cp:lastModifiedBy>
  <cp:revision>9</cp:revision>
  <dcterms:created xsi:type="dcterms:W3CDTF">2025-09-01T19:05:00Z</dcterms:created>
  <dcterms:modified xsi:type="dcterms:W3CDTF">2025-10-06T15:00:00Z</dcterms:modified>
</cp:coreProperties>
</file>