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455C0" w14:textId="7155493F" w:rsidR="00232317" w:rsidRPr="002A514B" w:rsidRDefault="00232317" w:rsidP="00232317">
      <w:pPr>
        <w:pStyle w:val="Heading1"/>
        <w:numPr>
          <w:ilvl w:val="0"/>
          <w:numId w:val="0"/>
        </w:numPr>
        <w:ind w:left="851" w:hanging="851"/>
        <w:rPr>
          <w:rFonts w:asciiTheme="majorHAnsi" w:eastAsiaTheme="minorHAnsi" w:hAnsiTheme="majorHAnsi" w:cstheme="majorHAnsi"/>
          <w:sz w:val="40"/>
          <w:szCs w:val="40"/>
        </w:rPr>
      </w:pPr>
      <w:bookmarkStart w:id="0" w:name="_Toc142952397"/>
      <w:bookmarkStart w:id="1" w:name="_Ref144819021"/>
      <w:bookmarkStart w:id="2" w:name="_Toc145879298"/>
      <w:r w:rsidRPr="002A514B">
        <w:rPr>
          <w:rFonts w:asciiTheme="majorHAnsi" w:eastAsiaTheme="minorHAnsi" w:hAnsiTheme="majorHAnsi" w:cstheme="majorHAnsi"/>
          <w:sz w:val="40"/>
          <w:szCs w:val="40"/>
        </w:rPr>
        <w:t>Appendix</w:t>
      </w:r>
    </w:p>
    <w:p w14:paraId="52537E50" w14:textId="29D89978" w:rsidR="00474303" w:rsidRPr="002A514B" w:rsidRDefault="00474303">
      <w:pPr>
        <w:spacing w:after="160" w:line="259" w:lineRule="auto"/>
        <w:rPr>
          <w:rFonts w:eastAsiaTheme="majorEastAsia" w:cstheme="minorHAnsi"/>
          <w:b/>
          <w:bCs/>
          <w:lang w:val="en-US"/>
        </w:rPr>
      </w:pPr>
    </w:p>
    <w:p w14:paraId="510525B6" w14:textId="77777777" w:rsidR="000A314B" w:rsidRPr="002A514B" w:rsidRDefault="000A314B" w:rsidP="004D67A0">
      <w:pPr>
        <w:pStyle w:val="NoSpacing"/>
        <w:rPr>
          <w:lang w:val="en-US"/>
        </w:rPr>
      </w:pPr>
      <w:bookmarkStart w:id="3" w:name="_Toc171361724"/>
      <w:bookmarkStart w:id="4" w:name="_Toc171361819"/>
      <w:bookmarkStart w:id="5" w:name="_Toc176029942"/>
      <w:r w:rsidRPr="002A514B">
        <w:rPr>
          <w:lang w:val="en-US"/>
        </w:rPr>
        <w:t>Variables</w:t>
      </w:r>
      <w:bookmarkEnd w:id="3"/>
      <w:bookmarkEnd w:id="4"/>
      <w:r w:rsidRPr="002A514B">
        <w:rPr>
          <w:lang w:val="en-US"/>
        </w:rPr>
        <w:t xml:space="preserve"> description</w:t>
      </w:r>
      <w:bookmarkEnd w:id="5"/>
    </w:p>
    <w:tbl>
      <w:tblPr>
        <w:tblStyle w:val="TableGrid"/>
        <w:tblW w:w="0" w:type="auto"/>
        <w:tblLook w:val="04A0" w:firstRow="1" w:lastRow="0" w:firstColumn="1" w:lastColumn="0" w:noHBand="0" w:noVBand="1"/>
      </w:tblPr>
      <w:tblGrid>
        <w:gridCol w:w="1322"/>
        <w:gridCol w:w="7704"/>
      </w:tblGrid>
      <w:tr w:rsidR="000A314B" w:rsidRPr="002A514B" w14:paraId="6D9D4FA2" w14:textId="77777777" w:rsidTr="00BE0F79">
        <w:tc>
          <w:tcPr>
            <w:tcW w:w="1322" w:type="dxa"/>
            <w:tcBorders>
              <w:top w:val="nil"/>
              <w:left w:val="nil"/>
              <w:bottom w:val="single" w:sz="4" w:space="0" w:color="auto"/>
              <w:right w:val="nil"/>
            </w:tcBorders>
          </w:tcPr>
          <w:p w14:paraId="4D84A1D1" w14:textId="77777777" w:rsidR="000A314B" w:rsidRPr="002A514B" w:rsidRDefault="000A314B" w:rsidP="00BE0F79">
            <w:pPr>
              <w:spacing w:before="60" w:after="60"/>
              <w:rPr>
                <w:rFonts w:eastAsiaTheme="minorEastAsia"/>
                <w:b/>
                <w:sz w:val="20"/>
                <w:szCs w:val="20"/>
              </w:rPr>
            </w:pPr>
            <w:r w:rsidRPr="002A514B">
              <w:rPr>
                <w:rFonts w:eastAsiaTheme="minorEastAsia"/>
                <w:b/>
                <w:sz w:val="20"/>
                <w:szCs w:val="20"/>
              </w:rPr>
              <w:t>Variable</w:t>
            </w:r>
          </w:p>
        </w:tc>
        <w:tc>
          <w:tcPr>
            <w:tcW w:w="7704" w:type="dxa"/>
            <w:tcBorders>
              <w:top w:val="nil"/>
              <w:left w:val="nil"/>
              <w:bottom w:val="single" w:sz="4" w:space="0" w:color="auto"/>
              <w:right w:val="nil"/>
            </w:tcBorders>
          </w:tcPr>
          <w:p w14:paraId="74409B93" w14:textId="77777777" w:rsidR="000A314B" w:rsidRPr="002A514B" w:rsidRDefault="000A314B" w:rsidP="00BE0F79">
            <w:pPr>
              <w:spacing w:before="60" w:after="60"/>
              <w:rPr>
                <w:rFonts w:eastAsiaTheme="minorEastAsia"/>
                <w:b/>
                <w:sz w:val="20"/>
                <w:szCs w:val="20"/>
              </w:rPr>
            </w:pPr>
            <w:r w:rsidRPr="002A514B">
              <w:rPr>
                <w:rFonts w:eastAsiaTheme="minorEastAsia"/>
                <w:b/>
                <w:sz w:val="20"/>
                <w:szCs w:val="20"/>
              </w:rPr>
              <w:t>Description</w:t>
            </w:r>
          </w:p>
        </w:tc>
      </w:tr>
      <w:tr w:rsidR="000A314B" w:rsidRPr="002A514B" w14:paraId="3580956C" w14:textId="77777777" w:rsidTr="00BE0F79">
        <w:tc>
          <w:tcPr>
            <w:tcW w:w="1322" w:type="dxa"/>
            <w:tcBorders>
              <w:top w:val="single" w:sz="4" w:space="0" w:color="auto"/>
              <w:left w:val="nil"/>
              <w:bottom w:val="single" w:sz="4" w:space="0" w:color="auto"/>
              <w:right w:val="nil"/>
            </w:tcBorders>
          </w:tcPr>
          <w:p w14:paraId="4704F628" w14:textId="77777777" w:rsidR="000A314B" w:rsidRPr="002A514B" w:rsidRDefault="00000000" w:rsidP="00BE0F79">
            <w:pPr>
              <w:spacing w:before="60" w:after="60"/>
              <w:rPr>
                <w:rFonts w:ascii="Calibri" w:eastAsia="Calibri" w:hAnsi="Calibri" w:cs="Times New Roman"/>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Gini_mkt</m:t>
                    </m:r>
                  </m:e>
                  <m:sup>
                    <m:r>
                      <w:rPr>
                        <w:rFonts w:ascii="Cambria Math" w:hAnsi="Cambria Math"/>
                        <w:sz w:val="20"/>
                        <w:szCs w:val="20"/>
                      </w:rPr>
                      <m:t>a</m:t>
                    </m:r>
                  </m:sup>
                </m:sSup>
              </m:oMath>
            </m:oMathPara>
          </w:p>
        </w:tc>
        <w:tc>
          <w:tcPr>
            <w:tcW w:w="7704" w:type="dxa"/>
            <w:tcBorders>
              <w:left w:val="nil"/>
              <w:right w:val="nil"/>
            </w:tcBorders>
          </w:tcPr>
          <w:p w14:paraId="2464438F" w14:textId="77777777" w:rsidR="000A314B" w:rsidRPr="002A514B" w:rsidRDefault="000A314B" w:rsidP="00BE0F79">
            <w:pPr>
              <w:rPr>
                <w:sz w:val="20"/>
                <w:szCs w:val="20"/>
              </w:rPr>
            </w:pPr>
            <w:r w:rsidRPr="002A514B">
              <w:rPr>
                <w:sz w:val="20"/>
                <w:szCs w:val="20"/>
              </w:rPr>
              <w:t>Gini coefficient of household level pre-tax, pre-transfer market income inequality.</w:t>
            </w:r>
          </w:p>
        </w:tc>
      </w:tr>
      <w:tr w:rsidR="000A314B" w:rsidRPr="002A514B" w14:paraId="19F8FC34" w14:textId="77777777" w:rsidTr="00BE0F79">
        <w:tc>
          <w:tcPr>
            <w:tcW w:w="1322" w:type="dxa"/>
            <w:tcBorders>
              <w:top w:val="single" w:sz="4" w:space="0" w:color="auto"/>
              <w:left w:val="nil"/>
              <w:bottom w:val="single" w:sz="4" w:space="0" w:color="auto"/>
              <w:right w:val="nil"/>
            </w:tcBorders>
          </w:tcPr>
          <w:p w14:paraId="20F12D39" w14:textId="77777777" w:rsidR="000A314B" w:rsidRPr="002A514B" w:rsidRDefault="00000000" w:rsidP="00BE0F79">
            <w:pPr>
              <w:spacing w:before="60" w:after="60"/>
              <w:rPr>
                <w:rFonts w:ascii="Calibri" w:eastAsia="Calibri" w:hAnsi="Calibri" w:cs="Times New Roman"/>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Gini_disp</m:t>
                    </m:r>
                  </m:e>
                  <m:sup>
                    <m:r>
                      <w:rPr>
                        <w:rFonts w:ascii="Cambria Math" w:hAnsi="Cambria Math"/>
                        <w:sz w:val="20"/>
                        <w:szCs w:val="20"/>
                      </w:rPr>
                      <m:t>a</m:t>
                    </m:r>
                  </m:sup>
                </m:sSup>
              </m:oMath>
            </m:oMathPara>
          </w:p>
        </w:tc>
        <w:tc>
          <w:tcPr>
            <w:tcW w:w="7704" w:type="dxa"/>
            <w:tcBorders>
              <w:left w:val="nil"/>
              <w:right w:val="nil"/>
            </w:tcBorders>
          </w:tcPr>
          <w:p w14:paraId="5F60A724" w14:textId="77777777" w:rsidR="000A314B" w:rsidRPr="002A514B" w:rsidRDefault="000A314B" w:rsidP="00BE0F79">
            <w:pPr>
              <w:spacing w:before="60" w:after="60"/>
              <w:jc w:val="both"/>
              <w:rPr>
                <w:sz w:val="20"/>
                <w:szCs w:val="20"/>
              </w:rPr>
            </w:pPr>
            <w:r w:rsidRPr="002A514B">
              <w:rPr>
                <w:sz w:val="20"/>
                <w:szCs w:val="20"/>
              </w:rPr>
              <w:t>Gini coefficient of household level post-tax, post transfer disposable income inequality.</w:t>
            </w:r>
          </w:p>
        </w:tc>
      </w:tr>
      <w:tr w:rsidR="000A314B" w:rsidRPr="002A514B" w14:paraId="4436D6BD" w14:textId="77777777" w:rsidTr="00BE0F79">
        <w:tc>
          <w:tcPr>
            <w:tcW w:w="1322" w:type="dxa"/>
            <w:tcBorders>
              <w:top w:val="single" w:sz="4" w:space="0" w:color="auto"/>
              <w:left w:val="nil"/>
              <w:bottom w:val="single" w:sz="4" w:space="0" w:color="auto"/>
              <w:right w:val="nil"/>
            </w:tcBorders>
          </w:tcPr>
          <w:p w14:paraId="7FF00E7C" w14:textId="77777777" w:rsidR="000A314B" w:rsidRPr="002A514B" w:rsidRDefault="00000000" w:rsidP="00BE0F79">
            <w:pPr>
              <w:spacing w:before="60" w:after="60"/>
              <w:rPr>
                <w:rFonts w:ascii="Calibri" w:eastAsia="Calibri" w:hAnsi="Calibri" w:cs="Times New Roman"/>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rel_red</m:t>
                    </m:r>
                  </m:e>
                  <m:sup>
                    <m:r>
                      <w:rPr>
                        <w:rFonts w:ascii="Cambria Math" w:hAnsi="Cambria Math"/>
                        <w:sz w:val="20"/>
                        <w:szCs w:val="20"/>
                      </w:rPr>
                      <m:t>a</m:t>
                    </m:r>
                  </m:sup>
                </m:sSup>
              </m:oMath>
            </m:oMathPara>
          </w:p>
        </w:tc>
        <w:tc>
          <w:tcPr>
            <w:tcW w:w="7704" w:type="dxa"/>
            <w:tcBorders>
              <w:left w:val="nil"/>
              <w:right w:val="nil"/>
            </w:tcBorders>
          </w:tcPr>
          <w:p w14:paraId="3768A2B5" w14:textId="77777777" w:rsidR="000A314B" w:rsidRPr="002A514B" w:rsidRDefault="000A314B" w:rsidP="00BE0F79">
            <w:pPr>
              <w:spacing w:before="60" w:after="60"/>
              <w:jc w:val="both"/>
              <w:rPr>
                <w:sz w:val="20"/>
                <w:szCs w:val="20"/>
              </w:rPr>
            </w:pPr>
            <w:r w:rsidRPr="002A514B">
              <w:rPr>
                <w:sz w:val="20"/>
                <w:szCs w:val="20"/>
              </w:rPr>
              <w:t xml:space="preserve">Relative redistribution computed from the Gini coefficients of household level market income and disposable income as follows: </w:t>
            </w:r>
            <m:oMath>
              <m:r>
                <w:rPr>
                  <w:rFonts w:ascii="Cambria Math" w:hAnsi="Cambria Math"/>
                  <w:sz w:val="20"/>
                  <w:szCs w:val="20"/>
                </w:rPr>
                <m:t>rel_red=(Gini_mkt-Gini_disp)÷Gini_mkt×100</m:t>
              </m:r>
            </m:oMath>
            <w:r w:rsidRPr="002A514B">
              <w:rPr>
                <w:sz w:val="20"/>
                <w:szCs w:val="20"/>
              </w:rPr>
              <w:t>.</w:t>
            </w:r>
          </w:p>
        </w:tc>
      </w:tr>
      <w:tr w:rsidR="000A314B" w:rsidRPr="002A514B" w14:paraId="115B4617" w14:textId="77777777" w:rsidTr="00BE0F79">
        <w:tc>
          <w:tcPr>
            <w:tcW w:w="1322" w:type="dxa"/>
            <w:tcBorders>
              <w:top w:val="single" w:sz="4" w:space="0" w:color="auto"/>
              <w:left w:val="nil"/>
              <w:bottom w:val="single" w:sz="4" w:space="0" w:color="auto"/>
              <w:right w:val="nil"/>
            </w:tcBorders>
          </w:tcPr>
          <w:p w14:paraId="06D8FA76" w14:textId="77777777" w:rsidR="000A314B" w:rsidRPr="002A514B" w:rsidRDefault="00000000" w:rsidP="00BE0F79">
            <w:pPr>
              <w:spacing w:before="60" w:after="60"/>
              <w:rPr>
                <w:rFonts w:ascii="Calibri" w:eastAsia="Calibri" w:hAnsi="Calibri" w:cs="Times New Roman"/>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Gini_i_pre</m:t>
                    </m:r>
                  </m:e>
                  <m:sup>
                    <m:r>
                      <w:rPr>
                        <w:rFonts w:ascii="Cambria Math" w:hAnsi="Cambria Math"/>
                        <w:sz w:val="20"/>
                        <w:szCs w:val="20"/>
                      </w:rPr>
                      <m:t>b</m:t>
                    </m:r>
                  </m:sup>
                </m:sSup>
              </m:oMath>
            </m:oMathPara>
          </w:p>
        </w:tc>
        <w:tc>
          <w:tcPr>
            <w:tcW w:w="7704" w:type="dxa"/>
            <w:tcBorders>
              <w:left w:val="nil"/>
              <w:right w:val="nil"/>
            </w:tcBorders>
          </w:tcPr>
          <w:p w14:paraId="4D0D46A0" w14:textId="77777777" w:rsidR="000A314B" w:rsidRPr="002A514B" w:rsidRDefault="000A314B" w:rsidP="00BE0F79">
            <w:pPr>
              <w:rPr>
                <w:sz w:val="20"/>
                <w:szCs w:val="20"/>
              </w:rPr>
            </w:pPr>
            <w:r w:rsidRPr="002A514B">
              <w:rPr>
                <w:sz w:val="20"/>
                <w:szCs w:val="20"/>
              </w:rPr>
              <w:t>Gini coefficient of individual level pre-tax income inequality. Income concept: pre-tax national income (code: gptinc992j) = pre-tax labour income + pre-tax capital income.</w:t>
            </w:r>
          </w:p>
        </w:tc>
      </w:tr>
      <w:tr w:rsidR="000A314B" w:rsidRPr="002A514B" w14:paraId="2078B894" w14:textId="77777777" w:rsidTr="00BE0F79">
        <w:tc>
          <w:tcPr>
            <w:tcW w:w="1322" w:type="dxa"/>
            <w:tcBorders>
              <w:top w:val="single" w:sz="4" w:space="0" w:color="auto"/>
              <w:left w:val="nil"/>
              <w:bottom w:val="single" w:sz="4" w:space="0" w:color="auto"/>
              <w:right w:val="nil"/>
            </w:tcBorders>
          </w:tcPr>
          <w:p w14:paraId="759C8B49" w14:textId="77777777" w:rsidR="000A314B" w:rsidRPr="002A514B" w:rsidRDefault="00000000" w:rsidP="00BE0F79">
            <w:pPr>
              <w:spacing w:before="60" w:after="60"/>
              <w:rPr>
                <w:rFonts w:ascii="Calibri" w:eastAsia="Calibri" w:hAnsi="Calibri" w:cs="Times New Roman"/>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Gini_i_post</m:t>
                    </m:r>
                  </m:e>
                  <m:sup>
                    <m:r>
                      <w:rPr>
                        <w:rFonts w:ascii="Cambria Math" w:hAnsi="Cambria Math"/>
                        <w:sz w:val="20"/>
                        <w:szCs w:val="20"/>
                      </w:rPr>
                      <m:t>b</m:t>
                    </m:r>
                  </m:sup>
                </m:sSup>
              </m:oMath>
            </m:oMathPara>
          </w:p>
        </w:tc>
        <w:tc>
          <w:tcPr>
            <w:tcW w:w="7704" w:type="dxa"/>
            <w:tcBorders>
              <w:left w:val="nil"/>
              <w:right w:val="nil"/>
            </w:tcBorders>
          </w:tcPr>
          <w:p w14:paraId="119872CC" w14:textId="77777777" w:rsidR="000A314B" w:rsidRPr="002A514B" w:rsidRDefault="000A314B" w:rsidP="00BE0F79">
            <w:pPr>
              <w:spacing w:before="60" w:after="60"/>
              <w:jc w:val="both"/>
              <w:rPr>
                <w:sz w:val="20"/>
                <w:szCs w:val="20"/>
              </w:rPr>
            </w:pPr>
            <w:r w:rsidRPr="002A514B">
              <w:rPr>
                <w:sz w:val="20"/>
                <w:szCs w:val="20"/>
              </w:rPr>
              <w:t>Gini coefficient of individual level post-tax income inequality. Income concept: post-tax national income (code: gdiinc992j) = post-tax disposable income + public spending (in-kind transfers)</w:t>
            </w:r>
          </w:p>
        </w:tc>
      </w:tr>
      <w:tr w:rsidR="000A314B" w:rsidRPr="002A514B" w14:paraId="0E1D71DD" w14:textId="77777777" w:rsidTr="00BE0F79">
        <w:tc>
          <w:tcPr>
            <w:tcW w:w="1322" w:type="dxa"/>
            <w:tcBorders>
              <w:top w:val="single" w:sz="4" w:space="0" w:color="auto"/>
              <w:left w:val="nil"/>
              <w:bottom w:val="single" w:sz="4" w:space="0" w:color="auto"/>
              <w:right w:val="nil"/>
            </w:tcBorders>
          </w:tcPr>
          <w:p w14:paraId="524DCFA5" w14:textId="77777777" w:rsidR="000A314B" w:rsidRPr="002A514B" w:rsidRDefault="00000000" w:rsidP="00BE0F79">
            <w:pPr>
              <w:spacing w:before="60" w:after="60"/>
              <w:rPr>
                <w:rFonts w:ascii="Calibri" w:eastAsia="Calibri" w:hAnsi="Calibri" w:cs="Times New Roman"/>
                <w:sz w:val="20"/>
                <w:szCs w:val="20"/>
              </w:rPr>
            </w:pPr>
            <m:oMathPara>
              <m:oMath>
                <m:sSup>
                  <m:sSupPr>
                    <m:ctrlPr>
                      <w:rPr>
                        <w:rFonts w:ascii="Cambria Math" w:hAnsi="Cambria Math"/>
                        <w:i/>
                        <w:sz w:val="20"/>
                        <w:szCs w:val="20"/>
                      </w:rPr>
                    </m:ctrlPr>
                  </m:sSupPr>
                  <m:e>
                    <m:r>
                      <w:rPr>
                        <w:rFonts w:ascii="Cambria Math" w:hAnsi="Cambria Math"/>
                        <w:sz w:val="20"/>
                        <w:szCs w:val="20"/>
                      </w:rPr>
                      <m:t>Gini_i_disp</m:t>
                    </m:r>
                  </m:e>
                  <m:sup>
                    <m:r>
                      <w:rPr>
                        <w:rFonts w:ascii="Cambria Math" w:hAnsi="Cambria Math"/>
                        <w:sz w:val="20"/>
                        <w:szCs w:val="20"/>
                      </w:rPr>
                      <m:t>b</m:t>
                    </m:r>
                  </m:sup>
                </m:sSup>
              </m:oMath>
            </m:oMathPara>
          </w:p>
        </w:tc>
        <w:tc>
          <w:tcPr>
            <w:tcW w:w="7704" w:type="dxa"/>
            <w:tcBorders>
              <w:left w:val="nil"/>
              <w:right w:val="nil"/>
            </w:tcBorders>
          </w:tcPr>
          <w:p w14:paraId="0E23CA88" w14:textId="77777777" w:rsidR="000A314B" w:rsidRPr="002A514B" w:rsidRDefault="000A314B" w:rsidP="00BE0F79">
            <w:pPr>
              <w:spacing w:before="60" w:after="60"/>
              <w:jc w:val="both"/>
              <w:rPr>
                <w:sz w:val="20"/>
                <w:szCs w:val="20"/>
              </w:rPr>
            </w:pPr>
            <w:r w:rsidRPr="002A514B">
              <w:rPr>
                <w:sz w:val="20"/>
                <w:szCs w:val="20"/>
              </w:rPr>
              <w:t>Gini coefficient of individual level post-tax disposable income inequality. Income concept: post-tax disposable income (code: gcainc992j) = pre-tax national income – taxes on production net of depreciation – current taxes on income and wealth + social assistance benefits in cash.</w:t>
            </w:r>
          </w:p>
        </w:tc>
      </w:tr>
      <w:tr w:rsidR="000A314B" w:rsidRPr="002A514B" w14:paraId="58EE206D" w14:textId="77777777" w:rsidTr="00BE0F79">
        <w:tc>
          <w:tcPr>
            <w:tcW w:w="1322" w:type="dxa"/>
            <w:tcBorders>
              <w:top w:val="single" w:sz="4" w:space="0" w:color="auto"/>
              <w:left w:val="nil"/>
              <w:bottom w:val="single" w:sz="4" w:space="0" w:color="auto"/>
              <w:right w:val="nil"/>
            </w:tcBorders>
          </w:tcPr>
          <w:p w14:paraId="1AA5F671" w14:textId="77777777" w:rsidR="000A314B" w:rsidRPr="002A514B" w:rsidRDefault="00000000" w:rsidP="00BE0F79">
            <w:pPr>
              <w:spacing w:before="60" w:after="60"/>
              <w:rPr>
                <w:rFonts w:ascii="Calibri" w:eastAsia="Calibri" w:hAnsi="Calibri" w:cs="Times New Roman"/>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rel_i_red</m:t>
                    </m:r>
                  </m:e>
                  <m:sup>
                    <m:r>
                      <w:rPr>
                        <w:rFonts w:ascii="Cambria Math" w:hAnsi="Cambria Math"/>
                        <w:sz w:val="20"/>
                        <w:szCs w:val="20"/>
                      </w:rPr>
                      <m:t>b</m:t>
                    </m:r>
                  </m:sup>
                </m:sSup>
              </m:oMath>
            </m:oMathPara>
          </w:p>
        </w:tc>
        <w:tc>
          <w:tcPr>
            <w:tcW w:w="7704" w:type="dxa"/>
            <w:tcBorders>
              <w:left w:val="nil"/>
              <w:right w:val="nil"/>
            </w:tcBorders>
          </w:tcPr>
          <w:p w14:paraId="6BEC07A4" w14:textId="77777777" w:rsidR="000A314B" w:rsidRPr="002A514B" w:rsidRDefault="000A314B" w:rsidP="00BE0F79">
            <w:pPr>
              <w:spacing w:before="60" w:after="60"/>
              <w:jc w:val="both"/>
              <w:rPr>
                <w:sz w:val="20"/>
                <w:szCs w:val="20"/>
              </w:rPr>
            </w:pPr>
            <w:r w:rsidRPr="002A514B">
              <w:rPr>
                <w:sz w:val="20"/>
                <w:szCs w:val="20"/>
              </w:rPr>
              <w:t xml:space="preserve">Relative redistribution computed from the Gini coefficients of individual level pre-tax income and post-tax disposable income as follows: </w:t>
            </w:r>
            <m:oMath>
              <m:r>
                <w:rPr>
                  <w:rFonts w:ascii="Cambria Math" w:eastAsiaTheme="minorEastAsia" w:hAnsi="Cambria Math"/>
                  <w:sz w:val="20"/>
                  <w:szCs w:val="20"/>
                </w:rPr>
                <m:t>rel_i_red=(Gini_i_pre-Gini_i_disp)÷Gini_i_pre×100</m:t>
              </m:r>
            </m:oMath>
            <w:r w:rsidRPr="002A514B">
              <w:rPr>
                <w:rFonts w:eastAsiaTheme="minorEastAsia"/>
                <w:sz w:val="20"/>
                <w:szCs w:val="20"/>
              </w:rPr>
              <w:t>.</w:t>
            </w:r>
          </w:p>
        </w:tc>
      </w:tr>
      <w:tr w:rsidR="000A314B" w:rsidRPr="002A514B" w14:paraId="108D63DC" w14:textId="77777777" w:rsidTr="00BE0F79">
        <w:tc>
          <w:tcPr>
            <w:tcW w:w="1322" w:type="dxa"/>
            <w:tcBorders>
              <w:top w:val="single" w:sz="4" w:space="0" w:color="auto"/>
              <w:left w:val="nil"/>
              <w:bottom w:val="single" w:sz="4" w:space="0" w:color="auto"/>
              <w:right w:val="nil"/>
            </w:tcBorders>
          </w:tcPr>
          <w:p w14:paraId="425EED8F" w14:textId="77777777" w:rsidR="000A314B" w:rsidRPr="002A514B" w:rsidRDefault="00000000" w:rsidP="00BE0F79">
            <w:pPr>
              <w:spacing w:before="60" w:after="60"/>
              <w:rPr>
                <w:rFonts w:ascii="Calibri" w:eastAsia="Calibri" w:hAnsi="Calibri" w:cs="Times New Roman"/>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Huber_x</m:t>
                    </m:r>
                  </m:e>
                  <m:sup>
                    <m:r>
                      <w:rPr>
                        <w:rFonts w:ascii="Cambria Math" w:hAnsi="Cambria Math"/>
                        <w:sz w:val="20"/>
                        <w:szCs w:val="20"/>
                      </w:rPr>
                      <m:t>c</m:t>
                    </m:r>
                  </m:sup>
                </m:sSup>
              </m:oMath>
            </m:oMathPara>
          </w:p>
        </w:tc>
        <w:tc>
          <w:tcPr>
            <w:tcW w:w="7704" w:type="dxa"/>
            <w:tcBorders>
              <w:left w:val="nil"/>
              <w:right w:val="nil"/>
            </w:tcBorders>
          </w:tcPr>
          <w:p w14:paraId="4ECC595F" w14:textId="77777777" w:rsidR="000A314B" w:rsidRPr="002A514B" w:rsidRDefault="000A314B" w:rsidP="00BE0F79">
            <w:pPr>
              <w:spacing w:before="60" w:after="60"/>
              <w:jc w:val="both"/>
              <w:rPr>
                <w:sz w:val="20"/>
                <w:szCs w:val="20"/>
              </w:rPr>
            </w:pPr>
            <w:r w:rsidRPr="002A514B">
              <w:rPr>
                <w:sz w:val="20"/>
                <w:szCs w:val="20"/>
              </w:rPr>
              <w:t xml:space="preserve">Huber’s M-estimator for country-level Equity Beliefs computed from aggregate microdata of </w:t>
            </w:r>
            <m:oMath>
              <m:r>
                <w:rPr>
                  <w:rFonts w:ascii="Cambria Math" w:hAnsi="Cambria Math"/>
                  <w:sz w:val="20"/>
                  <w:szCs w:val="20"/>
                </w:rPr>
                <m:t>E035</m:t>
              </m:r>
              <m:r>
                <w:rPr>
                  <w:rFonts w:ascii="Cambria Math" w:eastAsiaTheme="minorEastAsia" w:hAnsi="Cambria Math"/>
                  <w:sz w:val="20"/>
                  <w:szCs w:val="20"/>
                </w:rPr>
                <m:t>+</m:t>
              </m:r>
              <m:r>
                <w:rPr>
                  <w:rFonts w:ascii="Cambria Math" w:hAnsi="Cambria Math"/>
                  <w:sz w:val="20"/>
                  <w:szCs w:val="20"/>
                </w:rPr>
                <m:t>E037.</m:t>
              </m:r>
            </m:oMath>
            <w:r w:rsidRPr="002A514B">
              <w:rPr>
                <w:rFonts w:eastAsiaTheme="minorEastAsia"/>
                <w:sz w:val="20"/>
                <w:szCs w:val="20"/>
              </w:rPr>
              <w:t xml:space="preserve"> The suffix indicates whether the variable represents the aggregate population (</w:t>
            </w:r>
            <m:oMath>
              <m:r>
                <w:rPr>
                  <w:rFonts w:ascii="Cambria Math" w:eastAsiaTheme="minorEastAsia" w:hAnsi="Cambria Math"/>
                  <w:sz w:val="20"/>
                  <w:szCs w:val="20"/>
                </w:rPr>
                <m:t>_a</m:t>
              </m:r>
            </m:oMath>
            <w:r w:rsidRPr="002A514B">
              <w:rPr>
                <w:rFonts w:eastAsiaTheme="minorEastAsia"/>
                <w:sz w:val="20"/>
                <w:szCs w:val="20"/>
              </w:rPr>
              <w:t>), the top (</w:t>
            </w:r>
            <m:oMath>
              <m:r>
                <w:rPr>
                  <w:rFonts w:ascii="Cambria Math" w:eastAsiaTheme="minorEastAsia" w:hAnsi="Cambria Math"/>
                  <w:sz w:val="20"/>
                  <w:szCs w:val="20"/>
                </w:rPr>
                <m:t>_t</m:t>
              </m:r>
            </m:oMath>
            <w:r w:rsidRPr="002A514B">
              <w:rPr>
                <w:rFonts w:eastAsiaTheme="minorEastAsia"/>
                <w:sz w:val="20"/>
                <w:szCs w:val="20"/>
              </w:rPr>
              <w:t>), middle (</w:t>
            </w:r>
            <m:oMath>
              <m:r>
                <w:rPr>
                  <w:rFonts w:ascii="Cambria Math" w:eastAsiaTheme="minorEastAsia" w:hAnsi="Cambria Math"/>
                  <w:sz w:val="20"/>
                  <w:szCs w:val="20"/>
                </w:rPr>
                <m:t>_m</m:t>
              </m:r>
            </m:oMath>
            <w:r w:rsidRPr="002A514B">
              <w:rPr>
                <w:rFonts w:eastAsiaTheme="minorEastAsia"/>
                <w:sz w:val="20"/>
                <w:szCs w:val="20"/>
              </w:rPr>
              <w:t>) or bottom (</w:t>
            </w:r>
            <m:oMath>
              <m:r>
                <w:rPr>
                  <w:rFonts w:ascii="Cambria Math" w:eastAsiaTheme="minorEastAsia" w:hAnsi="Cambria Math"/>
                  <w:sz w:val="20"/>
                  <w:szCs w:val="20"/>
                </w:rPr>
                <m:t>_b</m:t>
              </m:r>
            </m:oMath>
            <w:r w:rsidRPr="002A514B">
              <w:rPr>
                <w:rFonts w:eastAsiaTheme="minorEastAsia"/>
                <w:sz w:val="20"/>
                <w:szCs w:val="20"/>
              </w:rPr>
              <w:t xml:space="preserve">) of the distribution. </w:t>
            </w:r>
          </w:p>
        </w:tc>
      </w:tr>
      <w:tr w:rsidR="000A314B" w:rsidRPr="002A514B" w14:paraId="0E2D5016" w14:textId="77777777" w:rsidTr="00BE0F79">
        <w:tc>
          <w:tcPr>
            <w:tcW w:w="1322" w:type="dxa"/>
            <w:tcBorders>
              <w:top w:val="single" w:sz="4" w:space="0" w:color="auto"/>
              <w:left w:val="nil"/>
              <w:bottom w:val="single" w:sz="4" w:space="0" w:color="auto"/>
              <w:right w:val="nil"/>
            </w:tcBorders>
          </w:tcPr>
          <w:p w14:paraId="1B3CBA4D" w14:textId="27970E01" w:rsidR="000A314B" w:rsidRPr="002A514B" w:rsidRDefault="00000000" w:rsidP="00BE0F79">
            <w:pPr>
              <w:spacing w:before="60" w:after="60"/>
              <w:rPr>
                <w:rFonts w:ascii="Calibri" w:eastAsia="Calibri" w:hAnsi="Calibri" w:cs="Times New Roman"/>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Tukey_x</m:t>
                    </m:r>
                  </m:e>
                  <m:sup>
                    <m:r>
                      <w:rPr>
                        <w:rFonts w:ascii="Cambria Math" w:hAnsi="Cambria Math"/>
                        <w:sz w:val="20"/>
                        <w:szCs w:val="20"/>
                      </w:rPr>
                      <m:t>c</m:t>
                    </m:r>
                  </m:sup>
                </m:sSup>
              </m:oMath>
            </m:oMathPara>
          </w:p>
        </w:tc>
        <w:tc>
          <w:tcPr>
            <w:tcW w:w="7704" w:type="dxa"/>
            <w:tcBorders>
              <w:left w:val="nil"/>
              <w:right w:val="nil"/>
            </w:tcBorders>
          </w:tcPr>
          <w:p w14:paraId="03C3EB7A" w14:textId="77777777" w:rsidR="000A314B" w:rsidRPr="002A514B" w:rsidRDefault="000A314B" w:rsidP="00BE0F79">
            <w:pPr>
              <w:spacing w:before="60" w:after="60"/>
              <w:jc w:val="both"/>
              <w:rPr>
                <w:sz w:val="20"/>
                <w:szCs w:val="20"/>
              </w:rPr>
            </w:pPr>
            <w:r w:rsidRPr="002A514B">
              <w:rPr>
                <w:sz w:val="20"/>
                <w:szCs w:val="20"/>
              </w:rPr>
              <w:t xml:space="preserve">Tukey’s bi-weight computed from country-level aggregate microdata of </w:t>
            </w:r>
            <m:oMath>
              <m:r>
                <w:rPr>
                  <w:rFonts w:ascii="Cambria Math" w:hAnsi="Cambria Math"/>
                  <w:sz w:val="20"/>
                  <w:szCs w:val="20"/>
                </w:rPr>
                <m:t>E035</m:t>
              </m:r>
              <m:r>
                <w:rPr>
                  <w:rFonts w:ascii="Cambria Math" w:eastAsiaTheme="minorEastAsia" w:hAnsi="Cambria Math"/>
                  <w:sz w:val="20"/>
                  <w:szCs w:val="20"/>
                </w:rPr>
                <m:t>+</m:t>
              </m:r>
              <m:r>
                <w:rPr>
                  <w:rFonts w:ascii="Cambria Math" w:hAnsi="Cambria Math"/>
                  <w:sz w:val="20"/>
                  <w:szCs w:val="20"/>
                </w:rPr>
                <m:t>E037.</m:t>
              </m:r>
            </m:oMath>
            <w:r w:rsidRPr="002A514B">
              <w:rPr>
                <w:rFonts w:eastAsiaTheme="minorEastAsia"/>
                <w:sz w:val="20"/>
                <w:szCs w:val="20"/>
              </w:rPr>
              <w:t xml:space="preserve"> The suffix indicates whether the variable represents the aggregate population (</w:t>
            </w:r>
            <m:oMath>
              <m:r>
                <w:rPr>
                  <w:rFonts w:ascii="Cambria Math" w:eastAsiaTheme="minorEastAsia" w:hAnsi="Cambria Math"/>
                  <w:sz w:val="20"/>
                  <w:szCs w:val="20"/>
                </w:rPr>
                <m:t>_a</m:t>
              </m:r>
            </m:oMath>
            <w:r w:rsidRPr="002A514B">
              <w:rPr>
                <w:rFonts w:eastAsiaTheme="minorEastAsia"/>
                <w:sz w:val="20"/>
                <w:szCs w:val="20"/>
              </w:rPr>
              <w:t>), the top (</w:t>
            </w:r>
            <m:oMath>
              <m:r>
                <w:rPr>
                  <w:rFonts w:ascii="Cambria Math" w:eastAsiaTheme="minorEastAsia" w:hAnsi="Cambria Math"/>
                  <w:sz w:val="20"/>
                  <w:szCs w:val="20"/>
                </w:rPr>
                <m:t>_t</m:t>
              </m:r>
            </m:oMath>
            <w:r w:rsidRPr="002A514B">
              <w:rPr>
                <w:rFonts w:eastAsiaTheme="minorEastAsia"/>
                <w:sz w:val="20"/>
                <w:szCs w:val="20"/>
              </w:rPr>
              <w:t>), middle (</w:t>
            </w:r>
            <m:oMath>
              <m:r>
                <w:rPr>
                  <w:rFonts w:ascii="Cambria Math" w:eastAsiaTheme="minorEastAsia" w:hAnsi="Cambria Math"/>
                  <w:sz w:val="20"/>
                  <w:szCs w:val="20"/>
                </w:rPr>
                <m:t>_m</m:t>
              </m:r>
            </m:oMath>
            <w:r w:rsidRPr="002A514B">
              <w:rPr>
                <w:rFonts w:eastAsiaTheme="minorEastAsia"/>
                <w:sz w:val="20"/>
                <w:szCs w:val="20"/>
              </w:rPr>
              <w:t>) or bottom (</w:t>
            </w:r>
            <m:oMath>
              <m:r>
                <w:rPr>
                  <w:rFonts w:ascii="Cambria Math" w:eastAsiaTheme="minorEastAsia" w:hAnsi="Cambria Math"/>
                  <w:sz w:val="20"/>
                  <w:szCs w:val="20"/>
                </w:rPr>
                <m:t>_b</m:t>
              </m:r>
            </m:oMath>
            <w:r w:rsidRPr="002A514B">
              <w:rPr>
                <w:rFonts w:eastAsiaTheme="minorEastAsia"/>
                <w:sz w:val="20"/>
                <w:szCs w:val="20"/>
              </w:rPr>
              <w:t>) of the distribution.</w:t>
            </w:r>
          </w:p>
        </w:tc>
      </w:tr>
      <w:tr w:rsidR="000A314B" w:rsidRPr="002A514B" w14:paraId="1A8294BE" w14:textId="77777777" w:rsidTr="00BE0F79">
        <w:tc>
          <w:tcPr>
            <w:tcW w:w="1322" w:type="dxa"/>
            <w:tcBorders>
              <w:top w:val="single" w:sz="4" w:space="0" w:color="auto"/>
              <w:left w:val="nil"/>
              <w:bottom w:val="single" w:sz="4" w:space="0" w:color="auto"/>
              <w:right w:val="nil"/>
            </w:tcBorders>
          </w:tcPr>
          <w:p w14:paraId="7B660846" w14:textId="4265A32F" w:rsidR="000A314B" w:rsidRPr="002A514B" w:rsidRDefault="000A314B" w:rsidP="00BE0F79">
            <w:pPr>
              <w:spacing w:before="60" w:after="60"/>
              <w:rPr>
                <w:rFonts w:eastAsiaTheme="minorEastAsia"/>
                <w:bCs/>
                <w:sz w:val="20"/>
                <w:szCs w:val="20"/>
              </w:rPr>
            </w:pPr>
            <m:oMath>
              <m:r>
                <w:rPr>
                  <w:rFonts w:ascii="Cambria Math" w:hAnsi="Cambria Math"/>
                  <w:sz w:val="20"/>
                  <w:szCs w:val="20"/>
                </w:rPr>
                <m:t>EFI</m:t>
              </m:r>
            </m:oMath>
            <w:r w:rsidRPr="002A514B">
              <w:rPr>
                <w:rFonts w:eastAsiaTheme="minorEastAsia"/>
                <w:sz w:val="20"/>
                <w:szCs w:val="20"/>
                <w:vertAlign w:val="superscript"/>
              </w:rPr>
              <w:t>d</w:t>
            </w:r>
          </w:p>
        </w:tc>
        <w:tc>
          <w:tcPr>
            <w:tcW w:w="7704" w:type="dxa"/>
            <w:tcBorders>
              <w:left w:val="nil"/>
              <w:right w:val="nil"/>
            </w:tcBorders>
          </w:tcPr>
          <w:p w14:paraId="14584CAF" w14:textId="77777777" w:rsidR="000A314B" w:rsidRPr="002A514B" w:rsidRDefault="000A314B" w:rsidP="00BE0F79">
            <w:pPr>
              <w:spacing w:before="60" w:after="60"/>
              <w:jc w:val="both"/>
              <w:rPr>
                <w:rFonts w:eastAsiaTheme="minorEastAsia"/>
                <w:b/>
                <w:sz w:val="20"/>
                <w:szCs w:val="20"/>
              </w:rPr>
            </w:pPr>
            <w:r w:rsidRPr="002A514B">
              <w:rPr>
                <w:sz w:val="20"/>
                <w:szCs w:val="20"/>
              </w:rPr>
              <w:t>Economic freedom index: a summary measure for economic policy that indicates the level of government interference in the free-market system. A low value indicates low personal freedom and a high value greater personal freedom.</w:t>
            </w:r>
          </w:p>
        </w:tc>
      </w:tr>
      <w:tr w:rsidR="000A314B" w:rsidRPr="002A514B" w14:paraId="6A03F07C" w14:textId="77777777" w:rsidTr="00BE0F79">
        <w:tc>
          <w:tcPr>
            <w:tcW w:w="1322" w:type="dxa"/>
            <w:tcBorders>
              <w:top w:val="single" w:sz="4" w:space="0" w:color="auto"/>
              <w:left w:val="nil"/>
              <w:bottom w:val="single" w:sz="4" w:space="0" w:color="auto"/>
              <w:right w:val="nil"/>
            </w:tcBorders>
          </w:tcPr>
          <w:p w14:paraId="1E90F539" w14:textId="2E8244E1" w:rsidR="000A314B" w:rsidRPr="002A514B" w:rsidRDefault="000A314B" w:rsidP="00BE0F79">
            <w:pPr>
              <w:spacing w:before="60" w:after="60"/>
              <w:rPr>
                <w:rFonts w:ascii="Cambria Math" w:hAnsi="Cambria Math"/>
                <w:bCs/>
                <w:i/>
                <w:sz w:val="20"/>
                <w:szCs w:val="20"/>
              </w:rPr>
            </w:pPr>
            <m:oMath>
              <m:r>
                <w:rPr>
                  <w:rFonts w:ascii="Cambria Math" w:hAnsi="Cambria Math"/>
                  <w:sz w:val="20"/>
                  <w:szCs w:val="20"/>
                </w:rPr>
                <m:t>EFI_a</m:t>
              </m:r>
            </m:oMath>
            <w:r w:rsidRPr="002A514B">
              <w:rPr>
                <w:rFonts w:eastAsiaTheme="minorEastAsia"/>
                <w:sz w:val="20"/>
                <w:szCs w:val="20"/>
                <w:vertAlign w:val="superscript"/>
              </w:rPr>
              <w:t>d</w:t>
            </w:r>
          </w:p>
        </w:tc>
        <w:tc>
          <w:tcPr>
            <w:tcW w:w="7704" w:type="dxa"/>
            <w:tcBorders>
              <w:left w:val="nil"/>
              <w:right w:val="nil"/>
            </w:tcBorders>
          </w:tcPr>
          <w:p w14:paraId="3A1C4806" w14:textId="77777777" w:rsidR="000A314B" w:rsidRPr="002A514B" w:rsidRDefault="000A314B" w:rsidP="00BE0F79">
            <w:pPr>
              <w:spacing w:before="60" w:after="60"/>
              <w:jc w:val="both"/>
              <w:rPr>
                <w:sz w:val="20"/>
                <w:szCs w:val="20"/>
              </w:rPr>
            </w:pPr>
            <w:r w:rsidRPr="002A514B">
              <w:rPr>
                <w:sz w:val="20"/>
                <w:szCs w:val="20"/>
              </w:rPr>
              <w:t>Government size: the extent of government spending and government-controlled enterprises in an economy. Low/high values indicate larger/smaller government size.</w:t>
            </w:r>
          </w:p>
        </w:tc>
      </w:tr>
      <w:tr w:rsidR="000A314B" w:rsidRPr="002A514B" w14:paraId="6253129C" w14:textId="77777777" w:rsidTr="00BE0F79">
        <w:tc>
          <w:tcPr>
            <w:tcW w:w="1322" w:type="dxa"/>
            <w:tcBorders>
              <w:top w:val="single" w:sz="4" w:space="0" w:color="auto"/>
              <w:left w:val="nil"/>
              <w:bottom w:val="single" w:sz="4" w:space="0" w:color="auto"/>
              <w:right w:val="nil"/>
            </w:tcBorders>
          </w:tcPr>
          <w:p w14:paraId="342DAAE0" w14:textId="1B62A093" w:rsidR="000A314B" w:rsidRPr="002A514B" w:rsidRDefault="000A314B" w:rsidP="00BE0F79">
            <w:pPr>
              <w:spacing w:before="60" w:after="60"/>
              <w:rPr>
                <w:rFonts w:ascii="Cambria Math" w:hAnsi="Cambria Math"/>
                <w:bCs/>
                <w:i/>
                <w:sz w:val="20"/>
                <w:szCs w:val="20"/>
              </w:rPr>
            </w:pPr>
            <m:oMath>
              <m:r>
                <w:rPr>
                  <w:rFonts w:ascii="Cambria Math" w:hAnsi="Cambria Math"/>
                  <w:sz w:val="20"/>
                  <w:szCs w:val="20"/>
                </w:rPr>
                <m:t>EFI_b</m:t>
              </m:r>
            </m:oMath>
            <w:r w:rsidRPr="002A514B">
              <w:rPr>
                <w:rFonts w:eastAsiaTheme="minorEastAsia"/>
                <w:sz w:val="20"/>
                <w:szCs w:val="20"/>
                <w:vertAlign w:val="superscript"/>
              </w:rPr>
              <w:t>d</w:t>
            </w:r>
          </w:p>
        </w:tc>
        <w:tc>
          <w:tcPr>
            <w:tcW w:w="7704" w:type="dxa"/>
            <w:tcBorders>
              <w:left w:val="nil"/>
              <w:right w:val="nil"/>
            </w:tcBorders>
          </w:tcPr>
          <w:p w14:paraId="57012772" w14:textId="77777777" w:rsidR="000A314B" w:rsidRPr="002A514B" w:rsidRDefault="000A314B" w:rsidP="00BE0F79">
            <w:pPr>
              <w:spacing w:before="60" w:after="60"/>
              <w:jc w:val="both"/>
              <w:rPr>
                <w:sz w:val="20"/>
                <w:szCs w:val="20"/>
              </w:rPr>
            </w:pPr>
            <w:r w:rsidRPr="002A514B">
              <w:rPr>
                <w:sz w:val="20"/>
                <w:szCs w:val="20"/>
              </w:rPr>
              <w:t>Legal system and property rights: the intensity of property rights protections implemented via legislation, the judiciary and law enforcement. Low/high values indicate low/high property rights protections.</w:t>
            </w:r>
          </w:p>
        </w:tc>
      </w:tr>
      <w:tr w:rsidR="000A314B" w:rsidRPr="002A514B" w14:paraId="0D7A9231" w14:textId="77777777" w:rsidTr="00BE0F79">
        <w:tc>
          <w:tcPr>
            <w:tcW w:w="1322" w:type="dxa"/>
            <w:tcBorders>
              <w:top w:val="single" w:sz="4" w:space="0" w:color="auto"/>
              <w:left w:val="nil"/>
              <w:bottom w:val="single" w:sz="4" w:space="0" w:color="auto"/>
              <w:right w:val="nil"/>
            </w:tcBorders>
          </w:tcPr>
          <w:p w14:paraId="27FDCE7A" w14:textId="537B476C" w:rsidR="000A314B" w:rsidRPr="002A514B" w:rsidRDefault="000A314B" w:rsidP="00BE0F79">
            <w:pPr>
              <w:spacing w:before="60" w:after="60"/>
              <w:rPr>
                <w:rFonts w:ascii="Cambria Math" w:hAnsi="Cambria Math"/>
                <w:bCs/>
                <w:i/>
                <w:sz w:val="20"/>
                <w:szCs w:val="20"/>
              </w:rPr>
            </w:pPr>
            <m:oMath>
              <m:r>
                <w:rPr>
                  <w:rFonts w:ascii="Cambria Math" w:hAnsi="Cambria Math"/>
                  <w:sz w:val="20"/>
                  <w:szCs w:val="20"/>
                </w:rPr>
                <m:t>EFI_c</m:t>
              </m:r>
            </m:oMath>
            <w:r w:rsidRPr="002A514B">
              <w:rPr>
                <w:rFonts w:eastAsiaTheme="minorEastAsia"/>
                <w:sz w:val="20"/>
                <w:szCs w:val="20"/>
                <w:vertAlign w:val="superscript"/>
              </w:rPr>
              <w:t>d</w:t>
            </w:r>
          </w:p>
        </w:tc>
        <w:tc>
          <w:tcPr>
            <w:tcW w:w="7704" w:type="dxa"/>
            <w:tcBorders>
              <w:left w:val="nil"/>
              <w:right w:val="nil"/>
            </w:tcBorders>
          </w:tcPr>
          <w:p w14:paraId="4EE6F610" w14:textId="77777777" w:rsidR="000A314B" w:rsidRPr="002A514B" w:rsidRDefault="000A314B" w:rsidP="00BE0F79">
            <w:pPr>
              <w:spacing w:before="60" w:after="60"/>
              <w:jc w:val="both"/>
              <w:rPr>
                <w:sz w:val="20"/>
                <w:szCs w:val="20"/>
              </w:rPr>
            </w:pPr>
            <w:r w:rsidRPr="002A514B">
              <w:rPr>
                <w:sz w:val="20"/>
                <w:szCs w:val="20"/>
              </w:rPr>
              <w:t>Monetary policy: the efficacy of institutional control over inflation and price stability. Low/high values indicate high/low inflation, high/low currency volatility and high/low regulation of currency exchange.</w:t>
            </w:r>
          </w:p>
        </w:tc>
      </w:tr>
      <w:tr w:rsidR="000A314B" w:rsidRPr="002A514B" w14:paraId="30C5D8D7" w14:textId="77777777" w:rsidTr="00BE0F79">
        <w:tc>
          <w:tcPr>
            <w:tcW w:w="1322" w:type="dxa"/>
            <w:tcBorders>
              <w:top w:val="single" w:sz="4" w:space="0" w:color="auto"/>
              <w:left w:val="nil"/>
              <w:bottom w:val="single" w:sz="4" w:space="0" w:color="auto"/>
              <w:right w:val="nil"/>
            </w:tcBorders>
          </w:tcPr>
          <w:p w14:paraId="32471521" w14:textId="4B083B82" w:rsidR="000A314B" w:rsidRPr="002A514B" w:rsidRDefault="000A314B" w:rsidP="00BE0F79">
            <w:pPr>
              <w:spacing w:before="60" w:after="60"/>
              <w:rPr>
                <w:rFonts w:ascii="Cambria Math" w:hAnsi="Cambria Math"/>
                <w:bCs/>
                <w:i/>
                <w:sz w:val="20"/>
                <w:szCs w:val="20"/>
              </w:rPr>
            </w:pPr>
            <m:oMath>
              <m:r>
                <w:rPr>
                  <w:rFonts w:ascii="Cambria Math" w:hAnsi="Cambria Math"/>
                  <w:sz w:val="20"/>
                  <w:szCs w:val="20"/>
                </w:rPr>
                <m:t>EFI_d</m:t>
              </m:r>
            </m:oMath>
            <w:r w:rsidRPr="002A514B">
              <w:rPr>
                <w:rFonts w:eastAsiaTheme="minorEastAsia"/>
                <w:sz w:val="20"/>
                <w:szCs w:val="20"/>
                <w:vertAlign w:val="superscript"/>
              </w:rPr>
              <w:t>d</w:t>
            </w:r>
          </w:p>
        </w:tc>
        <w:tc>
          <w:tcPr>
            <w:tcW w:w="7704" w:type="dxa"/>
            <w:tcBorders>
              <w:left w:val="nil"/>
              <w:right w:val="nil"/>
            </w:tcBorders>
          </w:tcPr>
          <w:p w14:paraId="6C0256B9" w14:textId="77777777" w:rsidR="000A314B" w:rsidRPr="002A514B" w:rsidRDefault="000A314B" w:rsidP="00BE0F79">
            <w:pPr>
              <w:spacing w:before="60" w:after="60"/>
              <w:jc w:val="both"/>
              <w:rPr>
                <w:sz w:val="20"/>
                <w:szCs w:val="20"/>
              </w:rPr>
            </w:pPr>
            <w:r w:rsidRPr="002A514B">
              <w:rPr>
                <w:sz w:val="20"/>
                <w:szCs w:val="20"/>
              </w:rPr>
              <w:t>International trade policy: the measure of trade openness of an economy. Low/high values indicate high/low trade barriers.</w:t>
            </w:r>
          </w:p>
        </w:tc>
      </w:tr>
      <w:tr w:rsidR="000A314B" w:rsidRPr="002A514B" w14:paraId="7786AFCF" w14:textId="77777777" w:rsidTr="00BE0F79">
        <w:tc>
          <w:tcPr>
            <w:tcW w:w="1322" w:type="dxa"/>
            <w:tcBorders>
              <w:top w:val="single" w:sz="4" w:space="0" w:color="auto"/>
              <w:left w:val="nil"/>
              <w:bottom w:val="single" w:sz="4" w:space="0" w:color="auto"/>
              <w:right w:val="nil"/>
            </w:tcBorders>
          </w:tcPr>
          <w:p w14:paraId="311C7DA8" w14:textId="42E4E3B2" w:rsidR="000A314B" w:rsidRPr="002A514B" w:rsidRDefault="000A314B" w:rsidP="00BE0F79">
            <w:pPr>
              <w:spacing w:before="60" w:after="60"/>
              <w:rPr>
                <w:rFonts w:ascii="Cambria Math" w:hAnsi="Cambria Math"/>
                <w:bCs/>
                <w:i/>
                <w:sz w:val="20"/>
                <w:szCs w:val="20"/>
              </w:rPr>
            </w:pPr>
            <m:oMath>
              <m:r>
                <w:rPr>
                  <w:rFonts w:ascii="Cambria Math" w:hAnsi="Cambria Math"/>
                  <w:sz w:val="20"/>
                  <w:szCs w:val="20"/>
                </w:rPr>
                <w:lastRenderedPageBreak/>
                <m:t>EFI_e</m:t>
              </m:r>
            </m:oMath>
            <w:r w:rsidRPr="002A514B">
              <w:rPr>
                <w:rFonts w:eastAsiaTheme="minorEastAsia"/>
                <w:sz w:val="20"/>
                <w:szCs w:val="20"/>
                <w:vertAlign w:val="superscript"/>
              </w:rPr>
              <w:t>d</w:t>
            </w:r>
          </w:p>
        </w:tc>
        <w:tc>
          <w:tcPr>
            <w:tcW w:w="7704" w:type="dxa"/>
            <w:tcBorders>
              <w:left w:val="nil"/>
              <w:right w:val="nil"/>
            </w:tcBorders>
          </w:tcPr>
          <w:p w14:paraId="2D0D6FCC" w14:textId="77777777" w:rsidR="000A314B" w:rsidRPr="002A514B" w:rsidRDefault="000A314B" w:rsidP="00BE0F79">
            <w:pPr>
              <w:spacing w:before="60" w:after="60"/>
              <w:jc w:val="both"/>
              <w:rPr>
                <w:sz w:val="20"/>
                <w:szCs w:val="20"/>
              </w:rPr>
            </w:pPr>
            <w:r w:rsidRPr="002A514B">
              <w:rPr>
                <w:sz w:val="20"/>
                <w:szCs w:val="20"/>
              </w:rPr>
              <w:t>Regulation: the degree of regulatory control imposed by government. Low/high values indicate high/low constraints to freedom of exchange.</w:t>
            </w:r>
          </w:p>
        </w:tc>
      </w:tr>
      <w:tr w:rsidR="000A314B" w:rsidRPr="002A514B" w14:paraId="1D0E8564" w14:textId="77777777" w:rsidTr="00BE0F79">
        <w:tc>
          <w:tcPr>
            <w:tcW w:w="1322" w:type="dxa"/>
            <w:tcBorders>
              <w:top w:val="single" w:sz="4" w:space="0" w:color="auto"/>
              <w:left w:val="nil"/>
              <w:bottom w:val="single" w:sz="4" w:space="0" w:color="auto"/>
              <w:right w:val="nil"/>
            </w:tcBorders>
          </w:tcPr>
          <w:p w14:paraId="05139C14" w14:textId="33991BF4" w:rsidR="000A314B" w:rsidRPr="002A514B" w:rsidRDefault="000A314B" w:rsidP="00BE0F79">
            <w:pPr>
              <w:spacing w:before="60" w:after="60"/>
              <w:rPr>
                <w:rFonts w:ascii="Calibri" w:eastAsia="Calibri" w:hAnsi="Calibri" w:cs="Times New Roman"/>
                <w:sz w:val="20"/>
                <w:szCs w:val="20"/>
              </w:rPr>
            </w:pPr>
            <m:oMath>
              <m:r>
                <w:rPr>
                  <w:rFonts w:ascii="Cambria Math" w:hAnsi="Cambria Math"/>
                  <w:sz w:val="20"/>
                  <w:szCs w:val="20"/>
                </w:rPr>
                <m:t>EFI1B(2)</m:t>
              </m:r>
            </m:oMath>
            <w:r w:rsidRPr="002A514B">
              <w:rPr>
                <w:rFonts w:eastAsiaTheme="minorEastAsia"/>
                <w:sz w:val="20"/>
                <w:szCs w:val="20"/>
                <w:vertAlign w:val="superscript"/>
              </w:rPr>
              <w:t>d</w:t>
            </w:r>
          </w:p>
        </w:tc>
        <w:tc>
          <w:tcPr>
            <w:tcW w:w="7704" w:type="dxa"/>
            <w:tcBorders>
              <w:left w:val="nil"/>
              <w:right w:val="nil"/>
            </w:tcBorders>
          </w:tcPr>
          <w:p w14:paraId="5C5752C0" w14:textId="77777777" w:rsidR="000A314B" w:rsidRPr="002A514B" w:rsidRDefault="000A314B" w:rsidP="00BE0F79">
            <w:pPr>
              <w:spacing w:before="60" w:after="60"/>
              <w:jc w:val="both"/>
              <w:rPr>
                <w:sz w:val="20"/>
                <w:szCs w:val="20"/>
              </w:rPr>
            </w:pPr>
            <w:r w:rsidRPr="002A514B">
              <w:rPr>
                <w:sz w:val="20"/>
                <w:szCs w:val="20"/>
              </w:rPr>
              <w:t>Government transfers and subsidies data.</w:t>
            </w:r>
          </w:p>
        </w:tc>
      </w:tr>
      <w:tr w:rsidR="000A314B" w:rsidRPr="002A514B" w14:paraId="0D007EC7" w14:textId="77777777" w:rsidTr="00BE0F79">
        <w:tc>
          <w:tcPr>
            <w:tcW w:w="1322" w:type="dxa"/>
            <w:tcBorders>
              <w:top w:val="single" w:sz="4" w:space="0" w:color="auto"/>
              <w:left w:val="nil"/>
              <w:bottom w:val="single" w:sz="4" w:space="0" w:color="auto"/>
              <w:right w:val="nil"/>
            </w:tcBorders>
          </w:tcPr>
          <w:p w14:paraId="5120078C" w14:textId="7EEEE3A7" w:rsidR="000A314B" w:rsidRPr="002A514B" w:rsidRDefault="000A314B" w:rsidP="00BE0F79">
            <w:pPr>
              <w:spacing w:before="60" w:after="60"/>
              <w:rPr>
                <w:rFonts w:ascii="Cambria Math" w:hAnsi="Cambria Math"/>
                <w:bCs/>
                <w:i/>
                <w:sz w:val="20"/>
                <w:szCs w:val="20"/>
              </w:rPr>
            </w:pPr>
            <m:oMath>
              <m:r>
                <w:rPr>
                  <w:rFonts w:ascii="Cambria Math" w:hAnsi="Cambria Math"/>
                  <w:sz w:val="20"/>
                  <w:szCs w:val="20"/>
                </w:rPr>
                <m:t>emp</m:t>
              </m:r>
            </m:oMath>
            <w:r w:rsidRPr="002A514B">
              <w:rPr>
                <w:rFonts w:eastAsiaTheme="minorEastAsia"/>
                <w:sz w:val="20"/>
                <w:szCs w:val="20"/>
                <w:vertAlign w:val="superscript"/>
              </w:rPr>
              <w:t>e</w:t>
            </w:r>
          </w:p>
        </w:tc>
        <w:tc>
          <w:tcPr>
            <w:tcW w:w="7704" w:type="dxa"/>
            <w:tcBorders>
              <w:left w:val="nil"/>
              <w:right w:val="nil"/>
            </w:tcBorders>
          </w:tcPr>
          <w:p w14:paraId="54CE64DE" w14:textId="77777777" w:rsidR="000A314B" w:rsidRPr="002A514B" w:rsidRDefault="000A314B" w:rsidP="00BE0F79">
            <w:pPr>
              <w:spacing w:before="60" w:after="60"/>
              <w:jc w:val="both"/>
              <w:rPr>
                <w:sz w:val="20"/>
                <w:szCs w:val="20"/>
              </w:rPr>
            </w:pPr>
            <w:r w:rsidRPr="002A514B">
              <w:rPr>
                <w:sz w:val="20"/>
                <w:szCs w:val="20"/>
              </w:rPr>
              <w:t>Numbers employed. This variable serves the purpose of both a control variable and a policy variable. As a policy variable, numbers employed reflects an outcome of firms’ employment policy.</w:t>
            </w:r>
          </w:p>
        </w:tc>
      </w:tr>
      <w:tr w:rsidR="000A314B" w:rsidRPr="002A514B" w14:paraId="468B814C" w14:textId="77777777" w:rsidTr="00BE0F79">
        <w:tc>
          <w:tcPr>
            <w:tcW w:w="1322" w:type="dxa"/>
            <w:tcBorders>
              <w:top w:val="single" w:sz="4" w:space="0" w:color="auto"/>
              <w:left w:val="nil"/>
              <w:bottom w:val="single" w:sz="4" w:space="0" w:color="auto"/>
              <w:right w:val="nil"/>
            </w:tcBorders>
          </w:tcPr>
          <w:p w14:paraId="670C61DF" w14:textId="7DD94A7C" w:rsidR="000A314B" w:rsidRPr="002A514B" w:rsidRDefault="000A314B" w:rsidP="00BE0F79">
            <w:pPr>
              <w:spacing w:before="60" w:after="60"/>
              <w:rPr>
                <w:rFonts w:ascii="Cambria Math" w:hAnsi="Cambria Math"/>
                <w:bCs/>
                <w:i/>
                <w:sz w:val="20"/>
                <w:szCs w:val="20"/>
              </w:rPr>
            </w:pPr>
            <m:oMath>
              <m:r>
                <w:rPr>
                  <w:rFonts w:ascii="Cambria Math" w:hAnsi="Cambria Math"/>
                  <w:sz w:val="20"/>
                  <w:szCs w:val="20"/>
                </w:rPr>
                <m:t>irr</m:t>
              </m:r>
            </m:oMath>
            <w:r w:rsidRPr="002A514B">
              <w:rPr>
                <w:rFonts w:eastAsiaTheme="minorEastAsia"/>
                <w:sz w:val="20"/>
                <w:szCs w:val="20"/>
                <w:vertAlign w:val="superscript"/>
              </w:rPr>
              <w:t>e</w:t>
            </w:r>
          </w:p>
        </w:tc>
        <w:tc>
          <w:tcPr>
            <w:tcW w:w="7704" w:type="dxa"/>
            <w:tcBorders>
              <w:left w:val="nil"/>
              <w:right w:val="nil"/>
            </w:tcBorders>
          </w:tcPr>
          <w:p w14:paraId="61139016" w14:textId="77777777" w:rsidR="000A314B" w:rsidRPr="002A514B" w:rsidRDefault="000A314B" w:rsidP="00BE0F79">
            <w:pPr>
              <w:spacing w:before="60" w:after="60"/>
              <w:jc w:val="both"/>
              <w:rPr>
                <w:sz w:val="20"/>
                <w:szCs w:val="20"/>
              </w:rPr>
            </w:pPr>
            <w:r w:rsidRPr="002A514B">
              <w:rPr>
                <w:sz w:val="20"/>
                <w:szCs w:val="20"/>
              </w:rPr>
              <w:t xml:space="preserve">Internal rate of return on capital investments. </w:t>
            </w:r>
            <m:oMath>
              <m:r>
                <w:rPr>
                  <w:rFonts w:ascii="Cambria Math" w:hAnsi="Cambria Math"/>
                  <w:sz w:val="20"/>
                  <w:szCs w:val="20"/>
                </w:rPr>
                <m:t>irr</m:t>
              </m:r>
            </m:oMath>
            <w:r w:rsidRPr="002A514B">
              <w:rPr>
                <w:sz w:val="20"/>
                <w:szCs w:val="20"/>
              </w:rPr>
              <w:t xml:space="preserve"> controls for capital market conditions and serves as a proxy for management of operating costs.</w:t>
            </w:r>
          </w:p>
        </w:tc>
      </w:tr>
      <w:tr w:rsidR="000A314B" w:rsidRPr="002A514B" w14:paraId="3E1FDFEF" w14:textId="77777777" w:rsidTr="00BE0F79">
        <w:tc>
          <w:tcPr>
            <w:tcW w:w="1322" w:type="dxa"/>
            <w:tcBorders>
              <w:top w:val="single" w:sz="4" w:space="0" w:color="auto"/>
              <w:left w:val="nil"/>
              <w:bottom w:val="single" w:sz="4" w:space="0" w:color="auto"/>
              <w:right w:val="nil"/>
            </w:tcBorders>
          </w:tcPr>
          <w:p w14:paraId="70EC0A43" w14:textId="1510596A" w:rsidR="000A314B" w:rsidRPr="002A514B" w:rsidRDefault="000A314B" w:rsidP="00BE0F79">
            <w:pPr>
              <w:spacing w:before="60" w:after="60"/>
              <w:rPr>
                <w:rFonts w:ascii="Cambria Math" w:hAnsi="Cambria Math"/>
                <w:bCs/>
                <w:i/>
                <w:sz w:val="20"/>
                <w:szCs w:val="20"/>
              </w:rPr>
            </w:pPr>
            <m:oMath>
              <m:r>
                <w:rPr>
                  <w:rFonts w:ascii="Cambria Math" w:hAnsi="Cambria Math"/>
                  <w:sz w:val="20"/>
                  <w:szCs w:val="20"/>
                </w:rPr>
                <m:t>labsh</m:t>
              </m:r>
            </m:oMath>
            <w:r w:rsidRPr="002A514B">
              <w:rPr>
                <w:rFonts w:eastAsiaTheme="minorEastAsia"/>
                <w:sz w:val="20"/>
                <w:szCs w:val="20"/>
                <w:vertAlign w:val="superscript"/>
              </w:rPr>
              <w:t>e</w:t>
            </w:r>
          </w:p>
        </w:tc>
        <w:tc>
          <w:tcPr>
            <w:tcW w:w="7704" w:type="dxa"/>
            <w:tcBorders>
              <w:left w:val="nil"/>
              <w:right w:val="nil"/>
            </w:tcBorders>
          </w:tcPr>
          <w:p w14:paraId="2A529B63" w14:textId="77777777" w:rsidR="000A314B" w:rsidRPr="002A514B" w:rsidRDefault="000A314B" w:rsidP="00BE0F79">
            <w:pPr>
              <w:spacing w:before="60" w:after="60"/>
              <w:jc w:val="both"/>
              <w:rPr>
                <w:sz w:val="20"/>
                <w:szCs w:val="20"/>
              </w:rPr>
            </w:pPr>
            <w:r w:rsidRPr="002A514B">
              <w:rPr>
                <w:sz w:val="20"/>
                <w:szCs w:val="20"/>
              </w:rPr>
              <w:t>The factor share of national income that accrues to labour. This variable serves as a control variable and a policy variable.</w:t>
            </w:r>
          </w:p>
        </w:tc>
      </w:tr>
      <w:tr w:rsidR="000A314B" w:rsidRPr="002A514B" w14:paraId="68D71215" w14:textId="77777777" w:rsidTr="00BE0F79">
        <w:tc>
          <w:tcPr>
            <w:tcW w:w="1322" w:type="dxa"/>
            <w:tcBorders>
              <w:top w:val="single" w:sz="4" w:space="0" w:color="auto"/>
              <w:left w:val="nil"/>
              <w:bottom w:val="single" w:sz="4" w:space="0" w:color="auto"/>
              <w:right w:val="nil"/>
            </w:tcBorders>
          </w:tcPr>
          <w:p w14:paraId="67DEABCA" w14:textId="35ADB22D" w:rsidR="000A314B" w:rsidRPr="002A514B" w:rsidRDefault="000A314B" w:rsidP="00BE0F79">
            <w:pPr>
              <w:spacing w:before="60" w:after="60"/>
              <w:rPr>
                <w:rFonts w:ascii="Calibri" w:eastAsia="Times New Roman" w:hAnsi="Calibri" w:cs="Times New Roman"/>
                <w:bCs/>
                <w:sz w:val="20"/>
                <w:szCs w:val="20"/>
              </w:rPr>
            </w:pPr>
            <m:oMath>
              <m:r>
                <w:rPr>
                  <w:rFonts w:ascii="Cambria Math" w:hAnsi="Cambria Math"/>
                  <w:sz w:val="20"/>
                  <w:szCs w:val="20"/>
                </w:rPr>
                <m:t>rgdpnapc</m:t>
              </m:r>
            </m:oMath>
            <w:r w:rsidRPr="002A514B">
              <w:rPr>
                <w:rFonts w:eastAsiaTheme="minorEastAsia"/>
                <w:sz w:val="20"/>
                <w:szCs w:val="20"/>
                <w:vertAlign w:val="superscript"/>
              </w:rPr>
              <w:t>e</w:t>
            </w:r>
          </w:p>
        </w:tc>
        <w:tc>
          <w:tcPr>
            <w:tcW w:w="7704" w:type="dxa"/>
            <w:tcBorders>
              <w:left w:val="nil"/>
              <w:bottom w:val="single" w:sz="4" w:space="0" w:color="auto"/>
              <w:right w:val="nil"/>
            </w:tcBorders>
          </w:tcPr>
          <w:p w14:paraId="647147A9" w14:textId="77777777" w:rsidR="000A314B" w:rsidRPr="002A514B" w:rsidRDefault="000A314B" w:rsidP="00BE0F79">
            <w:pPr>
              <w:spacing w:before="60" w:after="60"/>
              <w:jc w:val="both"/>
              <w:rPr>
                <w:sz w:val="20"/>
                <w:szCs w:val="20"/>
              </w:rPr>
            </w:pPr>
            <w:r w:rsidRPr="002A514B">
              <w:rPr>
                <w:sz w:val="20"/>
                <w:szCs w:val="20"/>
              </w:rPr>
              <w:t xml:space="preserve">Real gross domestic product (GDP) per capita at purchasing power parity. Support for redistribution varies by individual income level </w:t>
            </w:r>
            <w:r w:rsidRPr="002A514B">
              <w:rPr>
                <w:sz w:val="20"/>
                <w:szCs w:val="20"/>
              </w:rPr>
              <w:fldChar w:fldCharType="begin">
                <w:fldData xml:space="preserve">PEVuZE5vdGU+PENpdGU+PEF1dGhvcj5BbmRyZcOfPC9BdXRob3I+PFllYXI+MjAwMTwvWWVhcj48
UmVjTnVtPjEyMTQ8L1JlY051bT48RGlzcGxheVRleHQ+KEFuZHJlw58gJmFtcDsgSGVpZW4sIDIw
MDE7IEJsZWtlc2F1bmUsIDIwMDc7IFJlaG0sIDIwMDkpPC9EaXNwbGF5VGV4dD48cmVjb3JkPjxy
ZWMtbnVtYmVyPjEyMTQ8L3JlYy1udW1iZXI+PGZvcmVpZ24ta2V5cz48a2V5IGFwcD0iRU4iIGRi
LWlkPSJycmV6YXpmMm54OWV4MmVlMHpvNTV0NTMyZjB0dzkwdDJyZjAiIHRpbWVzdGFtcD0iMTY5
MjIxMjc4MiIgZ3VpZD0iNzgxMDhjNDktZDMzOC00MWI1LTlmYTgtYjI0MWJlMjVhZmM0Ij4xMjE0
PC9rZXk+PC9mb3JlaWduLWtleXM+PHJlZi10eXBlIG5hbWU9IkpvdXJuYWwgQXJ0aWNsZSI+MTc8
L3JlZi10eXBlPjxjb250cmlidXRvcnM+PGF1dGhvcnM+PGF1dGhvcj5BbmRyZcOfLCBIYW5zLUrD
vHJnZW48L2F1dGhvcj48YXV0aG9yPkhlaWVuLCBUaG9yc3RlbjwvYXV0aG9yPjwvYXV0aG9ycz48
L2NvbnRyaWJ1dG9ycz48dGl0bGVzPjx0aXRsZT5Gb3VyIFdvcmxkcyBvZiBXZWxmYXJlIFN0YXRl
IEF0dGl0dWRlcz8gQSBDb21wYXJpc29uIG9mIEdlcm1hbnksIE5vcndheSwgYW5kIHRoZSBVbml0
ZWQgU3RhdGVzPC90aXRsZT48c2Vjb25kYXJ5LXRpdGxlPkV1cm9wZWFuIFNvY2lvbG9naWNhbCBS
ZXZpZXc8L3NlY29uZGFyeS10aXRsZT48L3RpdGxlcz48cGVyaW9kaWNhbD48ZnVsbC10aXRsZT5F
dXJvcGVhbiBTb2Npb2xvZ2ljYWwgUmV2aWV3PC9mdWxsLXRpdGxlPjwvcGVyaW9kaWNhbD48cGFn
ZXM+MzM3LTM1NjwvcGFnZXM+PHZvbHVtZT4xNzwvdm9sdW1lPjxudW1iZXI+NDwvbnVtYmVyPjxk
YXRlcz48eWVhcj4yMDAxPC95ZWFyPjwvZGF0ZXM+PHB1Ymxpc2hlcj5PeGZvcmQgVW5pdmVyc2l0
eSBQcmVzczwvcHVibGlzaGVyPjxpc2JuPjAyNjY3MjE1LCAxNDY4MjY3MjwvaXNibj48dXJscz48
cmVsYXRlZC11cmxzPjx1cmw+aHR0cDovL3d3dy5qc3Rvci5vcmcvc3RhYmxlLzUyMjg5ODwvdXJs
PjwvcmVsYXRlZC11cmxzPjwvdXJscz48Y3VzdG9tMT5BdHRpdHVkZXMsIFJlZGlzdHJpYnV0aW9u
LCBTb2Npb2xvZ3k8L2N1c3RvbTE+PGN1c3RvbTI+KlNlbGYtaW50ZXJlc3QgaHlwb3RoZXNpczwv
Y3VzdG9tMj48cmVtb3RlLWRhdGFiYXNlLW5hbWU+SlNUT1I8L3JlbW90ZS1kYXRhYmFzZS1uYW1l
PjxhY2Nlc3MtZGF0ZT4yMDIzLzAzLzIzLzwvYWNjZXNzLWRhdGU+PC9yZWNvcmQ+PC9DaXRlPjxD
aXRlPjxBdXRob3I+Qmxla2VzYXVuZTwvQXV0aG9yPjxZZWFyPjIwMDc8L1llYXI+PFJlY051bT4x
MjE1PC9SZWNOdW0+PHJlY29yZD48cmVjLW51bWJlcj4xMjE1PC9yZWMtbnVtYmVyPjxmb3JlaWdu
LWtleXM+PGtleSBhcHA9IkVOIiBkYi1pZD0icnJlemF6ZjJueDlleDJlZTB6bzU1dDUzMmYwdHc5
MHQycmYwIiB0aW1lc3RhbXA9IjE2OTIyMTI3ODQiIGd1aWQ9IjNiYzQ3MjdlLWRjYTktNGVkNy05
MWNhLTM0NjI4Mzg3YjBhMyI+MTIxNTwva2V5PjwvZm9yZWlnbi1rZXlzPjxyZWYtdHlwZSBuYW1l
PSJKb3VybmFsIEFydGljbGUiPjE3PC9yZWYtdHlwZT48Y29udHJpYnV0b3JzPjxhdXRob3JzPjxh
dXRob3I+Qmxla2VzYXVuZSwgTW9ydGVuPC9hdXRob3I+PC9hdXRob3JzPjwvY29udHJpYnV0b3Jz
Pjx0aXRsZXM+PHRpdGxlPkVjb25vbWljIENvbmRpdGlvbnMgYW5kIFB1YmxpYyBBdHRpdHVkZXMg
dG8gV2VsZmFyZSBQb2xpY2llczwvdGl0bGU+PHNlY29uZGFyeS10aXRsZT5FdXJvcGVhbiBTb2Np
b2xvZ2ljYWwgUmV2aWV3PC9zZWNvbmRhcnktdGl0bGU+PC90aXRsZXM+PHBlcmlvZGljYWw+PGZ1
bGwtdGl0bGU+RXVyb3BlYW4gU29jaW9sb2dpY2FsIFJldmlldzwvZnVsbC10aXRsZT48L3Blcmlv
ZGljYWw+PHBhZ2VzPjM5My00MDM8L3BhZ2VzPjx2b2x1bWU+MjM8L3ZvbHVtZT48bnVtYmVyPjM8
L251bWJlcj48ZGF0ZXM+PHllYXI+MjAwNzwveWVhcj48L2RhdGVzPjxpc2JuPjAyNjYtNzIxNTwv
aXNibj48dXJscz48cmVsYXRlZC11cmxzPjx1cmw+aHR0cHM6Ly9kb2kub3JnLzEwLjEwOTMvZXNy
L2pjbTAxMjwvdXJsPjwvcmVsYXRlZC11cmxzPjwvdXJscz48Y3VzdG9tMT5BdHRpdHVkZXMsIFJl
ZGlzdHJpYnV0aW9uLCBTb2Npb2xvZ3k8L2N1c3RvbTE+PGN1c3RvbTI+KlNlbGYtaW50ZXJlc3Qg
aHlwb3RoZXNpczwvY3VzdG9tMj48ZWxlY3Ryb25pYy1yZXNvdXJjZS1udW0+MTAuMTA5My9lc3Iv
amNtMDEyPC9lbGVjdHJvbmljLXJlc291cmNlLW51bT48YWNjZXNzLWRhdGU+My8yMy8yMDIzPC9h
Y2Nlc3MtZGF0ZT48L3JlY29yZD48L0NpdGU+PENpdGU+PEF1dGhvcj5SZWhtPC9BdXRob3I+PFll
YXI+MjAwOTwvWWVhcj48UmVjTnVtPjEyMTY8L1JlY051bT48cmVjb3JkPjxyZWMtbnVtYmVyPjEy
MTY8L3JlYy1udW1iZXI+PGZvcmVpZ24ta2V5cz48a2V5IGFwcD0iRU4iIGRiLWlkPSJycmV6YXpm
Mm54OWV4MmVlMHpvNTV0NTMyZjB0dzkwdDJyZjAiIHRpbWVzdGFtcD0iMTY5MjIxMjc4NSIgZ3Vp
ZD0iOTJmOTBkNDQtNmI3NC00YTFlLThmYTQtNjEzYTQzZDM3YzU2Ij4xMjE2PC9rZXk+PC9mb3Jl
aWduLWtleXM+PHJlZi10eXBlIG5hbWU9IkpvdXJuYWwgQXJ0aWNsZSI+MTc8L3JlZi10eXBlPjxj
b250cmlidXRvcnM+PGF1dGhvcnM+PGF1dGhvcj5SZWhtLCBQaGlsaXBwPC9hdXRob3I+PC9hdXRo
b3JzPjwvY29udHJpYnV0b3JzPjx0aXRsZXM+PHRpdGxlPlJpc2tzIGFuZCBSZWRpc3RyaWJ1dGlv
bjogQW4gSW5kaXZpZHVhbC1MZXZlbCBBbmFseXNpczwvdGl0bGU+PHNlY29uZGFyeS10aXRsZT5D
b21wYXJhdGl2ZSBQb2xpdGljYWwgU3R1ZGllczwvc2Vjb25kYXJ5LXRpdGxlPjwvdGl0bGVzPjxw
ZXJpb2RpY2FsPjxmdWxsLXRpdGxlPkNvbXBhcmF0aXZlIFBvbGl0aWNhbCBTdHVkaWVzPC9mdWxs
LXRpdGxlPjwvcGVyaW9kaWNhbD48cGFnZXM+ODU1LTg4MTwvcGFnZXM+PHZvbHVtZT40Mjwvdm9s
dW1lPjxudW1iZXI+NzwvbnVtYmVyPjxkYXRlcz48eWVhcj4yMDA5PC95ZWFyPjxwdWItZGF0ZXM+
PGRhdGU+MjAwOS8wNy8wMTwvZGF0ZT48L3B1Yi1kYXRlcz48L2RhdGVzPjxwdWJsaXNoZXI+U0FH
RSBQdWJsaWNhdGlvbnMgSW5jPC9wdWJsaXNoZXI+PGlzYm4+MDAxMC00MTQwPC9pc2JuPjx1cmxz
PjxyZWxhdGVkLXVybHM+PHVybD5odHRwczovL2RvaS5vcmcvMTAuMTE3Ny8wMDEwNDE0MDA4MzMw
NTk1PC91cmw+PC9yZWxhdGVkLXVybHM+PC91cmxzPjxjdXN0b20xPkF0dGl0dWRlcywgUG9saXRp
Y2FsIFNjaWVuY2UsIFJlZGlzdHJpYnV0aW9uLCBTb2Npb2xvZ3k8L2N1c3RvbTE+PGN1c3RvbTI+
KlNlbGYtaW50ZXJlc3QgaHlwb3RoZXNpczwvY3VzdG9tMj48ZWxlY3Ryb25pYy1yZXNvdXJjZS1u
dW0+MTAuMTE3Ny8wMDEwNDE0MDA4MzMwNTk1PC9lbGVjdHJvbmljLXJlc291cmNlLW51bT48YWNj
ZXNzLWRhdGU+MjAyMy8wMy8yMzwvYWNjZXNzLWRhdGU+PC9yZWNvcmQ+PC9DaXRlPjwvRW5kTm90
ZT4A
</w:fldData>
              </w:fldChar>
            </w:r>
            <w:r w:rsidRPr="002A514B">
              <w:rPr>
                <w:sz w:val="20"/>
                <w:szCs w:val="20"/>
              </w:rPr>
              <w:instrText xml:space="preserve"> ADDIN EN.CITE </w:instrText>
            </w:r>
            <w:r w:rsidRPr="002A514B">
              <w:rPr>
                <w:sz w:val="20"/>
                <w:szCs w:val="20"/>
              </w:rPr>
              <w:fldChar w:fldCharType="begin">
                <w:fldData xml:space="preserve">PEVuZE5vdGU+PENpdGU+PEF1dGhvcj5BbmRyZcOfPC9BdXRob3I+PFllYXI+MjAwMTwvWWVhcj48
UmVjTnVtPjEyMTQ8L1JlY051bT48RGlzcGxheVRleHQ+KEFuZHJlw58gJmFtcDsgSGVpZW4sIDIw
MDE7IEJsZWtlc2F1bmUsIDIwMDc7IFJlaG0sIDIwMDkpPC9EaXNwbGF5VGV4dD48cmVjb3JkPjxy
ZWMtbnVtYmVyPjEyMTQ8L3JlYy1udW1iZXI+PGZvcmVpZ24ta2V5cz48a2V5IGFwcD0iRU4iIGRi
LWlkPSJycmV6YXpmMm54OWV4MmVlMHpvNTV0NTMyZjB0dzkwdDJyZjAiIHRpbWVzdGFtcD0iMTY5
MjIxMjc4MiIgZ3VpZD0iNzgxMDhjNDktZDMzOC00MWI1LTlmYTgtYjI0MWJlMjVhZmM0Ij4xMjE0
PC9rZXk+PC9mb3JlaWduLWtleXM+PHJlZi10eXBlIG5hbWU9IkpvdXJuYWwgQXJ0aWNsZSI+MTc8
L3JlZi10eXBlPjxjb250cmlidXRvcnM+PGF1dGhvcnM+PGF1dGhvcj5BbmRyZcOfLCBIYW5zLUrD
vHJnZW48L2F1dGhvcj48YXV0aG9yPkhlaWVuLCBUaG9yc3RlbjwvYXV0aG9yPjwvYXV0aG9ycz48
L2NvbnRyaWJ1dG9ycz48dGl0bGVzPjx0aXRsZT5Gb3VyIFdvcmxkcyBvZiBXZWxmYXJlIFN0YXRl
IEF0dGl0dWRlcz8gQSBDb21wYXJpc29uIG9mIEdlcm1hbnksIE5vcndheSwgYW5kIHRoZSBVbml0
ZWQgU3RhdGVzPC90aXRsZT48c2Vjb25kYXJ5LXRpdGxlPkV1cm9wZWFuIFNvY2lvbG9naWNhbCBS
ZXZpZXc8L3NlY29uZGFyeS10aXRsZT48L3RpdGxlcz48cGVyaW9kaWNhbD48ZnVsbC10aXRsZT5F
dXJvcGVhbiBTb2Npb2xvZ2ljYWwgUmV2aWV3PC9mdWxsLXRpdGxlPjwvcGVyaW9kaWNhbD48cGFn
ZXM+MzM3LTM1NjwvcGFnZXM+PHZvbHVtZT4xNzwvdm9sdW1lPjxudW1iZXI+NDwvbnVtYmVyPjxk
YXRlcz48eWVhcj4yMDAxPC95ZWFyPjwvZGF0ZXM+PHB1Ymxpc2hlcj5PeGZvcmQgVW5pdmVyc2l0
eSBQcmVzczwvcHVibGlzaGVyPjxpc2JuPjAyNjY3MjE1LCAxNDY4MjY3MjwvaXNibj48dXJscz48
cmVsYXRlZC11cmxzPjx1cmw+aHR0cDovL3d3dy5qc3Rvci5vcmcvc3RhYmxlLzUyMjg5ODwvdXJs
PjwvcmVsYXRlZC11cmxzPjwvdXJscz48Y3VzdG9tMT5BdHRpdHVkZXMsIFJlZGlzdHJpYnV0aW9u
LCBTb2Npb2xvZ3k8L2N1c3RvbTE+PGN1c3RvbTI+KlNlbGYtaW50ZXJlc3QgaHlwb3RoZXNpczwv
Y3VzdG9tMj48cmVtb3RlLWRhdGFiYXNlLW5hbWU+SlNUT1I8L3JlbW90ZS1kYXRhYmFzZS1uYW1l
PjxhY2Nlc3MtZGF0ZT4yMDIzLzAzLzIzLzwvYWNjZXNzLWRhdGU+PC9yZWNvcmQ+PC9DaXRlPjxD
aXRlPjxBdXRob3I+Qmxla2VzYXVuZTwvQXV0aG9yPjxZZWFyPjIwMDc8L1llYXI+PFJlY051bT4x
MjE1PC9SZWNOdW0+PHJlY29yZD48cmVjLW51bWJlcj4xMjE1PC9yZWMtbnVtYmVyPjxmb3JlaWdu
LWtleXM+PGtleSBhcHA9IkVOIiBkYi1pZD0icnJlemF6ZjJueDlleDJlZTB6bzU1dDUzMmYwdHc5
MHQycmYwIiB0aW1lc3RhbXA9IjE2OTIyMTI3ODQiIGd1aWQ9IjNiYzQ3MjdlLWRjYTktNGVkNy05
MWNhLTM0NjI4Mzg3YjBhMyI+MTIxNTwva2V5PjwvZm9yZWlnbi1rZXlzPjxyZWYtdHlwZSBuYW1l
PSJKb3VybmFsIEFydGljbGUiPjE3PC9yZWYtdHlwZT48Y29udHJpYnV0b3JzPjxhdXRob3JzPjxh
dXRob3I+Qmxla2VzYXVuZSwgTW9ydGVuPC9hdXRob3I+PC9hdXRob3JzPjwvY29udHJpYnV0b3Jz
Pjx0aXRsZXM+PHRpdGxlPkVjb25vbWljIENvbmRpdGlvbnMgYW5kIFB1YmxpYyBBdHRpdHVkZXMg
dG8gV2VsZmFyZSBQb2xpY2llczwvdGl0bGU+PHNlY29uZGFyeS10aXRsZT5FdXJvcGVhbiBTb2Np
b2xvZ2ljYWwgUmV2aWV3PC9zZWNvbmRhcnktdGl0bGU+PC90aXRsZXM+PHBlcmlvZGljYWw+PGZ1
bGwtdGl0bGU+RXVyb3BlYW4gU29jaW9sb2dpY2FsIFJldmlldzwvZnVsbC10aXRsZT48L3Blcmlv
ZGljYWw+PHBhZ2VzPjM5My00MDM8L3BhZ2VzPjx2b2x1bWU+MjM8L3ZvbHVtZT48bnVtYmVyPjM8
L251bWJlcj48ZGF0ZXM+PHllYXI+MjAwNzwveWVhcj48L2RhdGVzPjxpc2JuPjAyNjYtNzIxNTwv
aXNibj48dXJscz48cmVsYXRlZC11cmxzPjx1cmw+aHR0cHM6Ly9kb2kub3JnLzEwLjEwOTMvZXNy
L2pjbTAxMjwvdXJsPjwvcmVsYXRlZC11cmxzPjwvdXJscz48Y3VzdG9tMT5BdHRpdHVkZXMsIFJl
ZGlzdHJpYnV0aW9uLCBTb2Npb2xvZ3k8L2N1c3RvbTE+PGN1c3RvbTI+KlNlbGYtaW50ZXJlc3Qg
aHlwb3RoZXNpczwvY3VzdG9tMj48ZWxlY3Ryb25pYy1yZXNvdXJjZS1udW0+MTAuMTA5My9lc3Iv
amNtMDEyPC9lbGVjdHJvbmljLXJlc291cmNlLW51bT48YWNjZXNzLWRhdGU+My8yMy8yMDIzPC9h
Y2Nlc3MtZGF0ZT48L3JlY29yZD48L0NpdGU+PENpdGU+PEF1dGhvcj5SZWhtPC9BdXRob3I+PFll
YXI+MjAwOTwvWWVhcj48UmVjTnVtPjEyMTY8L1JlY051bT48cmVjb3JkPjxyZWMtbnVtYmVyPjEy
MTY8L3JlYy1udW1iZXI+PGZvcmVpZ24ta2V5cz48a2V5IGFwcD0iRU4iIGRiLWlkPSJycmV6YXpm
Mm54OWV4MmVlMHpvNTV0NTMyZjB0dzkwdDJyZjAiIHRpbWVzdGFtcD0iMTY5MjIxMjc4NSIgZ3Vp
ZD0iOTJmOTBkNDQtNmI3NC00YTFlLThmYTQtNjEzYTQzZDM3YzU2Ij4xMjE2PC9rZXk+PC9mb3Jl
aWduLWtleXM+PHJlZi10eXBlIG5hbWU9IkpvdXJuYWwgQXJ0aWNsZSI+MTc8L3JlZi10eXBlPjxj
b250cmlidXRvcnM+PGF1dGhvcnM+PGF1dGhvcj5SZWhtLCBQaGlsaXBwPC9hdXRob3I+PC9hdXRo
b3JzPjwvY29udHJpYnV0b3JzPjx0aXRsZXM+PHRpdGxlPlJpc2tzIGFuZCBSZWRpc3RyaWJ1dGlv
bjogQW4gSW5kaXZpZHVhbC1MZXZlbCBBbmFseXNpczwvdGl0bGU+PHNlY29uZGFyeS10aXRsZT5D
b21wYXJhdGl2ZSBQb2xpdGljYWwgU3R1ZGllczwvc2Vjb25kYXJ5LXRpdGxlPjwvdGl0bGVzPjxw
ZXJpb2RpY2FsPjxmdWxsLXRpdGxlPkNvbXBhcmF0aXZlIFBvbGl0aWNhbCBTdHVkaWVzPC9mdWxs
LXRpdGxlPjwvcGVyaW9kaWNhbD48cGFnZXM+ODU1LTg4MTwvcGFnZXM+PHZvbHVtZT40Mjwvdm9s
dW1lPjxudW1iZXI+NzwvbnVtYmVyPjxkYXRlcz48eWVhcj4yMDA5PC95ZWFyPjxwdWItZGF0ZXM+
PGRhdGU+MjAwOS8wNy8wMTwvZGF0ZT48L3B1Yi1kYXRlcz48L2RhdGVzPjxwdWJsaXNoZXI+U0FH
RSBQdWJsaWNhdGlvbnMgSW5jPC9wdWJsaXNoZXI+PGlzYm4+MDAxMC00MTQwPC9pc2JuPjx1cmxz
PjxyZWxhdGVkLXVybHM+PHVybD5odHRwczovL2RvaS5vcmcvMTAuMTE3Ny8wMDEwNDE0MDA4MzMw
NTk1PC91cmw+PC9yZWxhdGVkLXVybHM+PC91cmxzPjxjdXN0b20xPkF0dGl0dWRlcywgUG9saXRp
Y2FsIFNjaWVuY2UsIFJlZGlzdHJpYnV0aW9uLCBTb2Npb2xvZ3k8L2N1c3RvbTE+PGN1c3RvbTI+
KlNlbGYtaW50ZXJlc3QgaHlwb3RoZXNpczwvY3VzdG9tMj48ZWxlY3Ryb25pYy1yZXNvdXJjZS1u
dW0+MTAuMTE3Ny8wMDEwNDE0MDA4MzMwNTk1PC9lbGVjdHJvbmljLXJlc291cmNlLW51bT48YWNj
ZXNzLWRhdGU+MjAyMy8wMy8yMzwvYWNjZXNzLWRhdGU+PC9yZWNvcmQ+PC9DaXRlPjwvRW5kTm90
ZT4A
</w:fldData>
              </w:fldChar>
            </w:r>
            <w:r w:rsidRPr="002A514B">
              <w:rPr>
                <w:sz w:val="20"/>
                <w:szCs w:val="20"/>
              </w:rPr>
              <w:instrText xml:space="preserve"> ADDIN EN.CITE.DATA </w:instrText>
            </w:r>
            <w:r w:rsidRPr="002A514B">
              <w:rPr>
                <w:sz w:val="20"/>
                <w:szCs w:val="20"/>
              </w:rPr>
            </w:r>
            <w:r w:rsidRPr="002A514B">
              <w:rPr>
                <w:sz w:val="20"/>
                <w:szCs w:val="20"/>
              </w:rPr>
              <w:fldChar w:fldCharType="end"/>
            </w:r>
            <w:r w:rsidRPr="002A514B">
              <w:rPr>
                <w:sz w:val="20"/>
                <w:szCs w:val="20"/>
              </w:rPr>
            </w:r>
            <w:r w:rsidRPr="002A514B">
              <w:rPr>
                <w:sz w:val="20"/>
                <w:szCs w:val="20"/>
              </w:rPr>
              <w:fldChar w:fldCharType="separate"/>
            </w:r>
            <w:r w:rsidRPr="002A514B">
              <w:rPr>
                <w:noProof/>
                <w:sz w:val="20"/>
                <w:szCs w:val="20"/>
              </w:rPr>
              <w:t>(Andreß &amp; Heien, 2001; Blekesaune, 2007; Rehm, 2009)</w:t>
            </w:r>
            <w:r w:rsidRPr="002A514B">
              <w:rPr>
                <w:sz w:val="20"/>
                <w:szCs w:val="20"/>
              </w:rPr>
              <w:fldChar w:fldCharType="end"/>
            </w:r>
            <w:r w:rsidRPr="002A514B">
              <w:rPr>
                <w:sz w:val="20"/>
                <w:szCs w:val="20"/>
              </w:rPr>
              <w:t>. This variable controls for differences in country wealth and is computed from real GDP at constant 2017 national prices (in mil. 2017US$) divided by country population.</w:t>
            </w:r>
          </w:p>
        </w:tc>
      </w:tr>
      <w:tr w:rsidR="000A314B" w:rsidRPr="002A514B" w14:paraId="5143FF46" w14:textId="77777777" w:rsidTr="00BE0F79">
        <w:tc>
          <w:tcPr>
            <w:tcW w:w="9026" w:type="dxa"/>
            <w:gridSpan w:val="2"/>
            <w:tcBorders>
              <w:top w:val="single" w:sz="4" w:space="0" w:color="auto"/>
              <w:left w:val="nil"/>
              <w:bottom w:val="nil"/>
              <w:right w:val="nil"/>
            </w:tcBorders>
          </w:tcPr>
          <w:p w14:paraId="1DDD9ADB" w14:textId="6C1CB9FE" w:rsidR="000A314B" w:rsidRPr="002A514B" w:rsidRDefault="000A314B" w:rsidP="00BE0F79">
            <w:pPr>
              <w:pStyle w:val="ListParagraph"/>
              <w:spacing w:before="120"/>
              <w:ind w:left="0"/>
              <w:jc w:val="both"/>
              <w:rPr>
                <w:sz w:val="20"/>
                <w:szCs w:val="20"/>
              </w:rPr>
            </w:pPr>
            <w:r w:rsidRPr="002A514B">
              <w:rPr>
                <w:sz w:val="20"/>
              </w:rPr>
              <w:t xml:space="preserve">a. </w:t>
            </w:r>
            <w:r w:rsidRPr="002A514B">
              <w:rPr>
                <w:sz w:val="20"/>
                <w:szCs w:val="20"/>
              </w:rPr>
              <w:t xml:space="preserve">Source: </w:t>
            </w:r>
            <w:proofErr w:type="spellStart"/>
            <w:r w:rsidRPr="002A514B">
              <w:rPr>
                <w:sz w:val="20"/>
                <w:szCs w:val="20"/>
              </w:rPr>
              <w:t>Standardised</w:t>
            </w:r>
            <w:proofErr w:type="spellEnd"/>
            <w:r w:rsidRPr="002A514B">
              <w:rPr>
                <w:sz w:val="20"/>
                <w:szCs w:val="20"/>
              </w:rPr>
              <w:t xml:space="preserve"> World Income Inequality Database </w:t>
            </w:r>
            <w:r w:rsidRPr="002A514B">
              <w:rPr>
                <w:sz w:val="20"/>
                <w:szCs w:val="20"/>
              </w:rPr>
              <w:fldChar w:fldCharType="begin"/>
            </w:r>
            <w:r w:rsidRPr="002A514B">
              <w:rPr>
                <w:sz w:val="20"/>
                <w:szCs w:val="20"/>
              </w:rPr>
              <w:instrText xml:space="preserve"> ADDIN EN.CITE &lt;EndNote&gt;&lt;Cite&gt;&lt;Author&gt;Solt&lt;/Author&gt;&lt;Year&gt;2016&lt;/Year&gt;&lt;RecNum&gt;552&lt;/RecNum&gt;&lt;DisplayText&gt;(Solt, 2016, 2019)&lt;/DisplayText&gt;&lt;record&gt;&lt;rec-number&gt;552&lt;/rec-number&gt;&lt;foreign-keys&gt;&lt;key app="EN" db-id="rrezazf2nx9ex2ee0zo55t532f0tw90t2rf0" timestamp="1692211442" guid="d12bfd27-9cca-4a1c-9e9b-e9f669182a04"&gt;552&lt;/key&gt;&lt;/foreign-keys&gt;&lt;ref-type name="Journal Article"&gt;17&lt;/ref-type&gt;&lt;contributors&gt;&lt;authors&gt;&lt;author&gt;Solt, Frederick&lt;/author&gt;&lt;/authors&gt;&lt;/contributors&gt;&lt;titles&gt;&lt;title&gt;The Standardized World Income Inequality Database*&lt;/title&gt;&lt;secondary-title&gt;Social Science Quarterly&lt;/secondary-title&gt;&lt;/titles&gt;&lt;periodical&gt;&lt;full-title&gt;Social Science Quarterly&lt;/full-title&gt;&lt;/periodical&gt;&lt;pages&gt;1267-1281&lt;/pages&gt;&lt;volume&gt;97&lt;/volume&gt;&lt;number&gt;5&lt;/number&gt;&lt;dates&gt;&lt;year&gt;2016&lt;/year&gt;&lt;pub-dates&gt;&lt;date&gt;2016/11/01&lt;/date&gt;&lt;/pub-dates&gt;&lt;/dates&gt;&lt;publisher&gt;John Wiley &amp;amp; Sons, Ltd (10.1111)&lt;/publisher&gt;&lt;isbn&gt;0038-4941&lt;/isbn&gt;&lt;urls&gt;&lt;related-urls&gt;&lt;url&gt;https://doi.org/10.1111/ssqu.12295&lt;/url&gt;&lt;/related-urls&gt;&lt;/urls&gt;&lt;custom1&gt;Data, Models &amp;amp; Metrics&lt;/custom1&gt;&lt;electronic-resource-num&gt;10.1111/ssqu.12295&lt;/electronic-resource-num&gt;&lt;access-date&gt;2019/12/24&lt;/access-date&gt;&lt;/record&gt;&lt;/Cite&gt;&lt;Cite&gt;&lt;Author&gt;Solt&lt;/Author&gt;&lt;Year&gt;2019&lt;/Year&gt;&lt;RecNum&gt;1242&lt;/RecNum&gt;&lt;record&gt;&lt;rec-number&gt;1242&lt;/rec-number&gt;&lt;foreign-keys&gt;&lt;key app="EN" db-id="rrezazf2nx9ex2ee0zo55t532f0tw90t2rf0" timestamp="1692212830" guid="26be1b5b-e5d9-4619-9978-ad8bb9cef76e"&gt;1242&lt;/key&gt;&lt;/foreign-keys&gt;&lt;ref-type name="Dataset"&gt;59&lt;/ref-type&gt;&lt;contributors&gt;&lt;authors&gt;&lt;author&gt;Solt, Frederick&lt;/author&gt;&lt;/authors&gt;&lt;/contributors&gt;&lt;titles&gt;&lt;title&gt;The Standardized World Income Inequality Database, Versions 8-9&lt;/title&gt;&lt;/titles&gt;&lt;edition&gt;Version 9.2&lt;/edition&gt;&lt;keywords&gt;&lt;keyword&gt;income inequality&lt;/keyword&gt;&lt;/keywords&gt;&lt;dates&gt;&lt;year&gt;2019&lt;/year&gt;&lt;/dates&gt;&lt;publisher&gt;Harvard Dataverse&lt;/publisher&gt;&lt;urls&gt;&lt;related-urls&gt;&lt;url&gt;https://doi.org/10.7910/DVN/LM4OWF&lt;/url&gt;&lt;/related-urls&gt;&lt;/urls&gt;&lt;custom1&gt;Data&lt;/custom1&gt;&lt;electronic-resource-num&gt;doi:10.7910/DVN/LM4OWF&lt;/electronic-resource-num&gt;&lt;/record&gt;&lt;/Cite&gt;&lt;/EndNote&gt;</w:instrText>
            </w:r>
            <w:r w:rsidRPr="002A514B">
              <w:rPr>
                <w:sz w:val="20"/>
                <w:szCs w:val="20"/>
              </w:rPr>
              <w:fldChar w:fldCharType="separate"/>
            </w:r>
            <w:r w:rsidRPr="002A514B">
              <w:rPr>
                <w:noProof/>
                <w:sz w:val="20"/>
                <w:szCs w:val="20"/>
              </w:rPr>
              <w:t>(Solt, 2016, 2019)</w:t>
            </w:r>
            <w:r w:rsidRPr="002A514B">
              <w:rPr>
                <w:sz w:val="20"/>
                <w:szCs w:val="20"/>
              </w:rPr>
              <w:fldChar w:fldCharType="end"/>
            </w:r>
          </w:p>
          <w:p w14:paraId="04735FE4" w14:textId="35565B55" w:rsidR="000A314B" w:rsidRPr="002A514B" w:rsidRDefault="000A314B" w:rsidP="00BE0F79">
            <w:pPr>
              <w:pStyle w:val="ListParagraph"/>
              <w:spacing w:before="120"/>
              <w:ind w:left="0"/>
              <w:jc w:val="both"/>
              <w:rPr>
                <w:sz w:val="20"/>
                <w:szCs w:val="20"/>
              </w:rPr>
            </w:pPr>
            <w:r w:rsidRPr="002A514B">
              <w:rPr>
                <w:sz w:val="20"/>
                <w:szCs w:val="20"/>
              </w:rPr>
              <w:t xml:space="preserve">b. Source: World Inequality Database </w:t>
            </w:r>
            <w:r w:rsidRPr="002A514B">
              <w:rPr>
                <w:sz w:val="20"/>
                <w:szCs w:val="20"/>
              </w:rPr>
              <w:fldChar w:fldCharType="begin"/>
            </w:r>
            <w:r w:rsidRPr="002A514B">
              <w:rPr>
                <w:sz w:val="20"/>
                <w:szCs w:val="20"/>
              </w:rPr>
              <w:instrText xml:space="preserve"> ADDIN EN.CITE &lt;EndNote&gt;&lt;Cite&gt;&lt;Author&gt;WID.world&lt;/Author&gt;&lt;Year&gt;2024&lt;/Year&gt;&lt;RecNum&gt;550&lt;/RecNum&gt;&lt;DisplayText&gt;(WID.world, 2024)&lt;/DisplayText&gt;&lt;record&gt;&lt;rec-number&gt;550&lt;/rec-number&gt;&lt;foreign-keys&gt;&lt;key app="EN" db-id="rrezazf2nx9ex2ee0zo55t532f0tw90t2rf0" timestamp="1692211440" guid="ca651574-2b3e-4888-8b30-394bdc11fd36"&gt;550&lt;/key&gt;&lt;/foreign-keys&gt;&lt;ref-type name="Online Database"&gt;45&lt;/ref-type&gt;&lt;contributors&gt;&lt;authors&gt;&lt;author&gt;WID.world&lt;/author&gt;&lt;/authors&gt;&lt;/contributors&gt;&lt;titles&gt;&lt;title&gt;World Inequality Database&lt;/title&gt;&lt;/titles&gt;&lt;dates&gt;&lt;year&gt;2024&lt;/year&gt;&lt;pub-dates&gt;&lt;date&gt;04 August 2024&lt;/date&gt;&lt;/pub-dates&gt;&lt;/dates&gt;&lt;publisher&gt;The World Inequality Lab&lt;/publisher&gt;&lt;urls&gt;&lt;related-urls&gt;&lt;url&gt;https://wid.world/data/&lt;/url&gt;&lt;/related-urls&gt;&lt;/urls&gt;&lt;/record&gt;&lt;/Cite&gt;&lt;/EndNote&gt;</w:instrText>
            </w:r>
            <w:r w:rsidRPr="002A514B">
              <w:rPr>
                <w:sz w:val="20"/>
                <w:szCs w:val="20"/>
              </w:rPr>
              <w:fldChar w:fldCharType="separate"/>
            </w:r>
            <w:r w:rsidRPr="002A514B">
              <w:rPr>
                <w:noProof/>
                <w:sz w:val="20"/>
                <w:szCs w:val="20"/>
              </w:rPr>
              <w:t>(WID.world, 2024)</w:t>
            </w:r>
            <w:r w:rsidRPr="002A514B">
              <w:rPr>
                <w:sz w:val="20"/>
                <w:szCs w:val="20"/>
              </w:rPr>
              <w:fldChar w:fldCharType="end"/>
            </w:r>
            <w:r w:rsidRPr="002A514B">
              <w:rPr>
                <w:sz w:val="20"/>
                <w:szCs w:val="20"/>
              </w:rPr>
              <w:t>.</w:t>
            </w:r>
          </w:p>
          <w:p w14:paraId="598A7443" w14:textId="0B63FCF0" w:rsidR="000A314B" w:rsidRPr="002A514B" w:rsidRDefault="000A314B" w:rsidP="00BE0F79">
            <w:pPr>
              <w:pStyle w:val="ListParagraph"/>
              <w:spacing w:before="120"/>
              <w:ind w:left="0"/>
              <w:jc w:val="both"/>
              <w:rPr>
                <w:sz w:val="20"/>
                <w:szCs w:val="20"/>
              </w:rPr>
            </w:pPr>
            <w:r w:rsidRPr="002A514B">
              <w:rPr>
                <w:sz w:val="20"/>
                <w:szCs w:val="20"/>
              </w:rPr>
              <w:t xml:space="preserve">c. Source: The Integrated Values Survey, 1981-2021 </w:t>
            </w:r>
            <w:r w:rsidRPr="002A514B">
              <w:rPr>
                <w:sz w:val="20"/>
                <w:szCs w:val="20"/>
              </w:rPr>
              <w:fldChar w:fldCharType="begin"/>
            </w:r>
            <w:r w:rsidRPr="002A514B">
              <w:rPr>
                <w:sz w:val="20"/>
                <w:szCs w:val="20"/>
              </w:rPr>
              <w:instrText xml:space="preserve"> ADDIN EN.CITE &lt;EndNote&gt;&lt;Cite&gt;&lt;Author&gt;Inglehart&lt;/Author&gt;&lt;Year&gt;2020&lt;/Year&gt;&lt;RecNum&gt;1372&lt;/RecNum&gt;&lt;DisplayText&gt;(Inglehart et al., 2020)&lt;/DisplayText&gt;&lt;record&gt;&lt;rec-number&gt;1372&lt;/rec-number&gt;&lt;foreign-keys&gt;&lt;key app="EN" db-id="rrezazf2nx9ex2ee0zo55t532f0tw90t2rf0" timestamp="1692213271" guid="915fdc4c-ef71-4da2-8213-7a08686e32a4"&gt;1372&lt;/key&gt;&lt;/foreign-keys&gt;&lt;ref-type name="Dataset"&gt;59&lt;/ref-type&gt;&lt;contributors&gt;&lt;authors&gt;&lt;author&gt;Inglehart, R.&lt;/author&gt;&lt;author&gt;Haerpfer, C.&lt;/author&gt;&lt;author&gt;Moreno, A.&lt;/author&gt;&lt;author&gt;Welzel, C.&lt;/author&gt;&lt;author&gt;Kizilova, K.&lt;/author&gt;&lt;author&gt;Diez-Medrano J.&lt;/author&gt;&lt;author&gt;Lagos, M.&lt;/author&gt;&lt;author&gt;Norris, P.&lt;/author&gt;&lt;author&gt;Ponarin, E.&lt;/author&gt;&lt;author&gt;Puranen, B. et al. (eds.)&lt;/author&gt;&lt;/authors&gt;&lt;secondary-authors&gt;&lt;author&gt;JD Systems Institute &amp;amp; WVSA Secretariat&lt;/author&gt;&lt;/secondary-authors&gt;&lt;/contributors&gt;&lt;titles&gt;&lt;title&gt;Integrated Values Surveys (IVS) 1981-2021&lt;/title&gt;&lt;tertiary-title&gt;World Values Survey&lt;/tertiary-title&gt;&lt;/titles&gt;&lt;edition&gt;Version 2.0.0&lt;/edition&gt;&lt;dates&gt;&lt;year&gt;2020&lt;/year&gt;&lt;/dates&gt;&lt;pub-location&gt;Madrid, Spain &amp;amp; Vienna, Austria&lt;/pub-location&gt;&lt;urls&gt;&lt;related-urls&gt;&lt;url&gt;DOI: 10.14281/18241.15&lt;/url&gt;&lt;/related-urls&gt;&lt;/urls&gt;&lt;custom1&gt;Data&lt;/custom1&gt;&lt;electronic-resource-num&gt;10.14281/18241.15&lt;/electronic-resource-num&gt;&lt;/record&gt;&lt;/Cite&gt;&lt;/EndNote&gt;</w:instrText>
            </w:r>
            <w:r w:rsidRPr="002A514B">
              <w:rPr>
                <w:sz w:val="20"/>
                <w:szCs w:val="20"/>
              </w:rPr>
              <w:fldChar w:fldCharType="separate"/>
            </w:r>
            <w:r w:rsidRPr="002A514B">
              <w:rPr>
                <w:noProof/>
                <w:sz w:val="20"/>
                <w:szCs w:val="20"/>
              </w:rPr>
              <w:t>(Inglehart et al., 2020)</w:t>
            </w:r>
            <w:r w:rsidRPr="002A514B">
              <w:rPr>
                <w:sz w:val="20"/>
                <w:szCs w:val="20"/>
              </w:rPr>
              <w:fldChar w:fldCharType="end"/>
            </w:r>
            <w:r w:rsidRPr="002A514B">
              <w:rPr>
                <w:sz w:val="20"/>
                <w:szCs w:val="20"/>
              </w:rPr>
              <w:t xml:space="preserve"> </w:t>
            </w:r>
          </w:p>
          <w:p w14:paraId="2F9B0ABA" w14:textId="7D5D5540" w:rsidR="000A314B" w:rsidRPr="002A514B" w:rsidRDefault="000A314B" w:rsidP="000A314B">
            <w:pPr>
              <w:pStyle w:val="ListParagraph"/>
              <w:spacing w:before="120"/>
              <w:ind w:left="0" w:hanging="357"/>
              <w:jc w:val="both"/>
              <w:rPr>
                <w:sz w:val="20"/>
                <w:szCs w:val="20"/>
              </w:rPr>
            </w:pPr>
            <w:r w:rsidRPr="002A514B">
              <w:rPr>
                <w:sz w:val="20"/>
                <w:szCs w:val="20"/>
              </w:rPr>
              <w:t xml:space="preserve">d. Source: Fraser institute </w:t>
            </w:r>
            <w:r w:rsidRPr="002A514B">
              <w:rPr>
                <w:sz w:val="20"/>
                <w:szCs w:val="20"/>
              </w:rPr>
              <w:fldChar w:fldCharType="begin"/>
            </w:r>
            <w:r w:rsidRPr="002A514B">
              <w:rPr>
                <w:sz w:val="20"/>
                <w:szCs w:val="20"/>
              </w:rPr>
              <w:instrText xml:space="preserve"> ADDIN EN.CITE &lt;EndNote&gt;&lt;Cite&gt;&lt;Author&gt;Gwartney&lt;/Author&gt;&lt;Year&gt;2022&lt;/Year&gt;&lt;RecNum&gt;1207&lt;/RecNum&gt;&lt;DisplayText&gt;(Gwartney, Lawson, Hall, &amp;amp; Murphy, 2022)&lt;/DisplayText&gt;&lt;record&gt;&lt;rec-number&gt;1207&lt;/rec-number&gt;&lt;foreign-keys&gt;&lt;key app="EN" db-id="rrezazf2nx9ex2ee0zo55t532f0tw90t2rf0" timestamp="1692212720" guid="61d87606-b48b-41d2-8b17-ecd763e34ebb"&gt;1207&lt;/key&gt;&lt;/foreign-keys&gt;&lt;ref-type name="Report"&gt;27&lt;/ref-type&gt;&lt;contributors&gt;&lt;authors&gt;&lt;author&gt;Gwartney, James&lt;/author&gt;&lt;author&gt;Lawson, Robert&lt;/author&gt;&lt;author&gt;Hall, Joshua&lt;/author&gt;&lt;author&gt;Murphy, Ryan&lt;/author&gt;&lt;/authors&gt;&lt;/contributors&gt;&lt;titles&gt;&lt;title&gt;Economic Freedom of the World: 2022 Annual Report&lt;/title&gt;&lt;/titles&gt;&lt;dates&gt;&lt;year&gt;2022&lt;/year&gt;&lt;/dates&gt;&lt;pub-location&gt;Fraser Institute&lt;/pub-location&gt;&lt;urls&gt;&lt;related-urls&gt;&lt;url&gt;https://www.fraserinstitute.org/studies/economic-freedom&lt;/url&gt;&lt;/related-urls&gt;&lt;/urls&gt;&lt;custom1&gt;Econ. Freedom&lt;/custom1&gt;&lt;research-notes&gt;p.6: &amp;quot;Furthermore, there is reason to question whether the areas (and components) are independent or work together like the wheels, motor, transmission, driveshaft, and frame of a car. Just as these interconnected parts provide for the mobility of an automobile, it may be the combination of interrelated factors that brings about economic freedom. Which is more important for the mobility of an automobile: the motor, wheels, or transmission? The question cannot be easily answered because the parts work together. If any of these key parts break down, the car is immobile. Institutional quality may be much the same. If any of the key parts are absent, the overall effectiveness is undermined.&amp;quot;&lt;/research-notes&gt;&lt;/record&gt;&lt;/Cite&gt;&lt;/EndNote&gt;</w:instrText>
            </w:r>
            <w:r w:rsidRPr="002A514B">
              <w:rPr>
                <w:sz w:val="20"/>
                <w:szCs w:val="20"/>
              </w:rPr>
              <w:fldChar w:fldCharType="separate"/>
            </w:r>
            <w:r w:rsidRPr="002A514B">
              <w:rPr>
                <w:noProof/>
                <w:sz w:val="20"/>
                <w:szCs w:val="20"/>
              </w:rPr>
              <w:t>(Gwartney, Lawson, Hall, &amp; Murphy, 2022)</w:t>
            </w:r>
            <w:r w:rsidRPr="002A514B">
              <w:rPr>
                <w:sz w:val="20"/>
                <w:szCs w:val="20"/>
              </w:rPr>
              <w:fldChar w:fldCharType="end"/>
            </w:r>
          </w:p>
          <w:p w14:paraId="69F759FC" w14:textId="0F18FCA1" w:rsidR="000A314B" w:rsidRPr="002A514B" w:rsidRDefault="000A314B" w:rsidP="00BE0F79">
            <w:pPr>
              <w:pStyle w:val="ListParagraph"/>
              <w:spacing w:before="120"/>
              <w:ind w:left="0"/>
              <w:jc w:val="both"/>
              <w:rPr>
                <w:sz w:val="20"/>
              </w:rPr>
            </w:pPr>
            <w:r w:rsidRPr="002A514B">
              <w:rPr>
                <w:sz w:val="20"/>
              </w:rPr>
              <w:t>e. Sour</w:t>
            </w:r>
            <w:r w:rsidRPr="002A514B">
              <w:rPr>
                <w:sz w:val="20"/>
                <w:szCs w:val="20"/>
              </w:rPr>
              <w:t xml:space="preserve">ce: Penn World Table </w:t>
            </w:r>
            <w:r w:rsidRPr="002A514B">
              <w:rPr>
                <w:sz w:val="20"/>
                <w:szCs w:val="20"/>
              </w:rPr>
              <w:fldChar w:fldCharType="begin"/>
            </w:r>
            <w:r w:rsidRPr="002A514B">
              <w:rPr>
                <w:sz w:val="20"/>
                <w:szCs w:val="20"/>
              </w:rPr>
              <w:instrText xml:space="preserve"> ADDIN EN.CITE &lt;EndNote&gt;&lt;Cite&gt;&lt;Author&gt;Inklaar&lt;/Author&gt;&lt;Year&gt;2023&lt;/Year&gt;&lt;RecNum&gt;1206&lt;/RecNum&gt;&lt;DisplayText&gt;(Inklaar, Marapin, &amp;amp; Woltjer, 2023)&lt;/DisplayText&gt;&lt;record&gt;&lt;rec-number&gt;1206&lt;/rec-number&gt;&lt;foreign-keys&gt;&lt;key app="EN" db-id="rrezazf2nx9ex2ee0zo55t532f0tw90t2rf0" timestamp="1692212717" guid="9f101105-06fa-4508-9f25-327d374e7a61"&gt;1206&lt;/key&gt;&lt;/foreign-keys&gt;&lt;ref-type name="Online Database"&gt;45&lt;/ref-type&gt;&lt;contributors&gt;&lt;authors&gt;&lt;author&gt;Inklaar, Robert&lt;/author&gt;&lt;author&gt;Marapin, Ryan&lt;/author&gt;&lt;author&gt;Woltjer, Pieter&lt;/author&gt;&lt;/authors&gt;&lt;/contributors&gt;&lt;titles&gt;&lt;title&gt;Penn World Table (Version 10.01)&lt;/title&gt;&lt;/titles&gt;&lt;dates&gt;&lt;year&gt;2023&lt;/year&gt;&lt;pub-dates&gt;&lt;date&gt;20 April 2024&lt;/date&gt;&lt;/pub-dates&gt;&lt;/dates&gt;&lt;publisher&gt;University of Groningen&lt;/publisher&gt;&lt;urls&gt;&lt;/urls&gt;&lt;custom1&gt;Data, Macroeconomics&lt;/custom1&gt;&lt;custom2&gt;*Penn World Table&lt;/custom2&gt;&lt;remote-database-provider&gt;Groningen Growth and Development Centre, Faculty of Economics and Business&lt;/remote-database-provider&gt;&lt;research-notes&gt;Available for download at https://www.rug.nl/ggdc/productivity/pwt/&lt;/research-notes&gt;&lt;access-date&gt;2022/07/28&lt;/access-date&gt;&lt;/record&gt;&lt;/Cite&gt;&lt;/EndNote&gt;</w:instrText>
            </w:r>
            <w:r w:rsidRPr="002A514B">
              <w:rPr>
                <w:sz w:val="20"/>
                <w:szCs w:val="20"/>
              </w:rPr>
              <w:fldChar w:fldCharType="separate"/>
            </w:r>
            <w:r w:rsidRPr="002A514B">
              <w:rPr>
                <w:noProof/>
                <w:sz w:val="20"/>
                <w:szCs w:val="20"/>
              </w:rPr>
              <w:t>(Inklaar, Marapin, &amp; Woltjer, 2023)</w:t>
            </w:r>
            <w:r w:rsidRPr="002A514B">
              <w:rPr>
                <w:sz w:val="20"/>
                <w:szCs w:val="20"/>
              </w:rPr>
              <w:fldChar w:fldCharType="end"/>
            </w:r>
          </w:p>
        </w:tc>
      </w:tr>
    </w:tbl>
    <w:p w14:paraId="07921AA4" w14:textId="4C0F1AC8" w:rsidR="00AE395C" w:rsidRPr="002A514B" w:rsidRDefault="00AE395C" w:rsidP="00587A36">
      <w:pPr>
        <w:pStyle w:val="NoSpacing"/>
      </w:pPr>
      <w:r w:rsidRPr="002A514B">
        <w:rPr>
          <w:lang w:val="en-US"/>
        </w:rPr>
        <w:lastRenderedPageBreak/>
        <w:t>Bivariate correlations - Predist</w:t>
      </w:r>
      <w:r w:rsidR="00232317" w:rsidRPr="002A514B">
        <w:rPr>
          <w:lang w:val="en-US"/>
        </w:rPr>
        <w:t>ribution</w:t>
      </w:r>
      <w:r w:rsidRPr="002A514B">
        <w:rPr>
          <w:lang w:val="en-US"/>
        </w:rPr>
        <w:t xml:space="preserve"> model (household level)</w:t>
      </w:r>
      <w:bookmarkEnd w:id="0"/>
      <w:bookmarkEnd w:id="1"/>
      <w:bookmarkEnd w:id="2"/>
    </w:p>
    <w:p w14:paraId="0B14B9A8" w14:textId="77777777" w:rsidR="00AE395C" w:rsidRPr="002A514B" w:rsidRDefault="009F1260" w:rsidP="00AE395C">
      <w:r w:rsidRPr="002A514B">
        <w:rPr>
          <w:noProof/>
          <w:lang w:eastAsia="en-GB"/>
        </w:rPr>
        <w:drawing>
          <wp:inline distT="0" distB="0" distL="0" distR="0" wp14:anchorId="247F223B" wp14:editId="3C5103EE">
            <wp:extent cx="8478634" cy="5591955"/>
            <wp:effectExtent l="0" t="4445"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495734" cy="5603233"/>
                    </a:xfrm>
                    <a:prstGeom prst="rect">
                      <a:avLst/>
                    </a:prstGeom>
                    <a:noFill/>
                    <a:ln>
                      <a:noFill/>
                    </a:ln>
                  </pic:spPr>
                </pic:pic>
              </a:graphicData>
            </a:graphic>
          </wp:inline>
        </w:drawing>
      </w:r>
    </w:p>
    <w:p w14:paraId="35231EB9" w14:textId="77777777" w:rsidR="00AE395C" w:rsidRPr="002A514B" w:rsidRDefault="00AE395C" w:rsidP="00AE395C">
      <w:pPr>
        <w:rPr>
          <w:b/>
          <w:lang w:val="en-US"/>
        </w:rPr>
      </w:pPr>
      <w:r w:rsidRPr="002A514B">
        <w:rPr>
          <w:b/>
          <w:lang w:val="en-US"/>
        </w:rPr>
        <w:lastRenderedPageBreak/>
        <w:t>Notes:</w:t>
      </w:r>
    </w:p>
    <w:p w14:paraId="1F5E7DFE" w14:textId="77777777" w:rsidR="00AE395C" w:rsidRPr="002A514B" w:rsidRDefault="00B01CBB" w:rsidP="009F1260">
      <w:pPr>
        <w:pStyle w:val="ListParagraph"/>
      </w:pPr>
      <w:r w:rsidRPr="002A514B">
        <w:t xml:space="preserve">Benchmarks for establishing the level of correlation between variables are given by </w:t>
      </w:r>
      <w:r w:rsidRPr="002A514B">
        <w:fldChar w:fldCharType="begin"/>
      </w:r>
      <w:r w:rsidRPr="002A514B">
        <w:instrText xml:space="preserve"> ADDIN EN.CITE &lt;EndNote&gt;&lt;Cite AuthorYear="1"&gt;&lt;Author&gt;Stockemer&lt;/Author&gt;&lt;Year&gt;2019&lt;/Year&gt;&lt;RecNum&gt;1251&lt;/RecNum&gt;&lt;Pages&gt;143&lt;/Pages&gt;&lt;DisplayText&gt;Stockemer (2019, p. 143)&lt;/DisplayText&gt;&lt;record&gt;&lt;rec-number&gt;1251&lt;/rec-number&gt;&lt;foreign-keys&gt;&lt;key app="EN" db-id="rrezazf2nx9ex2ee0zo55t532f0tw90t2rf0" timestamp="1692212849" guid="181fc65b-af19-40b8-be6b-8786c892fc33"&gt;1251&lt;/key&gt;&lt;/foreign-keys&gt;&lt;ref-type name="Book"&gt;6&lt;/ref-type&gt;&lt;contributors&gt;&lt;authors&gt;&lt;author&gt;Stockemer, Daniel&lt;/author&gt;&lt;/authors&gt;&lt;/contributors&gt;&lt;titles&gt;&lt;title&gt;Quantitative Methods for the Social Sciences: A Practical Introduction with Examples in SPSS and Stata&lt;/title&gt;&lt;/titles&gt;&lt;dates&gt;&lt;year&gt;2019&lt;/year&gt;&lt;/dates&gt;&lt;pub-location&gt;Cham&lt;/pub-location&gt;&lt;publisher&gt;Springer International Publishing&lt;/publisher&gt;&lt;isbn&gt;978-3-319-99117-7&amp;#xD;978-3-319-99118-4 (eBook)&lt;/isbn&gt;&lt;urls&gt;&lt;/urls&gt;&lt;custom1&gt;Methodology, Stats&lt;/custom1&gt;&lt;custom2&gt;*SPSS&lt;/custom2&gt;&lt;electronic-resource-num&gt;10.1007/978-3-319-99118-4&lt;/electronic-resource-num&gt;&lt;research-notes&gt;p. 107: Degrees of freedom definition.&amp;#xD;&amp;quot;The degrees of freedom are important for the determination of the significance level in the statistical calculation. For interpretation purposes, they are less important. In short, the df are the number of observations that are free to vary.&amp;quot;&lt;/research-notes&gt;&lt;/record&gt;&lt;/Cite&gt;&lt;/EndNote&gt;</w:instrText>
      </w:r>
      <w:r w:rsidRPr="002A514B">
        <w:fldChar w:fldCharType="separate"/>
      </w:r>
      <w:r w:rsidRPr="002A514B">
        <w:rPr>
          <w:noProof/>
        </w:rPr>
        <w:t>Stockemer (2019, p. 143)</w:t>
      </w:r>
      <w:r w:rsidRPr="002A514B">
        <w:fldChar w:fldCharType="end"/>
      </w:r>
      <w:r w:rsidRPr="002A514B">
        <w:t xml:space="preserve"> as follows : </w:t>
      </w:r>
      <w:r w:rsidRPr="002A514B">
        <w:rPr>
          <w:rFonts w:cstheme="minorHAnsi"/>
        </w:rPr>
        <w:t>±</w:t>
      </w:r>
      <w:r w:rsidRPr="002A514B">
        <w:t xml:space="preserve">0.3 &lt; </w:t>
      </w:r>
      <w:r w:rsidRPr="002A514B">
        <w:rPr>
          <w:i/>
          <w:iCs/>
        </w:rPr>
        <w:t>r</w:t>
      </w:r>
      <w:r w:rsidRPr="002A514B">
        <w:t xml:space="preserve"> &lt; </w:t>
      </w:r>
      <w:r w:rsidRPr="002A514B">
        <w:rPr>
          <w:rFonts w:cstheme="minorHAnsi"/>
        </w:rPr>
        <w:t>±</w:t>
      </w:r>
      <w:r w:rsidRPr="002A514B">
        <w:t xml:space="preserve">0.45 = weak correlation; </w:t>
      </w:r>
      <w:r w:rsidRPr="002A514B">
        <w:rPr>
          <w:rFonts w:cstheme="minorHAnsi"/>
        </w:rPr>
        <w:t>±</w:t>
      </w:r>
      <w:r w:rsidRPr="002A514B">
        <w:t xml:space="preserve">0.45 &lt; </w:t>
      </w:r>
      <w:r w:rsidRPr="002A514B">
        <w:rPr>
          <w:i/>
          <w:iCs/>
        </w:rPr>
        <w:t>r</w:t>
      </w:r>
      <w:r w:rsidRPr="002A514B">
        <w:t xml:space="preserve"> &lt; </w:t>
      </w:r>
      <w:r w:rsidRPr="002A514B">
        <w:rPr>
          <w:rFonts w:cstheme="minorHAnsi"/>
        </w:rPr>
        <w:t>±</w:t>
      </w:r>
      <w:r w:rsidRPr="002A514B">
        <w:t xml:space="preserve">0.6 = medium strong correlation; </w:t>
      </w:r>
      <w:r w:rsidRPr="002A514B">
        <w:rPr>
          <w:i/>
          <w:iCs/>
        </w:rPr>
        <w:t>r</w:t>
      </w:r>
      <w:r w:rsidRPr="002A514B">
        <w:t xml:space="preserve"> &lt; </w:t>
      </w:r>
      <w:r w:rsidRPr="002A514B">
        <w:rPr>
          <w:rFonts w:cstheme="minorHAnsi"/>
        </w:rPr>
        <w:t>±</w:t>
      </w:r>
      <w:r w:rsidRPr="002A514B">
        <w:t xml:space="preserve">0.6 = strong correlation. </w:t>
      </w:r>
      <w:r w:rsidR="00AE395C" w:rsidRPr="002A514B">
        <w:t>The independent variables of market income inequality (</w:t>
      </w:r>
      <m:oMath>
        <m:r>
          <w:rPr>
            <w:rFonts w:ascii="Cambria Math" w:hAnsi="Cambria Math"/>
          </w:rPr>
          <m:t>Gini</m:t>
        </m:r>
        <m:r>
          <m:rPr>
            <m:sty m:val="p"/>
          </m:rPr>
          <w:rPr>
            <w:rFonts w:ascii="Cambria Math" w:hAnsi="Cambria Math"/>
          </w:rPr>
          <m:t>_</m:t>
        </m:r>
        <m:r>
          <w:rPr>
            <w:rFonts w:ascii="Cambria Math" w:hAnsi="Cambria Math"/>
          </w:rPr>
          <m:t>mkt</m:t>
        </m:r>
      </m:oMath>
      <w:r w:rsidR="00AE395C" w:rsidRPr="002A514B">
        <w:t>) and relative redistribution (</w:t>
      </w:r>
      <m:oMath>
        <m:r>
          <w:rPr>
            <w:rFonts w:ascii="Cambria Math" w:hAnsi="Cambria Math"/>
          </w:rPr>
          <m:t>rel</m:t>
        </m:r>
        <m:r>
          <m:rPr>
            <m:sty m:val="p"/>
          </m:rPr>
          <w:rPr>
            <w:rFonts w:ascii="Cambria Math" w:hAnsi="Cambria Math"/>
          </w:rPr>
          <m:t>_</m:t>
        </m:r>
        <m:r>
          <w:rPr>
            <w:rFonts w:ascii="Cambria Math" w:hAnsi="Cambria Math"/>
          </w:rPr>
          <m:t>red</m:t>
        </m:r>
      </m:oMath>
      <w:r w:rsidR="00AE395C" w:rsidRPr="002A514B">
        <w:t>) correlate strongly with the dependent variable which is the Gini coefficient of disposable income inequality (</w:t>
      </w:r>
      <m:oMath>
        <m:r>
          <w:rPr>
            <w:rFonts w:ascii="Cambria Math" w:hAnsi="Cambria Math"/>
          </w:rPr>
          <m:t>Gini</m:t>
        </m:r>
        <m:r>
          <m:rPr>
            <m:sty m:val="p"/>
          </m:rPr>
          <w:rPr>
            <w:rFonts w:ascii="Cambria Math" w:hAnsi="Cambria Math"/>
          </w:rPr>
          <m:t>_</m:t>
        </m:r>
        <m:r>
          <w:rPr>
            <w:rFonts w:ascii="Cambria Math" w:hAnsi="Cambria Math"/>
          </w:rPr>
          <m:t>disp</m:t>
        </m:r>
      </m:oMath>
      <w:r w:rsidR="00AE395C" w:rsidRPr="002A514B">
        <w:t>).</w:t>
      </w:r>
    </w:p>
    <w:p w14:paraId="07144A80" w14:textId="77777777" w:rsidR="00AE395C" w:rsidRPr="002A514B" w:rsidRDefault="00AE395C" w:rsidP="009F1260">
      <w:pPr>
        <w:pStyle w:val="ListParagraph"/>
      </w:pPr>
      <w:r w:rsidRPr="002A514B">
        <w:t xml:space="preserve">There is no statistically significant correlation for </w:t>
      </w:r>
      <m:oMath>
        <m:r>
          <w:rPr>
            <w:rFonts w:ascii="Cambria Math" w:hAnsi="Cambria Math"/>
          </w:rPr>
          <m:t>Gini</m:t>
        </m:r>
        <m:r>
          <m:rPr>
            <m:sty m:val="p"/>
          </m:rPr>
          <w:rPr>
            <w:rFonts w:ascii="Cambria Math" w:hAnsi="Cambria Math"/>
          </w:rPr>
          <m:t>_</m:t>
        </m:r>
        <m:r>
          <w:rPr>
            <w:rFonts w:ascii="Cambria Math" w:hAnsi="Cambria Math"/>
          </w:rPr>
          <m:t>mkt</m:t>
        </m:r>
      </m:oMath>
      <w:r w:rsidRPr="002A514B">
        <w:t xml:space="preserve"> and </w:t>
      </w:r>
      <m:oMath>
        <m:r>
          <w:rPr>
            <w:rFonts w:ascii="Cambria Math" w:hAnsi="Cambria Math"/>
          </w:rPr>
          <m:t>rel</m:t>
        </m:r>
        <m:r>
          <m:rPr>
            <m:sty m:val="p"/>
          </m:rPr>
          <w:rPr>
            <w:rFonts w:ascii="Cambria Math" w:hAnsi="Cambria Math"/>
          </w:rPr>
          <m:t>_</m:t>
        </m:r>
        <m:r>
          <w:rPr>
            <w:rFonts w:ascii="Cambria Math" w:hAnsi="Cambria Math"/>
          </w:rPr>
          <m:t>red</m:t>
        </m:r>
      </m:oMath>
      <w:r w:rsidRPr="002A514B">
        <w:t>.</w:t>
      </w:r>
    </w:p>
    <w:p w14:paraId="307AC015" w14:textId="1285AF28" w:rsidR="00AE395C" w:rsidRPr="002A514B" w:rsidRDefault="00AE395C" w:rsidP="009F1260">
      <w:pPr>
        <w:pStyle w:val="ListParagraph"/>
      </w:pPr>
      <w:r w:rsidRPr="002A514B">
        <w:t>Inflation (</w:t>
      </w:r>
      <m:oMath>
        <m:r>
          <w:rPr>
            <w:rFonts w:ascii="Cambria Math" w:hAnsi="Cambria Math"/>
          </w:rPr>
          <m:t>pl</m:t>
        </m:r>
        <m:r>
          <m:rPr>
            <m:sty m:val="p"/>
          </m:rPr>
          <w:rPr>
            <w:rFonts w:ascii="Cambria Math" w:hAnsi="Cambria Math"/>
          </w:rPr>
          <m:t>_</m:t>
        </m:r>
        <m:r>
          <w:rPr>
            <w:rFonts w:ascii="Cambria Math" w:hAnsi="Cambria Math"/>
          </w:rPr>
          <m:t>c</m:t>
        </m:r>
      </m:oMath>
      <w:r w:rsidRPr="002A514B">
        <w:t>) is considered as a control variable but is found to be covariant with market income inequality. On the other hand, Government size (</w:t>
      </w:r>
      <m:oMath>
        <m:r>
          <w:rPr>
            <w:rFonts w:ascii="Cambria Math" w:hAnsi="Cambria Math"/>
          </w:rPr>
          <m:t>EFI</m:t>
        </m:r>
        <m:r>
          <m:rPr>
            <m:sty m:val="p"/>
          </m:rPr>
          <w:rPr>
            <w:rFonts w:ascii="Cambria Math" w:hAnsi="Cambria Math"/>
          </w:rPr>
          <m:t>_</m:t>
        </m:r>
        <m:r>
          <w:rPr>
            <w:rFonts w:ascii="Cambria Math" w:hAnsi="Cambria Math"/>
          </w:rPr>
          <m:t>a</m:t>
        </m:r>
      </m:oMath>
      <w:r w:rsidRPr="002A514B">
        <w:t xml:space="preserve">) is covariant with disposable income inequality. Additionally, </w:t>
      </w:r>
      <m:oMath>
        <m:r>
          <w:rPr>
            <w:rFonts w:ascii="Cambria Math" w:hAnsi="Cambria Math"/>
          </w:rPr>
          <m:t>EFI</m:t>
        </m:r>
        <m:r>
          <m:rPr>
            <m:sty m:val="p"/>
          </m:rPr>
          <w:rPr>
            <w:rFonts w:ascii="Cambria Math" w:hAnsi="Cambria Math"/>
          </w:rPr>
          <m:t>_</m:t>
        </m:r>
        <m:r>
          <w:rPr>
            <w:rFonts w:ascii="Cambria Math" w:hAnsi="Cambria Math"/>
          </w:rPr>
          <m:t>a</m:t>
        </m:r>
      </m:oMath>
      <w:r w:rsidRPr="002A514B">
        <w:t xml:space="preserve"> measures a dimension of policy that is clearly different to that of </w:t>
      </w:r>
      <m:oMath>
        <m:r>
          <w:rPr>
            <w:rFonts w:ascii="Cambria Math" w:hAnsi="Cambria Math"/>
          </w:rPr>
          <m:t>EFI</m:t>
        </m:r>
      </m:oMath>
      <w:r w:rsidRPr="002A514B">
        <w:t xml:space="preserve">, </w:t>
      </w:r>
      <m:oMath>
        <m:r>
          <w:rPr>
            <w:rFonts w:ascii="Cambria Math" w:hAnsi="Cambria Math"/>
          </w:rPr>
          <m:t>EFI</m:t>
        </m:r>
        <m:r>
          <m:rPr>
            <m:sty m:val="p"/>
          </m:rPr>
          <w:rPr>
            <w:rFonts w:ascii="Cambria Math" w:hAnsi="Cambria Math"/>
          </w:rPr>
          <m:t>_</m:t>
        </m:r>
        <m:r>
          <w:rPr>
            <w:rFonts w:ascii="Cambria Math" w:hAnsi="Cambria Math"/>
          </w:rPr>
          <m:t>b</m:t>
        </m:r>
      </m:oMath>
      <w:r w:rsidRPr="002A514B">
        <w:t xml:space="preserve">, </w:t>
      </w:r>
      <m:oMath>
        <m:r>
          <w:rPr>
            <w:rFonts w:ascii="Cambria Math" w:hAnsi="Cambria Math"/>
          </w:rPr>
          <m:t>EFI</m:t>
        </m:r>
        <m:r>
          <m:rPr>
            <m:sty m:val="p"/>
          </m:rPr>
          <w:rPr>
            <w:rFonts w:ascii="Cambria Math" w:hAnsi="Cambria Math"/>
          </w:rPr>
          <m:t>_</m:t>
        </m:r>
        <m:r>
          <w:rPr>
            <w:rFonts w:ascii="Cambria Math" w:hAnsi="Cambria Math"/>
          </w:rPr>
          <m:t>c</m:t>
        </m:r>
      </m:oMath>
      <w:r w:rsidRPr="002A514B">
        <w:t xml:space="preserve">, </w:t>
      </w:r>
      <m:oMath>
        <m:r>
          <w:rPr>
            <w:rFonts w:ascii="Cambria Math" w:hAnsi="Cambria Math"/>
          </w:rPr>
          <m:t>EFI</m:t>
        </m:r>
        <m:r>
          <m:rPr>
            <m:sty m:val="p"/>
          </m:rPr>
          <w:rPr>
            <w:rFonts w:ascii="Cambria Math" w:hAnsi="Cambria Math"/>
          </w:rPr>
          <m:t>_</m:t>
        </m:r>
        <m:r>
          <w:rPr>
            <w:rFonts w:ascii="Cambria Math" w:hAnsi="Cambria Math"/>
          </w:rPr>
          <m:t>d</m:t>
        </m:r>
      </m:oMath>
      <w:r w:rsidRPr="002A514B">
        <w:t xml:space="preserve"> and </w:t>
      </w:r>
      <m:oMath>
        <m:r>
          <w:rPr>
            <w:rFonts w:ascii="Cambria Math" w:hAnsi="Cambria Math"/>
          </w:rPr>
          <m:t>EFI</m:t>
        </m:r>
        <m:r>
          <m:rPr>
            <m:sty m:val="p"/>
          </m:rPr>
          <w:rPr>
            <w:rFonts w:ascii="Cambria Math" w:hAnsi="Cambria Math"/>
          </w:rPr>
          <m:t>_</m:t>
        </m:r>
        <m:r>
          <w:rPr>
            <w:rFonts w:ascii="Cambria Math" w:hAnsi="Cambria Math"/>
          </w:rPr>
          <m:t>e</m:t>
        </m:r>
      </m:oMath>
      <w:r w:rsidRPr="002A514B">
        <w:t xml:space="preserve"> as there is no correlation found with either of these variables. </w:t>
      </w:r>
      <m:oMath>
        <m:r>
          <w:rPr>
            <w:rFonts w:ascii="Cambria Math" w:hAnsi="Cambria Math"/>
          </w:rPr>
          <m:t>EFI</m:t>
        </m:r>
        <m:r>
          <m:rPr>
            <m:sty m:val="p"/>
          </m:rPr>
          <w:rPr>
            <w:rFonts w:ascii="Cambria Math" w:hAnsi="Cambria Math"/>
          </w:rPr>
          <m:t>_</m:t>
        </m:r>
        <m:r>
          <w:rPr>
            <w:rFonts w:ascii="Cambria Math" w:hAnsi="Cambria Math"/>
          </w:rPr>
          <m:t>a</m:t>
        </m:r>
      </m:oMath>
      <w:r w:rsidRPr="002A514B">
        <w:t xml:space="preserve"> is therefore used as a control variable in both the Predist</w:t>
      </w:r>
      <w:r w:rsidR="00BA26A0" w:rsidRPr="002A514B">
        <w:t>ribution</w:t>
      </w:r>
      <w:r w:rsidRPr="002A514B">
        <w:t xml:space="preserve"> model and the Equity </w:t>
      </w:r>
      <w:r w:rsidR="00BA26A0" w:rsidRPr="002A514B">
        <w:t xml:space="preserve">Beliefs </w:t>
      </w:r>
      <w:r w:rsidRPr="002A514B">
        <w:t>model regressions and</w:t>
      </w:r>
      <m:oMath>
        <m:r>
          <w:rPr>
            <w:rFonts w:ascii="Cambria Math" w:hAnsi="Cambria Math"/>
          </w:rPr>
          <m:t xml:space="preserve"> pl</m:t>
        </m:r>
        <m:r>
          <m:rPr>
            <m:sty m:val="p"/>
          </m:rPr>
          <w:rPr>
            <w:rFonts w:ascii="Cambria Math" w:hAnsi="Cambria Math"/>
          </w:rPr>
          <m:t>_</m:t>
        </m:r>
        <m:r>
          <w:rPr>
            <w:rFonts w:ascii="Cambria Math" w:hAnsi="Cambria Math"/>
          </w:rPr>
          <m:t>c</m:t>
        </m:r>
      </m:oMath>
      <w:r w:rsidRPr="002A514B">
        <w:rPr>
          <w:rFonts w:eastAsiaTheme="minorEastAsia"/>
          <w:iCs/>
        </w:rPr>
        <w:t xml:space="preserve"> is not used.</w:t>
      </w:r>
    </w:p>
    <w:p w14:paraId="7027A637" w14:textId="77777777" w:rsidR="00AE395C" w:rsidRPr="002A514B" w:rsidRDefault="00B01CBB" w:rsidP="009F1260">
      <w:pPr>
        <w:pStyle w:val="ListParagraph"/>
      </w:pPr>
      <w:r w:rsidRPr="002A514B">
        <w:fldChar w:fldCharType="begin"/>
      </w:r>
      <w:r w:rsidRPr="002A514B">
        <w:instrText xml:space="preserve"> ADDIN EN.CITE &lt;EndNote&gt;&lt;Cite AuthorYear="1"&gt;&lt;Author&gt;Tabachnick&lt;/Author&gt;&lt;Year&gt;2013&lt;/Year&gt;&lt;RecNum&gt;1271&lt;/RecNum&gt;&lt;Pages&gt;90&lt;/Pages&gt;&lt;DisplayText&gt;Tabachnick and Fidell (2013, p. 90)&lt;/DisplayText&gt;&lt;record&gt;&lt;rec-number&gt;1271&lt;/rec-number&gt;&lt;foreign-keys&gt;&lt;key app="EN" db-id="rrezazf2nx9ex2ee0zo55t532f0tw90t2rf0" timestamp="1692213087" guid="6b22f24c-2ab4-4c1d-83da-d1cb53df9c8d"&gt;1271&lt;/key&gt;&lt;/foreign-keys&gt;&lt;ref-type name="Book"&gt;6&lt;/ref-type&gt;&lt;contributors&gt;&lt;authors&gt;&lt;author&gt;Tabachnick, Barbara G.&lt;/author&gt;&lt;author&gt;Fidell, Linda S.&lt;/author&gt;&lt;/authors&gt;&lt;/contributors&gt;&lt;titles&gt;&lt;title&gt;Using Multivariate Statistics&lt;/title&gt;&lt;/titles&gt;&lt;edition&gt;Sixth&lt;/edition&gt;&lt;dates&gt;&lt;year&gt;2013&lt;/year&gt;&lt;/dates&gt;&lt;publisher&gt;Pearson Education Inc.&lt;/publisher&gt;&lt;isbn&gt;0-205-89081-4&amp;#xD;978-0-205-89081-1&lt;/isbn&gt;&lt;urls&gt;&lt;/urls&gt;&lt;custom1&gt;Models &amp;amp; Metrics, Stats&lt;/custom1&gt;&lt;custom2&gt;*Hierarchical vs. non-hierarchical models *Nested models *Interaction effects&lt;/custom2&gt;&lt;/record&gt;&lt;/Cite&gt;&lt;/EndNote&gt;</w:instrText>
      </w:r>
      <w:r w:rsidRPr="002A514B">
        <w:fldChar w:fldCharType="separate"/>
      </w:r>
      <w:r w:rsidRPr="002A514B">
        <w:rPr>
          <w:noProof/>
        </w:rPr>
        <w:t>Tabachnick and Fidell (2013, p. 90)</w:t>
      </w:r>
      <w:r w:rsidRPr="002A514B">
        <w:fldChar w:fldCharType="end"/>
      </w:r>
      <w:r w:rsidRPr="002A514B">
        <w:t xml:space="preserve"> suggest a bivariate correlation value of 0.7 as the threshold for including correlated variables in the same regression. </w:t>
      </w:r>
      <w:r w:rsidR="00AE395C" w:rsidRPr="002A514B">
        <w:t xml:space="preserve">The covariance between </w:t>
      </w:r>
      <m:oMath>
        <m:r>
          <w:rPr>
            <w:rFonts w:ascii="Cambria Math" w:hAnsi="Cambria Math"/>
          </w:rPr>
          <m:t>rgdpnapc</m:t>
        </m:r>
      </m:oMath>
      <w:r w:rsidR="00AE395C" w:rsidRPr="002A514B">
        <w:t xml:space="preserve"> and </w:t>
      </w:r>
      <m:oMath>
        <m:r>
          <w:rPr>
            <w:rFonts w:ascii="Cambria Math" w:hAnsi="Cambria Math"/>
          </w:rPr>
          <m:t>EFI</m:t>
        </m:r>
      </m:oMath>
      <w:r w:rsidR="00AE395C" w:rsidRPr="002A514B">
        <w:t xml:space="preserve">, </w:t>
      </w:r>
      <m:oMath>
        <m:r>
          <w:rPr>
            <w:rFonts w:ascii="Cambria Math" w:hAnsi="Cambria Math"/>
          </w:rPr>
          <m:t>EFI</m:t>
        </m:r>
        <m:r>
          <m:rPr>
            <m:sty m:val="p"/>
          </m:rPr>
          <w:rPr>
            <w:rFonts w:ascii="Cambria Math" w:hAnsi="Cambria Math"/>
          </w:rPr>
          <m:t>_</m:t>
        </m:r>
        <m:r>
          <w:rPr>
            <w:rFonts w:ascii="Cambria Math" w:hAnsi="Cambria Math"/>
          </w:rPr>
          <m:t>b</m:t>
        </m:r>
        <m:r>
          <m:rPr>
            <m:sty m:val="p"/>
          </m:rPr>
          <w:rPr>
            <w:rFonts w:ascii="Cambria Math" w:hAnsi="Cambria Math"/>
          </w:rPr>
          <m:t xml:space="preserve"> </m:t>
        </m:r>
      </m:oMath>
      <w:r w:rsidR="00AE395C" w:rsidRPr="002A514B">
        <w:t xml:space="preserve">and </w:t>
      </w:r>
      <m:oMath>
        <m:r>
          <w:rPr>
            <w:rFonts w:ascii="Cambria Math" w:hAnsi="Cambria Math"/>
          </w:rPr>
          <m:t>EFI</m:t>
        </m:r>
        <m:r>
          <m:rPr>
            <m:sty m:val="p"/>
          </m:rPr>
          <w:rPr>
            <w:rFonts w:ascii="Cambria Math" w:hAnsi="Cambria Math"/>
          </w:rPr>
          <m:t>_</m:t>
        </m:r>
        <m:r>
          <w:rPr>
            <w:rFonts w:ascii="Cambria Math" w:hAnsi="Cambria Math"/>
          </w:rPr>
          <m:t>c</m:t>
        </m:r>
        <m:r>
          <m:rPr>
            <m:sty m:val="p"/>
          </m:rPr>
          <w:rPr>
            <w:rFonts w:ascii="Cambria Math" w:hAnsi="Cambria Math"/>
          </w:rPr>
          <m:t xml:space="preserve"> </m:t>
        </m:r>
      </m:oMath>
      <w:r w:rsidR="00AE395C" w:rsidRPr="002A514B">
        <w:t>is relevent only to the analysis of policy's interaction with t</w:t>
      </w:r>
      <w:r w:rsidR="00AE395C" w:rsidRPr="002A514B">
        <w:rPr>
          <w:vertAlign w:val="subscript"/>
        </w:rPr>
        <w:t>0</w:t>
      </w:r>
      <w:r w:rsidR="00AE395C" w:rsidRPr="002A514B">
        <w:t xml:space="preserve"> equity benchmarks. Covariance does not bias an estimate but the standard error increases. Consequently, the interactions of these policy variables with Equity Beliefs may not be statistically significant where </w:t>
      </w:r>
      <m:oMath>
        <m:r>
          <w:rPr>
            <w:rFonts w:ascii="Cambria Math" w:hAnsi="Cambria Math"/>
          </w:rPr>
          <m:t>rgdpnapc</m:t>
        </m:r>
      </m:oMath>
      <w:r w:rsidR="00AE395C" w:rsidRPr="002A514B">
        <w:t xml:space="preserve"> is incl</w:t>
      </w:r>
      <w:r w:rsidR="00AE0F70" w:rsidRPr="002A514B">
        <w:t>uded as a regressor. The correlation of these variables’ interaction terms with Equity Beliefs with</w:t>
      </w:r>
      <w:r w:rsidR="00AE395C" w:rsidRPr="002A514B">
        <w:t xml:space="preserve"> </w:t>
      </w:r>
      <m:oMath>
        <m:r>
          <w:rPr>
            <w:rFonts w:ascii="Cambria Math" w:hAnsi="Cambria Math"/>
          </w:rPr>
          <m:t>rgdpnapc</m:t>
        </m:r>
      </m:oMath>
      <w:r w:rsidR="00AE395C" w:rsidRPr="002A514B">
        <w:t xml:space="preserve"> are all well below the 0.7 threshold (0.39, 0.44 and 0.56 respectively) </w:t>
      </w:r>
      <w:r w:rsidR="007C5A4A" w:rsidRPr="002A514B">
        <w:t xml:space="preserve">and the results of the correlations where </w:t>
      </w:r>
      <m:oMath>
        <m:r>
          <w:rPr>
            <w:rFonts w:ascii="Cambria Math" w:hAnsi="Cambria Math"/>
          </w:rPr>
          <m:t>rgdpnapc</m:t>
        </m:r>
      </m:oMath>
      <w:r w:rsidR="007C5A4A" w:rsidRPr="002A514B">
        <w:t xml:space="preserve"> is excluded are found consistent with the case where </w:t>
      </w:r>
      <m:oMath>
        <m:r>
          <w:rPr>
            <w:rFonts w:ascii="Cambria Math" w:hAnsi="Cambria Math"/>
          </w:rPr>
          <m:t>rgdpnapc</m:t>
        </m:r>
      </m:oMath>
      <w:r w:rsidR="007C5A4A" w:rsidRPr="002A514B">
        <w:t xml:space="preserve"> is retained. Therefore, </w:t>
      </w:r>
      <m:oMath>
        <m:r>
          <w:rPr>
            <w:rFonts w:ascii="Cambria Math" w:hAnsi="Cambria Math"/>
          </w:rPr>
          <m:t>rgdpnapc</m:t>
        </m:r>
        <m:r>
          <m:rPr>
            <m:sty m:val="p"/>
          </m:rPr>
          <w:rPr>
            <w:rFonts w:ascii="Cambria Math" w:hAnsi="Cambria Math"/>
          </w:rPr>
          <m:t xml:space="preserve"> </m:t>
        </m:r>
      </m:oMath>
      <w:r w:rsidR="00AE395C" w:rsidRPr="002A514B">
        <w:t xml:space="preserve">is retained as a regressor along with these interaction terms. </w:t>
      </w:r>
    </w:p>
    <w:p w14:paraId="3C207BD9" w14:textId="1C85395A" w:rsidR="00AE395C" w:rsidRPr="002A514B" w:rsidRDefault="00AE395C" w:rsidP="00AE395C">
      <w:pPr>
        <w:pStyle w:val="NoSpacing"/>
        <w:ind w:left="993" w:hanging="993"/>
        <w:rPr>
          <w:lang w:val="en-US"/>
        </w:rPr>
      </w:pPr>
      <w:bookmarkStart w:id="6" w:name="_Toc142952398"/>
      <w:bookmarkStart w:id="7" w:name="_Toc145879299"/>
      <w:r w:rsidRPr="002A514B">
        <w:rPr>
          <w:lang w:val="en-US"/>
        </w:rPr>
        <w:lastRenderedPageBreak/>
        <w:t>Bivariate correlations - Predist</w:t>
      </w:r>
      <w:r w:rsidR="00232317" w:rsidRPr="002A514B">
        <w:rPr>
          <w:lang w:val="en-US"/>
        </w:rPr>
        <w:t>ribution</w:t>
      </w:r>
      <w:r w:rsidRPr="002A514B">
        <w:rPr>
          <w:lang w:val="en-US"/>
        </w:rPr>
        <w:t xml:space="preserve"> model (individual level)</w:t>
      </w:r>
      <w:bookmarkEnd w:id="6"/>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576"/>
      </w:tblGrid>
      <w:tr w:rsidR="00AE395C" w:rsidRPr="002A514B" w14:paraId="0219AD2F" w14:textId="77777777" w:rsidTr="00665571">
        <w:tc>
          <w:tcPr>
            <w:tcW w:w="3402" w:type="dxa"/>
            <w:tcBorders>
              <w:right w:val="single" w:sz="4" w:space="0" w:color="auto"/>
            </w:tcBorders>
          </w:tcPr>
          <w:p w14:paraId="453C1504" w14:textId="77777777" w:rsidR="00AE395C" w:rsidRPr="002A514B" w:rsidRDefault="00137A4E" w:rsidP="00665571">
            <w:pPr>
              <w:rPr>
                <w:b/>
                <w:lang w:val="en-US"/>
              </w:rPr>
            </w:pPr>
            <w:r w:rsidRPr="002A514B">
              <w:rPr>
                <w:b/>
                <w:noProof/>
                <w:lang w:eastAsia="en-GB"/>
              </w:rPr>
              <w:drawing>
                <wp:inline distT="0" distB="0" distL="0" distR="0" wp14:anchorId="0B109AC7" wp14:editId="170E8B8D">
                  <wp:extent cx="2689200" cy="5691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9200" cy="5691600"/>
                          </a:xfrm>
                          <a:prstGeom prst="rect">
                            <a:avLst/>
                          </a:prstGeom>
                          <a:noFill/>
                          <a:ln>
                            <a:noFill/>
                          </a:ln>
                        </pic:spPr>
                      </pic:pic>
                    </a:graphicData>
                  </a:graphic>
                </wp:inline>
              </w:drawing>
            </w:r>
          </w:p>
        </w:tc>
        <w:tc>
          <w:tcPr>
            <w:tcW w:w="5614" w:type="dxa"/>
            <w:tcBorders>
              <w:left w:val="single" w:sz="4" w:space="0" w:color="auto"/>
            </w:tcBorders>
          </w:tcPr>
          <w:p w14:paraId="2CFF047C" w14:textId="77777777" w:rsidR="00AE395C" w:rsidRPr="002A514B" w:rsidRDefault="00AE395C" w:rsidP="00665571">
            <w:pPr>
              <w:rPr>
                <w:b/>
                <w:lang w:val="en-US"/>
              </w:rPr>
            </w:pPr>
            <w:r w:rsidRPr="002A514B">
              <w:rPr>
                <w:b/>
                <w:lang w:val="en-US"/>
              </w:rPr>
              <w:t>Notes:</w:t>
            </w:r>
          </w:p>
          <w:p w14:paraId="4E5BCE35" w14:textId="77777777" w:rsidR="00AE395C" w:rsidRPr="002A514B" w:rsidRDefault="00AE395C" w:rsidP="00665571">
            <w:pPr>
              <w:rPr>
                <w:lang w:val="en-US"/>
              </w:rPr>
            </w:pPr>
            <w:r w:rsidRPr="002A514B">
              <w:rPr>
                <w:lang w:val="en-US"/>
              </w:rPr>
              <w:t>The Gini coefficient of pre-taxes and transfers income inequality (</w:t>
            </w:r>
            <m:oMath>
              <m:r>
                <w:rPr>
                  <w:rFonts w:ascii="Cambria Math" w:hAnsi="Cambria Math"/>
                  <w:lang w:val="en-US"/>
                </w:rPr>
                <m:t>Gini_i_pre</m:t>
              </m:r>
            </m:oMath>
            <w:r w:rsidRPr="002A514B">
              <w:rPr>
                <w:lang w:val="en-US"/>
              </w:rPr>
              <w:t>) and relative redistribution (</w:t>
            </w:r>
            <m:oMath>
              <m:r>
                <w:rPr>
                  <w:rFonts w:ascii="Cambria Math" w:hAnsi="Cambria Math"/>
                  <w:lang w:val="en-US"/>
                </w:rPr>
                <m:t>rel_i_red</m:t>
              </m:r>
            </m:oMath>
            <w:r w:rsidRPr="002A514B">
              <w:rPr>
                <w:lang w:val="en-US"/>
              </w:rPr>
              <w:t>) correlate strongly with the dependent variable which is the Gini coefficient of post-taxes and transfers income inequality (</w:t>
            </w:r>
            <m:oMath>
              <m:r>
                <w:rPr>
                  <w:rFonts w:ascii="Cambria Math" w:hAnsi="Cambria Math"/>
                  <w:lang w:val="en-US"/>
                </w:rPr>
                <m:t>Gini_i_post</m:t>
              </m:r>
            </m:oMath>
            <w:r w:rsidRPr="002A514B">
              <w:rPr>
                <w:lang w:val="en-US"/>
              </w:rPr>
              <w:t>).</w:t>
            </w:r>
          </w:p>
          <w:p w14:paraId="330293D5" w14:textId="77777777" w:rsidR="00AE395C" w:rsidRPr="002A514B" w:rsidRDefault="00AE395C" w:rsidP="00665571">
            <w:pPr>
              <w:rPr>
                <w:lang w:val="en-US"/>
              </w:rPr>
            </w:pPr>
            <w:r w:rsidRPr="002A514B">
              <w:rPr>
                <w:lang w:val="en-US"/>
              </w:rPr>
              <w:t xml:space="preserve">An acceptably weak correlation occurs for the independent variables </w:t>
            </w:r>
            <m:oMath>
              <m:r>
                <w:rPr>
                  <w:rFonts w:ascii="Cambria Math" w:hAnsi="Cambria Math"/>
                  <w:lang w:val="en-US"/>
                </w:rPr>
                <m:t>Gini_i_pre</m:t>
              </m:r>
            </m:oMath>
            <w:r w:rsidRPr="002A514B">
              <w:rPr>
                <w:lang w:val="en-US"/>
              </w:rPr>
              <w:t xml:space="preserve"> and </w:t>
            </w:r>
            <m:oMath>
              <m:r>
                <w:rPr>
                  <w:rFonts w:ascii="Cambria Math" w:hAnsi="Cambria Math"/>
                  <w:lang w:val="en-US"/>
                </w:rPr>
                <m:t>rel_i_red</m:t>
              </m:r>
            </m:oMath>
            <w:r w:rsidRPr="002A514B">
              <w:rPr>
                <w:lang w:val="en-US"/>
              </w:rPr>
              <w:t xml:space="preserve">. Notable is that no correlation is found for </w:t>
            </w:r>
            <m:oMath>
              <m:r>
                <w:rPr>
                  <w:rFonts w:ascii="Cambria Math" w:hAnsi="Cambria Math"/>
                  <w:lang w:val="en-US"/>
                </w:rPr>
                <m:t>rel_i_red</m:t>
              </m:r>
            </m:oMath>
            <w:r w:rsidRPr="002A514B">
              <w:rPr>
                <w:lang w:val="en-US"/>
              </w:rPr>
              <w:t xml:space="preserve"> and any of the </w:t>
            </w:r>
            <w:proofErr w:type="spellStart"/>
            <w:r w:rsidRPr="002A514B">
              <w:rPr>
                <w:lang w:val="en-US"/>
              </w:rPr>
              <w:t>labour</w:t>
            </w:r>
            <w:proofErr w:type="spellEnd"/>
            <w:r w:rsidRPr="002A514B">
              <w:rPr>
                <w:lang w:val="en-US"/>
              </w:rPr>
              <w:t xml:space="preserve"> and capital market control variables (horizontally, nos. 5 to 8) and the policy variables apart from the legal system and property rights variable (</w:t>
            </w:r>
            <m:oMath>
              <m:r>
                <w:rPr>
                  <w:rFonts w:ascii="Cambria Math" w:hAnsi="Cambria Math"/>
                  <w:lang w:val="en-US"/>
                </w:rPr>
                <m:t>EFI_b</m:t>
              </m:r>
            </m:oMath>
            <w:r w:rsidRPr="002A514B">
              <w:rPr>
                <w:lang w:val="en-US"/>
              </w:rPr>
              <w:t xml:space="preserve">) which correlates weakly with </w:t>
            </w:r>
            <m:oMath>
              <m:r>
                <w:rPr>
                  <w:rFonts w:ascii="Cambria Math" w:hAnsi="Cambria Math"/>
                  <w:lang w:val="en-US"/>
                </w:rPr>
                <m:t>rel_i_red</m:t>
              </m:r>
            </m:oMath>
            <w:r w:rsidRPr="002A514B">
              <w:rPr>
                <w:lang w:val="en-US"/>
              </w:rPr>
              <w:t>.</w:t>
            </w:r>
          </w:p>
          <w:p w14:paraId="04EE1E49" w14:textId="77777777" w:rsidR="00AE395C" w:rsidRPr="002A514B" w:rsidRDefault="00AE395C" w:rsidP="00665571">
            <w:pPr>
              <w:rPr>
                <w:lang w:val="en-US"/>
              </w:rPr>
            </w:pPr>
            <w:r w:rsidRPr="002A514B">
              <w:rPr>
                <w:lang w:val="en-US"/>
              </w:rPr>
              <w:t xml:space="preserve">Weak correlations are found for the </w:t>
            </w:r>
            <m:oMath>
              <m:r>
                <w:rPr>
                  <w:rFonts w:ascii="Cambria Math" w:hAnsi="Cambria Math"/>
                  <w:lang w:val="en-US"/>
                </w:rPr>
                <m:t>Gini_i_pre</m:t>
              </m:r>
            </m:oMath>
            <w:r w:rsidRPr="002A514B">
              <w:rPr>
                <w:lang w:val="en-US"/>
              </w:rPr>
              <w:t xml:space="preserve"> and these variables apart from </w:t>
            </w:r>
            <m:oMath>
              <m:r>
                <w:rPr>
                  <w:rFonts w:ascii="Cambria Math" w:hAnsi="Cambria Math"/>
                  <w:lang w:val="en-US"/>
                </w:rPr>
                <m:t>EFI_b</m:t>
              </m:r>
            </m:oMath>
            <w:r w:rsidRPr="002A514B">
              <w:rPr>
                <w:lang w:val="en-US"/>
              </w:rPr>
              <w:t xml:space="preserve"> where no correlation is found. </w:t>
            </w:r>
          </w:p>
          <w:p w14:paraId="3E0C8A12" w14:textId="77777777" w:rsidR="00AE395C" w:rsidRPr="002A514B" w:rsidRDefault="00AE395C" w:rsidP="00665571">
            <w:pPr>
              <w:rPr>
                <w:b/>
                <w:lang w:val="en-US"/>
              </w:rPr>
            </w:pPr>
          </w:p>
        </w:tc>
      </w:tr>
    </w:tbl>
    <w:p w14:paraId="2E1592FB" w14:textId="77777777" w:rsidR="00AE395C" w:rsidRPr="002A514B" w:rsidRDefault="00AE395C" w:rsidP="00AE395C"/>
    <w:p w14:paraId="0CB475CA" w14:textId="77777777" w:rsidR="00AE395C" w:rsidRPr="002A514B" w:rsidRDefault="00AE395C" w:rsidP="00AE395C">
      <w:pPr>
        <w:spacing w:after="0" w:line="240" w:lineRule="auto"/>
        <w:rPr>
          <w:rFonts w:eastAsiaTheme="majorEastAsia" w:cstheme="minorHAnsi"/>
          <w:b/>
          <w:bCs/>
          <w:lang w:val="en-US"/>
        </w:rPr>
      </w:pPr>
      <w:r w:rsidRPr="002A514B">
        <w:rPr>
          <w:lang w:val="en-US"/>
        </w:rPr>
        <w:br w:type="page"/>
      </w:r>
    </w:p>
    <w:p w14:paraId="02177F42" w14:textId="2893FA3C" w:rsidR="00AE395C" w:rsidRPr="002A514B" w:rsidRDefault="00AE395C" w:rsidP="00AE395C">
      <w:pPr>
        <w:pStyle w:val="NoSpacing"/>
        <w:ind w:left="993" w:hanging="993"/>
        <w:rPr>
          <w:lang w:val="en-US"/>
        </w:rPr>
      </w:pPr>
      <w:bookmarkStart w:id="8" w:name="_Toc142952399"/>
      <w:bookmarkStart w:id="9" w:name="_Toc145879300"/>
      <w:r w:rsidRPr="002A514B">
        <w:rPr>
          <w:lang w:val="en-US"/>
        </w:rPr>
        <w:lastRenderedPageBreak/>
        <w:t xml:space="preserve">Bivariate correlations – Equity </w:t>
      </w:r>
      <w:r w:rsidR="00232317" w:rsidRPr="002A514B">
        <w:rPr>
          <w:lang w:val="en-US"/>
        </w:rPr>
        <w:t xml:space="preserve">Beliefs </w:t>
      </w:r>
      <w:r w:rsidRPr="002A514B">
        <w:rPr>
          <w:lang w:val="en-US"/>
        </w:rPr>
        <w:t>model (household level)</w:t>
      </w:r>
      <w:bookmarkEnd w:id="8"/>
      <w:bookmarkEnd w:id="9"/>
    </w:p>
    <w:p w14:paraId="5A79B548" w14:textId="77777777" w:rsidR="00AE395C" w:rsidRPr="002A514B" w:rsidRDefault="00AE395C" w:rsidP="00AE395C">
      <w:r w:rsidRPr="002A514B">
        <w:rPr>
          <w:noProof/>
          <w:lang w:eastAsia="en-GB"/>
        </w:rPr>
        <w:drawing>
          <wp:inline distT="0" distB="0" distL="0" distR="0" wp14:anchorId="240C7019" wp14:editId="0C353AB0">
            <wp:extent cx="7045200" cy="2952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7045200" cy="2952000"/>
                    </a:xfrm>
                    <a:prstGeom prst="rect">
                      <a:avLst/>
                    </a:prstGeom>
                    <a:noFill/>
                    <a:ln>
                      <a:noFill/>
                    </a:ln>
                  </pic:spPr>
                </pic:pic>
              </a:graphicData>
            </a:graphic>
          </wp:inline>
        </w:drawing>
      </w:r>
      <w:r w:rsidRPr="002A514B">
        <w:rPr>
          <w:noProof/>
          <w:lang w:eastAsia="en-GB"/>
        </w:rPr>
        <w:drawing>
          <wp:inline distT="0" distB="0" distL="0" distR="0" wp14:anchorId="71192FFA" wp14:editId="6E5272F1">
            <wp:extent cx="7045200" cy="1760400"/>
            <wp:effectExtent l="0" t="5715"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7045200" cy="1760400"/>
                    </a:xfrm>
                    <a:prstGeom prst="rect">
                      <a:avLst/>
                    </a:prstGeom>
                    <a:noFill/>
                    <a:ln>
                      <a:noFill/>
                    </a:ln>
                  </pic:spPr>
                </pic:pic>
              </a:graphicData>
            </a:graphic>
          </wp:inline>
        </w:drawing>
      </w:r>
    </w:p>
    <w:p w14:paraId="0A2C6EBE" w14:textId="77777777" w:rsidR="00AE395C" w:rsidRPr="002A514B" w:rsidRDefault="00AE395C" w:rsidP="00AE395C">
      <w:pPr>
        <w:rPr>
          <w:b/>
          <w:lang w:val="en-US"/>
        </w:rPr>
      </w:pPr>
      <w:r w:rsidRPr="002A514B">
        <w:rPr>
          <w:b/>
          <w:lang w:val="en-US"/>
        </w:rPr>
        <w:t xml:space="preserve">Notes: </w:t>
      </w:r>
    </w:p>
    <w:p w14:paraId="65A1227F" w14:textId="77777777" w:rsidR="00AE395C" w:rsidRPr="002A514B" w:rsidRDefault="00AE395C" w:rsidP="00AE395C">
      <w:pPr>
        <w:rPr>
          <w:lang w:val="en-US"/>
        </w:rPr>
      </w:pPr>
      <w:r w:rsidRPr="002A514B">
        <w:rPr>
          <w:lang w:val="en-US"/>
        </w:rPr>
        <w:t xml:space="preserve">The variable </w:t>
      </w:r>
      <m:oMath>
        <m:r>
          <w:rPr>
            <w:rFonts w:ascii="Cambria Math" w:hAnsi="Cambria Math"/>
            <w:lang w:val="en-US"/>
          </w:rPr>
          <m:t xml:space="preserve">(E035+E037)×Gini_disp </m:t>
        </m:r>
      </m:oMath>
      <w:r w:rsidRPr="002A514B">
        <w:rPr>
          <w:lang w:val="en-US"/>
        </w:rPr>
        <w:t xml:space="preserve">correlates strongly with the dependent variable for Equity Beliefs </w:t>
      </w:r>
      <m:oMath>
        <m:r>
          <w:rPr>
            <w:rFonts w:ascii="Cambria Math" w:hAnsi="Cambria Math"/>
            <w:lang w:val="en-US"/>
          </w:rPr>
          <m:t>(E035+E037)</m:t>
        </m:r>
      </m:oMath>
      <w:r w:rsidRPr="002A514B">
        <w:rPr>
          <w:lang w:val="en-US"/>
        </w:rPr>
        <w:t xml:space="preserve"> and </w:t>
      </w:r>
      <m:oMath>
        <m:r>
          <w:rPr>
            <w:rFonts w:ascii="Cambria Math" w:hAnsi="Cambria Math"/>
            <w:lang w:val="en-US"/>
          </w:rPr>
          <m:t>(E035+E037)</m:t>
        </m:r>
        <m:r>
          <w:rPr>
            <w:rFonts w:ascii="Cambria Math" w:eastAsiaTheme="minorEastAsia" w:hAnsi="Cambria Math"/>
            <w:lang w:val="en-US"/>
          </w:rPr>
          <m:t>×</m:t>
        </m:r>
        <m:r>
          <w:rPr>
            <w:rFonts w:ascii="Cambria Math" w:hAnsi="Cambria Math"/>
            <w:lang w:val="en-US"/>
          </w:rPr>
          <m:t>rel_red</m:t>
        </m:r>
      </m:oMath>
      <w:r w:rsidRPr="002A514B">
        <w:rPr>
          <w:lang w:val="en-US"/>
        </w:rPr>
        <w:t xml:space="preserve"> and </w:t>
      </w:r>
      <m:oMath>
        <m:r>
          <w:rPr>
            <w:rFonts w:ascii="Cambria Math" w:hAnsi="Cambria Math"/>
            <w:lang w:val="en-US"/>
          </w:rPr>
          <m:t>Gini_mkt</m:t>
        </m:r>
      </m:oMath>
      <w:r w:rsidRPr="002A514B">
        <w:rPr>
          <w:lang w:val="en-US"/>
        </w:rPr>
        <w:t xml:space="preserve"> correlates weakly with the dependent variable. Acceptably weak correlations occur among the dependent variables so as not to generate untenable variance inflation between the core variables. The strong correlation between </w:t>
      </w:r>
      <m:oMath>
        <m:r>
          <w:rPr>
            <w:rFonts w:ascii="Cambria Math" w:hAnsi="Cambria Math"/>
            <w:lang w:val="en-US"/>
          </w:rPr>
          <m:t xml:space="preserve">rgdpnapc </m:t>
        </m:r>
      </m:oMath>
      <w:r w:rsidRPr="002A514B">
        <w:rPr>
          <w:lang w:val="en-US"/>
        </w:rPr>
        <w:t xml:space="preserve">and </w:t>
      </w:r>
      <m:oMath>
        <m:r>
          <w:rPr>
            <w:rFonts w:ascii="Cambria Math" w:hAnsi="Cambria Math"/>
            <w:lang w:val="en-US"/>
          </w:rPr>
          <m:t>pl_c</m:t>
        </m:r>
      </m:oMath>
      <w:r w:rsidRPr="002A514B">
        <w:rPr>
          <w:lang w:val="en-US"/>
        </w:rPr>
        <w:t xml:space="preserve"> is ignored as the parameter estimates of these variables is no</w:t>
      </w:r>
      <w:r w:rsidR="00B338FD" w:rsidRPr="002A514B">
        <w:rPr>
          <w:lang w:val="en-US"/>
        </w:rPr>
        <w:t>t of</w:t>
      </w:r>
      <w:r w:rsidRPr="002A514B">
        <w:rPr>
          <w:lang w:val="en-US"/>
        </w:rPr>
        <w:t xml:space="preserve"> interest.</w:t>
      </w:r>
    </w:p>
    <w:p w14:paraId="71B55A2B" w14:textId="18965339" w:rsidR="00AE395C" w:rsidRPr="002A514B" w:rsidRDefault="00AE395C" w:rsidP="00AE395C">
      <w:pPr>
        <w:pStyle w:val="NoSpacing"/>
        <w:ind w:left="993" w:hanging="993"/>
        <w:rPr>
          <w:lang w:val="en-US"/>
        </w:rPr>
      </w:pPr>
      <w:bookmarkStart w:id="10" w:name="_Toc142952400"/>
      <w:bookmarkStart w:id="11" w:name="_Toc145879301"/>
      <w:r w:rsidRPr="002A514B">
        <w:rPr>
          <w:lang w:val="en-US"/>
        </w:rPr>
        <w:lastRenderedPageBreak/>
        <w:t xml:space="preserve">Bivariate correlations – Equity </w:t>
      </w:r>
      <w:r w:rsidR="00232317" w:rsidRPr="002A514B">
        <w:rPr>
          <w:lang w:val="en-US"/>
        </w:rPr>
        <w:t xml:space="preserve">Beliefs </w:t>
      </w:r>
      <w:r w:rsidRPr="002A514B">
        <w:rPr>
          <w:lang w:val="en-US"/>
        </w:rPr>
        <w:t>model (individual level)</w:t>
      </w:r>
      <w:bookmarkEnd w:id="10"/>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3827"/>
      </w:tblGrid>
      <w:tr w:rsidR="00AE395C" w:rsidRPr="002A514B" w14:paraId="30713926" w14:textId="77777777" w:rsidTr="00665571">
        <w:tc>
          <w:tcPr>
            <w:tcW w:w="3681" w:type="dxa"/>
            <w:tcBorders>
              <w:right w:val="single" w:sz="4" w:space="0" w:color="auto"/>
            </w:tcBorders>
          </w:tcPr>
          <w:p w14:paraId="5551235F" w14:textId="77777777" w:rsidR="00AE395C" w:rsidRPr="002A514B" w:rsidRDefault="00137A4E" w:rsidP="00665571">
            <w:pPr>
              <w:rPr>
                <w:b/>
                <w:lang w:val="en-US"/>
              </w:rPr>
            </w:pPr>
            <w:r w:rsidRPr="002A514B">
              <w:rPr>
                <w:b/>
                <w:noProof/>
                <w:lang w:eastAsia="en-GB"/>
              </w:rPr>
              <w:drawing>
                <wp:inline distT="0" distB="0" distL="0" distR="0" wp14:anchorId="6C1081C2" wp14:editId="504ED335">
                  <wp:extent cx="3164400" cy="4669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4400" cy="4669200"/>
                          </a:xfrm>
                          <a:prstGeom prst="rect">
                            <a:avLst/>
                          </a:prstGeom>
                          <a:noFill/>
                          <a:ln>
                            <a:noFill/>
                          </a:ln>
                        </pic:spPr>
                      </pic:pic>
                    </a:graphicData>
                  </a:graphic>
                </wp:inline>
              </w:drawing>
            </w:r>
          </w:p>
        </w:tc>
        <w:tc>
          <w:tcPr>
            <w:tcW w:w="5335" w:type="dxa"/>
            <w:tcBorders>
              <w:left w:val="single" w:sz="4" w:space="0" w:color="auto"/>
            </w:tcBorders>
          </w:tcPr>
          <w:p w14:paraId="24C6E82D" w14:textId="77777777" w:rsidR="00AE395C" w:rsidRPr="002A514B" w:rsidRDefault="00AE395C" w:rsidP="00665571">
            <w:pPr>
              <w:rPr>
                <w:b/>
                <w:lang w:val="en-US"/>
              </w:rPr>
            </w:pPr>
            <w:r w:rsidRPr="002A514B">
              <w:rPr>
                <w:b/>
                <w:lang w:val="en-US"/>
              </w:rPr>
              <w:t>Notes:</w:t>
            </w:r>
          </w:p>
          <w:p w14:paraId="7DC5D911" w14:textId="68219EDA" w:rsidR="00B338FD" w:rsidRPr="002A514B" w:rsidRDefault="00AE395C" w:rsidP="004672D6">
            <w:pPr>
              <w:rPr>
                <w:rFonts w:eastAsiaTheme="minorEastAsia"/>
                <w:lang w:val="en-US"/>
              </w:rPr>
            </w:pPr>
            <w:r w:rsidRPr="002A514B">
              <w:rPr>
                <w:lang w:val="en-US"/>
              </w:rPr>
              <w:t xml:space="preserve">The variables </w:t>
            </w:r>
            <m:oMath>
              <m:d>
                <m:dPr>
                  <m:ctrlPr>
                    <w:rPr>
                      <w:rFonts w:ascii="Cambria Math" w:hAnsi="Cambria Math"/>
                      <w:i/>
                      <w:lang w:val="en-US"/>
                    </w:rPr>
                  </m:ctrlPr>
                </m:dPr>
                <m:e>
                  <m:r>
                    <w:rPr>
                      <w:rFonts w:ascii="Cambria Math" w:hAnsi="Cambria Math"/>
                      <w:lang w:val="en-US"/>
                    </w:rPr>
                    <m:t>E035+E037</m:t>
                  </m:r>
                </m:e>
              </m:d>
              <m:r>
                <w:rPr>
                  <w:rFonts w:ascii="Cambria Math" w:hAnsi="Cambria Math"/>
                  <w:lang w:val="en-US"/>
                </w:rPr>
                <m:t>×Gini_i_post</m:t>
              </m:r>
            </m:oMath>
            <w:r w:rsidR="00B01CBB" w:rsidRPr="002A514B">
              <w:rPr>
                <w:rFonts w:eastAsiaTheme="minorEastAsia"/>
                <w:lang w:val="en-US"/>
              </w:rPr>
              <w:t xml:space="preserve"> </w:t>
            </w:r>
            <w:r w:rsidRPr="002A514B">
              <w:rPr>
                <w:lang w:val="en-US"/>
              </w:rPr>
              <w:t xml:space="preserve">and </w:t>
            </w:r>
            <m:oMath>
              <m:r>
                <w:rPr>
                  <w:rFonts w:ascii="Cambria Math" w:hAnsi="Cambria Math"/>
                  <w:lang w:val="en-US"/>
                </w:rPr>
                <m:t>Gini_i_pre</m:t>
              </m:r>
            </m:oMath>
            <w:r w:rsidR="00B01CBB" w:rsidRPr="002A514B">
              <w:rPr>
                <w:rFonts w:eastAsiaTheme="minorEastAsia"/>
                <w:lang w:val="en-US"/>
              </w:rPr>
              <w:t xml:space="preserve"> </w:t>
            </w:r>
            <w:r w:rsidRPr="002A514B">
              <w:rPr>
                <w:lang w:val="en-US"/>
              </w:rPr>
              <w:t>correlate weakly with the dependent variable for Equity</w:t>
            </w:r>
            <w:r w:rsidR="00BA26A0" w:rsidRPr="002A514B">
              <w:rPr>
                <w:lang w:val="en-US"/>
              </w:rPr>
              <w:t xml:space="preserve"> Beliefs</w:t>
            </w:r>
            <w:r w:rsidRPr="002A514B">
              <w:rPr>
                <w:lang w:val="en-US"/>
              </w:rPr>
              <w:t xml:space="preserve"> </w:t>
            </w:r>
            <m:oMath>
              <m:d>
                <m:dPr>
                  <m:ctrlPr>
                    <w:rPr>
                      <w:rFonts w:ascii="Cambria Math" w:hAnsi="Cambria Math"/>
                      <w:i/>
                      <w:lang w:val="en-US"/>
                    </w:rPr>
                  </m:ctrlPr>
                </m:dPr>
                <m:e>
                  <m:r>
                    <w:rPr>
                      <w:rFonts w:ascii="Cambria Math" w:hAnsi="Cambria Math"/>
                      <w:lang w:val="en-US"/>
                    </w:rPr>
                    <m:t>E035+E037</m:t>
                  </m:r>
                </m:e>
              </m:d>
              <m:r>
                <w:rPr>
                  <w:rFonts w:ascii="Cambria Math" w:hAnsi="Cambria Math"/>
                  <w:lang w:val="en-US"/>
                </w:rPr>
                <m:t>.</m:t>
              </m:r>
            </m:oMath>
          </w:p>
          <w:p w14:paraId="2A254F66" w14:textId="77777777" w:rsidR="00B338FD" w:rsidRPr="002A514B" w:rsidRDefault="00AE395C" w:rsidP="004672D6">
            <w:pPr>
              <w:rPr>
                <w:lang w:val="en-US"/>
              </w:rPr>
            </w:pPr>
            <w:r w:rsidRPr="002A514B">
              <w:rPr>
                <w:lang w:val="en-US"/>
              </w:rPr>
              <w:t xml:space="preserve">Both </w:t>
            </w:r>
            <m:oMath>
              <m:r>
                <w:rPr>
                  <w:rFonts w:ascii="Cambria Math" w:hAnsi="Cambria Math"/>
                  <w:lang w:val="en-US"/>
                </w:rPr>
                <m:t xml:space="preserve">Gini_i_pre </m:t>
              </m:r>
            </m:oMath>
            <w:r w:rsidRPr="002A514B">
              <w:rPr>
                <w:lang w:val="en-US"/>
              </w:rPr>
              <w:t xml:space="preserve">and </w:t>
            </w:r>
            <m:oMath>
              <m:r>
                <w:rPr>
                  <w:rFonts w:ascii="Cambria Math" w:hAnsi="Cambria Math"/>
                  <w:lang w:val="en-US"/>
                </w:rPr>
                <m:t xml:space="preserve">(E035+E037)×rel_i_red </m:t>
              </m:r>
            </m:oMath>
            <w:r w:rsidRPr="002A514B">
              <w:rPr>
                <w:lang w:val="en-US"/>
              </w:rPr>
              <w:t xml:space="preserve">correlate strongly with </w:t>
            </w:r>
            <m:oMath>
              <m:r>
                <w:rPr>
                  <w:rFonts w:ascii="Cambria Math" w:hAnsi="Cambria Math"/>
                  <w:lang w:val="en-US"/>
                </w:rPr>
                <m:t xml:space="preserve">(E035+E037)×Gini_i_post </m:t>
              </m:r>
            </m:oMath>
            <w:r w:rsidRPr="002A514B">
              <w:rPr>
                <w:lang w:val="en-US"/>
              </w:rPr>
              <w:t xml:space="preserve">which risks multicollinearity between these variables that would lead to uncertainty over the </w:t>
            </w:r>
            <w:r w:rsidR="00B338FD" w:rsidRPr="002A514B">
              <w:rPr>
                <w:lang w:val="en-US"/>
              </w:rPr>
              <w:t>statistical significance of the parameter estimates.</w:t>
            </w:r>
          </w:p>
          <w:p w14:paraId="7463B705" w14:textId="77777777" w:rsidR="00AE395C" w:rsidRPr="002A514B" w:rsidRDefault="00AE395C" w:rsidP="004672D6">
            <w:pPr>
              <w:rPr>
                <w:rFonts w:eastAsiaTheme="minorEastAsia"/>
                <w:lang w:val="en-US"/>
              </w:rPr>
            </w:pPr>
            <w:r w:rsidRPr="002A514B">
              <w:rPr>
                <w:lang w:val="en-US"/>
              </w:rPr>
              <w:t xml:space="preserve">The correlation between </w:t>
            </w:r>
            <m:oMath>
              <m:r>
                <w:rPr>
                  <w:rFonts w:ascii="Cambria Math" w:hAnsi="Cambria Math"/>
                  <w:lang w:val="en-US"/>
                </w:rPr>
                <m:t xml:space="preserve">(E035+E037)×rel_i_red </m:t>
              </m:r>
            </m:oMath>
            <w:r w:rsidRPr="002A514B">
              <w:rPr>
                <w:lang w:val="en-US"/>
              </w:rPr>
              <w:t xml:space="preserve">and </w:t>
            </w:r>
            <m:oMath>
              <m:r>
                <w:rPr>
                  <w:rFonts w:ascii="Cambria Math" w:hAnsi="Cambria Math"/>
                  <w:lang w:val="en-US"/>
                </w:rPr>
                <m:t>(E035+E037)×Gini_i_post</m:t>
              </m:r>
            </m:oMath>
            <w:r w:rsidRPr="002A514B">
              <w:rPr>
                <w:lang w:val="en-US"/>
              </w:rPr>
              <w:t xml:space="preserve"> just breaches the 0.7 threshold.</w:t>
            </w:r>
          </w:p>
        </w:tc>
      </w:tr>
    </w:tbl>
    <w:p w14:paraId="02AA23E0" w14:textId="77777777" w:rsidR="00AE395C" w:rsidRPr="002A514B" w:rsidRDefault="00AE395C" w:rsidP="00AE395C">
      <w:pPr>
        <w:spacing w:after="0" w:line="240" w:lineRule="auto"/>
        <w:rPr>
          <w:rFonts w:eastAsiaTheme="majorEastAsia" w:cstheme="minorHAnsi"/>
          <w:b/>
          <w:bCs/>
        </w:rPr>
      </w:pPr>
      <w:bookmarkStart w:id="12" w:name="_Toc113469607"/>
      <w:bookmarkStart w:id="13" w:name="_Toc113469787"/>
      <w:bookmarkStart w:id="14" w:name="_Toc118658333"/>
      <w:r w:rsidRPr="002A514B">
        <w:br w:type="page"/>
      </w:r>
    </w:p>
    <w:p w14:paraId="77882FF6" w14:textId="77777777" w:rsidR="00AE395C" w:rsidRPr="002A514B" w:rsidRDefault="00AE395C" w:rsidP="00232317">
      <w:pPr>
        <w:pStyle w:val="NoSpacing"/>
      </w:pPr>
      <w:bookmarkStart w:id="15" w:name="_Toc142952401"/>
      <w:bookmarkStart w:id="16" w:name="_Toc145879302"/>
      <w:bookmarkEnd w:id="12"/>
      <w:bookmarkEnd w:id="13"/>
      <w:bookmarkEnd w:id="14"/>
      <w:r w:rsidRPr="002A514B">
        <w:rPr>
          <w:lang w:val="en-US"/>
        </w:rPr>
        <w:lastRenderedPageBreak/>
        <w:t xml:space="preserve">IVS response record by country and year </w:t>
      </w:r>
      <w:r w:rsidRPr="002A514B">
        <w:t>(</w:t>
      </w:r>
      <m:oMath>
        <m:r>
          <m:rPr>
            <m:sty m:val="bi"/>
          </m:rPr>
          <w:rPr>
            <w:rFonts w:ascii="Cambria Math" w:hAnsi="Cambria Math"/>
          </w:rPr>
          <m:t>n</m:t>
        </m:r>
      </m:oMath>
      <w:r w:rsidR="00BA3EE6" w:rsidRPr="002A514B">
        <w:t xml:space="preserve"> </w:t>
      </w:r>
      <w:r w:rsidRPr="002A514B">
        <w:t>=</w:t>
      </w:r>
      <w:r w:rsidR="00BA3EE6" w:rsidRPr="002A514B">
        <w:t xml:space="preserve"> </w:t>
      </w:r>
      <w:r w:rsidRPr="002A514B">
        <w:t>110)</w:t>
      </w:r>
      <w:bookmarkEnd w:id="15"/>
      <w:bookmarkEnd w:id="16"/>
    </w:p>
    <w:p w14:paraId="3EA4E302" w14:textId="1B1196EB" w:rsidR="00AE395C" w:rsidRPr="002A514B" w:rsidRDefault="00C60598" w:rsidP="00AE395C">
      <w:r w:rsidRPr="002A514B">
        <w:rPr>
          <w:noProof/>
        </w:rPr>
        <w:drawing>
          <wp:inline distT="0" distB="0" distL="0" distR="0" wp14:anchorId="6986E81F" wp14:editId="7969131C">
            <wp:extent cx="5731510" cy="5008880"/>
            <wp:effectExtent l="0" t="0" r="2540" b="0"/>
            <wp:docPr id="170977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lum bright="-25000" contrast="25000"/>
                      <a:extLst>
                        <a:ext uri="{28A0092B-C50C-407E-A947-70E740481C1C}">
                          <a14:useLocalDpi xmlns:a14="http://schemas.microsoft.com/office/drawing/2010/main" val="0"/>
                        </a:ext>
                      </a:extLst>
                    </a:blip>
                    <a:srcRect/>
                    <a:stretch>
                      <a:fillRect/>
                    </a:stretch>
                  </pic:blipFill>
                  <pic:spPr bwMode="auto">
                    <a:xfrm>
                      <a:off x="0" y="0"/>
                      <a:ext cx="5731510" cy="5008880"/>
                    </a:xfrm>
                    <a:prstGeom prst="rect">
                      <a:avLst/>
                    </a:prstGeom>
                    <a:noFill/>
                    <a:ln>
                      <a:noFill/>
                    </a:ln>
                  </pic:spPr>
                </pic:pic>
              </a:graphicData>
            </a:graphic>
          </wp:inline>
        </w:drawing>
      </w:r>
    </w:p>
    <w:p w14:paraId="49AA4D3B" w14:textId="77777777" w:rsidR="003E688D" w:rsidRPr="002A514B" w:rsidRDefault="003E688D" w:rsidP="00AE395C">
      <w:pPr>
        <w:rPr>
          <w:b/>
          <w:lang w:val="en-US"/>
        </w:rPr>
      </w:pPr>
    </w:p>
    <w:p w14:paraId="56A59A45" w14:textId="16C9756B" w:rsidR="00AE395C" w:rsidRPr="002A514B" w:rsidRDefault="00AE395C" w:rsidP="00AE395C">
      <w:pPr>
        <w:rPr>
          <w:b/>
          <w:lang w:val="en-US"/>
        </w:rPr>
      </w:pPr>
      <w:r w:rsidRPr="002A514B">
        <w:rPr>
          <w:b/>
          <w:lang w:val="en-US"/>
        </w:rPr>
        <w:t>Notes:</w:t>
      </w:r>
    </w:p>
    <w:p w14:paraId="2A1C1B0A" w14:textId="77777777" w:rsidR="008B0807" w:rsidRPr="002A514B" w:rsidRDefault="00AE395C" w:rsidP="00220D8E">
      <w:pPr>
        <w:pStyle w:val="ListParagraph"/>
        <w:numPr>
          <w:ilvl w:val="0"/>
          <w:numId w:val="3"/>
        </w:numPr>
      </w:pPr>
      <w:r w:rsidRPr="002A514B">
        <w:t xml:space="preserve">This table contains the total number of valid responses after removal of non-responses, missing records or the question not being asked as to </w:t>
      </w:r>
      <m:oMath>
        <m:r>
          <w:rPr>
            <w:rFonts w:ascii="Cambria Math" w:hAnsi="Cambria Math"/>
          </w:rPr>
          <m:t>E035</m:t>
        </m:r>
      </m:oMath>
      <w:r w:rsidRPr="002A514B">
        <w:t xml:space="preserve"> and </w:t>
      </w:r>
      <m:oMath>
        <m:r>
          <w:rPr>
            <w:rFonts w:ascii="Cambria Math" w:hAnsi="Cambria Math"/>
          </w:rPr>
          <m:t>E037</m:t>
        </m:r>
      </m:oMath>
      <w:r w:rsidRPr="002A514B">
        <w:t>.</w:t>
      </w:r>
      <w:r w:rsidR="00C73197" w:rsidRPr="002A514B">
        <w:t xml:space="preserve"> </w:t>
      </w:r>
      <w:r w:rsidRPr="002A514B">
        <w:t>The number of valid responses per tercile (i.e. top, middle and bottom) will not match the total as there are non-responses to individuals' self-assessment of socioeconomic position.</w:t>
      </w:r>
    </w:p>
    <w:p w14:paraId="13461D89" w14:textId="2ACF3E9C" w:rsidR="008B0807" w:rsidRPr="002A514B" w:rsidRDefault="00C73197" w:rsidP="008B0807">
      <w:pPr>
        <w:pStyle w:val="ListParagraph"/>
        <w:numPr>
          <w:ilvl w:val="0"/>
          <w:numId w:val="3"/>
        </w:numPr>
      </w:pPr>
      <w:r w:rsidRPr="002A514B">
        <w:t xml:space="preserve">An imbalance arises by including certain observations of Equity Beliefs in the intertemporal correlations at </w:t>
      </w:r>
      <w:r w:rsidR="008B0807" w:rsidRPr="002A514B">
        <w:t>household level</w:t>
      </w:r>
      <w:r w:rsidRPr="002A514B">
        <w:t xml:space="preserve">s of inequality. These observations are: </w:t>
      </w:r>
      <w:r w:rsidR="008B0807" w:rsidRPr="002A514B">
        <w:t xml:space="preserve">Austria (1990), Bulgaria (1991), Estonia (1990), Latvia (1990), Lithuania (1990), Romania (1993), Slovakia (1990) and Slovakia (1991). The imbalance arises from there being missing inequality data in the </w:t>
      </w:r>
      <w:proofErr w:type="gramStart"/>
      <w:r w:rsidR="008B0807" w:rsidRPr="002A514B">
        <w:t>ex post</w:t>
      </w:r>
      <w:proofErr w:type="gramEnd"/>
      <w:r w:rsidR="008B0807" w:rsidRPr="002A514B">
        <w:t xml:space="preserve"> period which results in one missing observation for Romania in period t</w:t>
      </w:r>
      <w:r w:rsidR="008B0807" w:rsidRPr="002A514B">
        <w:rPr>
          <w:vertAlign w:val="subscript"/>
        </w:rPr>
        <w:t>-5</w:t>
      </w:r>
      <w:r w:rsidR="008B0807" w:rsidRPr="002A514B">
        <w:t>, two missing observations each for Austria and Slovakia in periods t</w:t>
      </w:r>
      <w:r w:rsidR="008B0807" w:rsidRPr="002A514B">
        <w:rPr>
          <w:vertAlign w:val="subscript"/>
        </w:rPr>
        <w:t>-4</w:t>
      </w:r>
      <w:r w:rsidR="008B0807" w:rsidRPr="002A514B">
        <w:t xml:space="preserve"> and t</w:t>
      </w:r>
      <w:r w:rsidR="008B0807" w:rsidRPr="002A514B">
        <w:rPr>
          <w:vertAlign w:val="subscript"/>
        </w:rPr>
        <w:t>-5</w:t>
      </w:r>
      <w:r w:rsidR="008B0807" w:rsidRPr="002A514B">
        <w:t xml:space="preserve">, and three each for Bulgaria, </w:t>
      </w:r>
      <w:proofErr w:type="gramStart"/>
      <w:r w:rsidR="008B0807" w:rsidRPr="002A514B">
        <w:t>Estonia,  Latvia</w:t>
      </w:r>
      <w:proofErr w:type="gramEnd"/>
      <w:r w:rsidR="008B0807" w:rsidRPr="002A514B">
        <w:t xml:space="preserve"> and Lithuania in periods t</w:t>
      </w:r>
      <w:r w:rsidR="008B0807" w:rsidRPr="002A514B">
        <w:rPr>
          <w:vertAlign w:val="subscript"/>
        </w:rPr>
        <w:t>-3</w:t>
      </w:r>
      <w:r w:rsidR="008B0807" w:rsidRPr="002A514B">
        <w:t>, t</w:t>
      </w:r>
      <w:r w:rsidR="008B0807" w:rsidRPr="002A514B">
        <w:rPr>
          <w:vertAlign w:val="subscript"/>
        </w:rPr>
        <w:t>-4</w:t>
      </w:r>
      <w:r w:rsidR="008B0807" w:rsidRPr="002A514B">
        <w:t xml:space="preserve"> and t</w:t>
      </w:r>
      <w:r w:rsidR="008B0807" w:rsidRPr="002A514B">
        <w:rPr>
          <w:vertAlign w:val="subscript"/>
        </w:rPr>
        <w:t>-5</w:t>
      </w:r>
      <w:r w:rsidR="008B0807" w:rsidRPr="002A514B">
        <w:t>. These observations are therefore excluded along with Malta (1991) for which there is no inequality data throughout t</w:t>
      </w:r>
      <w:r w:rsidR="008B0807" w:rsidRPr="002A514B">
        <w:rPr>
          <w:vertAlign w:val="subscript"/>
        </w:rPr>
        <w:t>-5</w:t>
      </w:r>
      <w:r w:rsidR="008B0807" w:rsidRPr="002A514B">
        <w:t xml:space="preserve"> to t</w:t>
      </w:r>
      <w:r w:rsidR="008B0807" w:rsidRPr="002A514B">
        <w:rPr>
          <w:vertAlign w:val="subscript"/>
        </w:rPr>
        <w:t>+5</w:t>
      </w:r>
      <w:r w:rsidR="008B0807" w:rsidRPr="002A514B">
        <w:t>. Time-demeaning of single observations yields values of zero which effectively removes the data from the regression. Hence, the single observations of Greece (2008) and Malta (2008) are excluded.</w:t>
      </w:r>
    </w:p>
    <w:p w14:paraId="03E7CE84" w14:textId="77777777" w:rsidR="008B0807" w:rsidRPr="002A514B" w:rsidRDefault="008B0807" w:rsidP="008B0807">
      <w:pPr>
        <w:pStyle w:val="ListParagraph"/>
        <w:numPr>
          <w:ilvl w:val="0"/>
          <w:numId w:val="3"/>
        </w:numPr>
      </w:pPr>
      <w:r w:rsidRPr="002A514B">
        <w:lastRenderedPageBreak/>
        <w:t xml:space="preserve">At individual level, the Equity Beliefs observations of Romania (1993), Latvia (1990) and Lithuania (1990) are unbalanced. The imbalance </w:t>
      </w:r>
      <w:r w:rsidR="00C73197" w:rsidRPr="002A514B">
        <w:t xml:space="preserve">is due to </w:t>
      </w:r>
      <w:r w:rsidRPr="002A514B">
        <w:t xml:space="preserve">missing inequality data in the </w:t>
      </w:r>
      <w:proofErr w:type="gramStart"/>
      <w:r w:rsidRPr="002A514B">
        <w:t>ex post</w:t>
      </w:r>
      <w:proofErr w:type="gramEnd"/>
      <w:r w:rsidRPr="002A514B">
        <w:t xml:space="preserve"> period which results in one missing observation for Romania in period t</w:t>
      </w:r>
      <w:r w:rsidRPr="002A514B">
        <w:rPr>
          <w:vertAlign w:val="subscript"/>
        </w:rPr>
        <w:t>-5</w:t>
      </w:r>
      <w:r w:rsidRPr="002A514B">
        <w:t xml:space="preserve"> and three missing observations for Latvia and Lithuania in periods t</w:t>
      </w:r>
      <w:r w:rsidRPr="002A514B">
        <w:rPr>
          <w:vertAlign w:val="subscript"/>
        </w:rPr>
        <w:t>-3</w:t>
      </w:r>
      <w:r w:rsidRPr="002A514B">
        <w:t>, t</w:t>
      </w:r>
      <w:r w:rsidRPr="002A514B">
        <w:rPr>
          <w:vertAlign w:val="subscript"/>
        </w:rPr>
        <w:t>-4</w:t>
      </w:r>
      <w:r w:rsidRPr="002A514B">
        <w:t xml:space="preserve"> and t</w:t>
      </w:r>
      <w:r w:rsidRPr="002A514B">
        <w:rPr>
          <w:vertAlign w:val="subscript"/>
        </w:rPr>
        <w:t>-5</w:t>
      </w:r>
      <w:r w:rsidRPr="002A514B">
        <w:t>. These observations are therefore excluded together with Malta (1991) for which there is no inequality data throughout t</w:t>
      </w:r>
      <w:r w:rsidRPr="002A514B">
        <w:rPr>
          <w:vertAlign w:val="subscript"/>
        </w:rPr>
        <w:t>-5</w:t>
      </w:r>
      <w:r w:rsidRPr="002A514B">
        <w:t xml:space="preserve"> to t</w:t>
      </w:r>
      <w:r w:rsidRPr="002A514B">
        <w:rPr>
          <w:vertAlign w:val="subscript"/>
        </w:rPr>
        <w:t>+5</w:t>
      </w:r>
      <w:r w:rsidRPr="002A514B">
        <w:t xml:space="preserve">, and the single observations of Greece (2008) and Malta (2008). Additionally, the inequality statistics for Italy over the period 1985-2005, Slovakia over 1994-1996 and Cyprus over 2006-2007 are suspect because pre-taxes and transfers income inequality is lower than disposable income inequality, which is the opposite of what should occur given redistribution. </w:t>
      </w:r>
      <w:r w:rsidR="00C73197" w:rsidRPr="002A514B">
        <w:t xml:space="preserve">Hence, </w:t>
      </w:r>
      <w:r w:rsidRPr="002A514B">
        <w:t>Cyprus, Italy and Slovakia are excluded</w:t>
      </w:r>
      <w:r w:rsidR="00C73197" w:rsidRPr="002A514B">
        <w:t xml:space="preserve"> from the individual level analyses</w:t>
      </w:r>
      <w:r w:rsidRPr="002A514B">
        <w:t>.</w:t>
      </w:r>
    </w:p>
    <w:p w14:paraId="6EEA44D7" w14:textId="77777777" w:rsidR="00AE395C" w:rsidRPr="002A514B" w:rsidRDefault="00AE395C" w:rsidP="00AE395C"/>
    <w:p w14:paraId="37CF0F83" w14:textId="77777777" w:rsidR="00710FA8" w:rsidRPr="002A514B" w:rsidRDefault="00710FA8" w:rsidP="00232317">
      <w:pPr>
        <w:pStyle w:val="Heading2"/>
      </w:pPr>
      <w:bookmarkStart w:id="17" w:name="_Toc178771863"/>
      <w:r w:rsidRPr="002A514B">
        <w:t>Robust measures of central tendency</w:t>
      </w:r>
      <w:bookmarkEnd w:id="17"/>
    </w:p>
    <w:p w14:paraId="1D92DB66" w14:textId="77777777" w:rsidR="00710FA8" w:rsidRPr="002A514B" w:rsidRDefault="00710FA8" w:rsidP="00710FA8">
      <w:r w:rsidRPr="002A514B">
        <w:t xml:space="preserve">For discrete datasets of which individual observations are bounded by a minimum and maximum value, </w:t>
      </w:r>
      <w:r w:rsidRPr="002A514B">
        <w:rPr>
          <w:noProof/>
        </w:rPr>
        <w:t>t</w:t>
      </w:r>
      <w:r w:rsidRPr="002A514B">
        <w:t xml:space="preserve">he median is the recommended measure of central tendency </w:t>
      </w:r>
      <w:r w:rsidRPr="002A514B">
        <w:rPr>
          <w:noProof/>
        </w:rPr>
        <w:fldChar w:fldCharType="begin"/>
      </w:r>
      <w:r w:rsidRPr="002A514B">
        <w:rPr>
          <w:noProof/>
        </w:rPr>
        <w:instrText xml:space="preserve"> ADDIN EN.CITE &lt;EndNote&gt;&lt;Cite&gt;&lt;Author&gt;Stevens&lt;/Author&gt;&lt;Year&gt;1946&lt;/Year&gt;&lt;RecNum&gt;1267&lt;/RecNum&gt;&lt;DisplayText&gt;(Stevens, 1946)&lt;/DisplayText&gt;&lt;record&gt;&lt;rec-number&gt;1267&lt;/rec-number&gt;&lt;foreign-keys&gt;&lt;key app="EN" db-id="rrezazf2nx9ex2ee0zo55t532f0tw90t2rf0" timestamp="1692213084" guid="5a161de9-f9a6-44e9-8770-439aaf15d198"&gt;1267&lt;/key&gt;&lt;/foreign-keys&gt;&lt;ref-type name="Journal Article"&gt;17&lt;/ref-type&gt;&lt;contributors&gt;&lt;authors&gt;&lt;author&gt;Stevens, S. S.&lt;/author&gt;&lt;/authors&gt;&lt;/contributors&gt;&lt;titles&gt;&lt;title&gt;On the Theory of Scales of Measurement&lt;/title&gt;&lt;secondary-title&gt;Science&lt;/secondary-title&gt;&lt;/titles&gt;&lt;periodical&gt;&lt;full-title&gt;Science&lt;/full-title&gt;&lt;/periodical&gt;&lt;pages&gt;677-680&lt;/pages&gt;&lt;volume&gt;103&lt;/volume&gt;&lt;number&gt;2684&lt;/number&gt;&lt;dates&gt;&lt;year&gt;1946&lt;/year&gt;&lt;pub-dates&gt;&lt;date&gt;1946/06/07&lt;/date&gt;&lt;/pub-dates&gt;&lt;/dates&gt;&lt;publisher&gt;American Association for the Advancement of Science&lt;/publisher&gt;&lt;urls&gt;&lt;related-urls&gt;&lt;url&gt;https://doi.org/10.1126/science.103.2684.677&lt;/url&gt;&lt;/related-urls&gt;&lt;/urls&gt;&lt;custom1&gt;Measurement, Stats&lt;/custom1&gt;&lt;custom2&gt;*Nominal, Categorical, Ordinal or Scale variable classifications&lt;/custom2&gt;&lt;electronic-resource-num&gt;10.1126/science.103.2684.677&lt;/electronic-resource-num&gt;&lt;access-date&gt;2023/04/01&lt;/access-date&gt;&lt;/record&gt;&lt;/Cite&gt;&lt;/EndNote&gt;</w:instrText>
      </w:r>
      <w:r w:rsidRPr="002A514B">
        <w:rPr>
          <w:noProof/>
        </w:rPr>
        <w:fldChar w:fldCharType="separate"/>
      </w:r>
      <w:r w:rsidRPr="002A514B">
        <w:rPr>
          <w:noProof/>
        </w:rPr>
        <w:t>(Stevens, 1946)</w:t>
      </w:r>
      <w:r w:rsidRPr="002A514B">
        <w:rPr>
          <w:noProof/>
        </w:rPr>
        <w:fldChar w:fldCharType="end"/>
      </w:r>
      <w:r w:rsidRPr="002A514B">
        <w:t xml:space="preserve">. The microdata, however is skewed and </w:t>
      </w:r>
      <w:r w:rsidRPr="002A514B">
        <w:fldChar w:fldCharType="begin"/>
      </w:r>
      <w:r w:rsidRPr="002A514B">
        <w:instrText xml:space="preserve"> ADDIN EN.CITE &lt;EndNote&gt;&lt;Cite AuthorYear="1"&gt;&lt;Author&gt;von Hippel&lt;/Author&gt;&lt;Year&gt;2005&lt;/Year&gt;&lt;RecNum&gt;1370&lt;/RecNum&gt;&lt;DisplayText&gt;von Hippel (2005)&lt;/DisplayText&gt;&lt;record&gt;&lt;rec-number&gt;1370&lt;/rec-number&gt;&lt;foreign-keys&gt;&lt;key app="EN" db-id="rrezazf2nx9ex2ee0zo55t532f0tw90t2rf0" timestamp="1692213269" guid="38b650fe-24f9-498a-adb9-f87683d6ab6a"&gt;1370&lt;/key&gt;&lt;/foreign-keys&gt;&lt;ref-type name="Journal Article"&gt;17&lt;/ref-type&gt;&lt;contributors&gt;&lt;authors&gt;&lt;author&gt;von Hippel, Paul T.&lt;/author&gt;&lt;/authors&gt;&lt;/contributors&gt;&lt;titles&gt;&lt;title&gt;Mean, Median, and Skew: Correcting a Textbook Rule&lt;/title&gt;&lt;secondary-title&gt;Journal of Statistics Education,&lt;/secondary-title&gt;&lt;/titles&gt;&lt;periodical&gt;&lt;full-title&gt;Journal of Statistics Education,&lt;/full-title&gt;&lt;/periodical&gt;&lt;volume&gt;13&lt;/volume&gt;&lt;number&gt;2&lt;/number&gt;&lt;dates&gt;&lt;year&gt;2005&lt;/year&gt;&lt;/dates&gt;&lt;urls&gt;&lt;/urls&gt;&lt;custom1&gt;Stats&lt;/custom1&gt;&lt;custom2&gt;*Mean vs. Median&lt;/custom2&gt;&lt;electronic-resource-num&gt;https://doi.org/10.1080/10691898.2005.11910556&lt;/electronic-resource-num&gt;&lt;/record&gt;&lt;/Cite&gt;&lt;/EndNote&gt;</w:instrText>
      </w:r>
      <w:r w:rsidRPr="002A514B">
        <w:fldChar w:fldCharType="separate"/>
      </w:r>
      <w:r w:rsidRPr="002A514B">
        <w:rPr>
          <w:noProof/>
        </w:rPr>
        <w:t>von Hippel (2005)</w:t>
      </w:r>
      <w:r w:rsidRPr="002A514B">
        <w:fldChar w:fldCharType="end"/>
      </w:r>
      <w:r w:rsidRPr="002A514B">
        <w:t xml:space="preserve"> explains that in the textbook case, where a data set is negatively skewed, the median should lie to the right of (or above) the mean and where a data set is positively skewed, the median should lie to the left of (or below) the mean as seen in the figure below.</w:t>
      </w:r>
    </w:p>
    <w:p w14:paraId="25F7A47C" w14:textId="77777777" w:rsidR="00710FA8" w:rsidRPr="002A514B" w:rsidRDefault="00710FA8" w:rsidP="00710FA8"/>
    <w:p w14:paraId="286DE704" w14:textId="77777777" w:rsidR="00710FA8" w:rsidRPr="002A514B" w:rsidRDefault="00710FA8" w:rsidP="008B1F95">
      <w:pPr>
        <w:pStyle w:val="NoSpacing"/>
        <w:rPr>
          <w:lang w:val="en-US"/>
        </w:rPr>
      </w:pPr>
      <w:bookmarkStart w:id="18" w:name="_Toc176029940"/>
      <w:r w:rsidRPr="002A514B">
        <w:rPr>
          <w:lang w:val="en-US"/>
        </w:rPr>
        <w:t>Measures of central tendency for skewed data</w:t>
      </w:r>
      <w:bookmarkEnd w:id="18"/>
    </w:p>
    <w:p w14:paraId="1B444040" w14:textId="77777777" w:rsidR="00710FA8" w:rsidRPr="002A514B" w:rsidRDefault="00710FA8" w:rsidP="00710FA8">
      <w:pPr>
        <w:ind w:left="567"/>
      </w:pPr>
      <w:r w:rsidRPr="002A514B">
        <w:rPr>
          <w:noProof/>
          <w:lang w:eastAsia="en-GB"/>
        </w:rPr>
        <w:drawing>
          <wp:inline distT="0" distB="0" distL="0" distR="0" wp14:anchorId="6EBFDBBF" wp14:editId="515E19B0">
            <wp:extent cx="1905737" cy="1231600"/>
            <wp:effectExtent l="0" t="0" r="0" b="6985"/>
            <wp:docPr id="1205156914" name="Picture 1205156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grayscl/>
                      <a:extLst>
                        <a:ext uri="{BEBA8EAE-BF5A-486C-A8C5-ECC9F3942E4B}">
                          <a14:imgProps xmlns:a14="http://schemas.microsoft.com/office/drawing/2010/main">
                            <a14:imgLayer r:embed="rId15">
                              <a14:imgEffect>
                                <a14:sharpenSoften amount="100000"/>
                              </a14:imgEffect>
                              <a14:imgEffect>
                                <a14:brightnessContrast contrast="50000"/>
                              </a14:imgEffect>
                            </a14:imgLayer>
                          </a14:imgProps>
                        </a:ext>
                      </a:extLst>
                    </a:blip>
                    <a:srcRect t="-311" r="58952" b="3005"/>
                    <a:stretch/>
                  </pic:blipFill>
                  <pic:spPr bwMode="auto">
                    <a:xfrm>
                      <a:off x="0" y="0"/>
                      <a:ext cx="1905737" cy="1231600"/>
                    </a:xfrm>
                    <a:prstGeom prst="rect">
                      <a:avLst/>
                    </a:prstGeom>
                    <a:ln>
                      <a:noFill/>
                    </a:ln>
                    <a:extLst>
                      <a:ext uri="{53640926-AAD7-44D8-BBD7-CCE9431645EC}">
                        <a14:shadowObscured xmlns:a14="http://schemas.microsoft.com/office/drawing/2010/main"/>
                      </a:ext>
                    </a:extLst>
                  </pic:spPr>
                </pic:pic>
              </a:graphicData>
            </a:graphic>
          </wp:inline>
        </w:drawing>
      </w:r>
      <w:r w:rsidRPr="002A514B">
        <w:rPr>
          <w:noProof/>
          <w:lang w:eastAsia="en-GB"/>
        </w:rPr>
        <w:drawing>
          <wp:inline distT="0" distB="0" distL="0" distR="0" wp14:anchorId="220C43B0" wp14:editId="4B8D8D1B">
            <wp:extent cx="1933575" cy="1261978"/>
            <wp:effectExtent l="0" t="0" r="0" b="0"/>
            <wp:docPr id="2107297167" name="Picture 210729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grayscl/>
                      <a:extLst>
                        <a:ext uri="{BEBA8EAE-BF5A-486C-A8C5-ECC9F3942E4B}">
                          <a14:imgProps xmlns:a14="http://schemas.microsoft.com/office/drawing/2010/main">
                            <a14:imgLayer r:embed="rId15">
                              <a14:imgEffect>
                                <a14:sharpenSoften amount="100000"/>
                              </a14:imgEffect>
                              <a14:imgEffect>
                                <a14:brightnessContrast contrast="50000"/>
                              </a14:imgEffect>
                            </a14:imgLayer>
                          </a14:imgProps>
                        </a:ext>
                      </a:extLst>
                    </a:blip>
                    <a:srcRect l="58664" t="1068" b="-1"/>
                    <a:stretch/>
                  </pic:blipFill>
                  <pic:spPr bwMode="auto">
                    <a:xfrm>
                      <a:off x="0" y="0"/>
                      <a:ext cx="1947775" cy="1271246"/>
                    </a:xfrm>
                    <a:prstGeom prst="rect">
                      <a:avLst/>
                    </a:prstGeom>
                    <a:ln>
                      <a:noFill/>
                    </a:ln>
                    <a:extLst>
                      <a:ext uri="{53640926-AAD7-44D8-BBD7-CCE9431645EC}">
                        <a14:shadowObscured xmlns:a14="http://schemas.microsoft.com/office/drawing/2010/main"/>
                      </a:ext>
                    </a:extLst>
                  </pic:spPr>
                </pic:pic>
              </a:graphicData>
            </a:graphic>
          </wp:inline>
        </w:drawing>
      </w:r>
      <w:r w:rsidRPr="002A514B">
        <w:t xml:space="preserve"> </w:t>
      </w:r>
    </w:p>
    <w:p w14:paraId="246188C8" w14:textId="77777777" w:rsidR="00710FA8" w:rsidRPr="002A514B" w:rsidRDefault="00710FA8" w:rsidP="00710FA8">
      <w:pPr>
        <w:ind w:firstLine="567"/>
      </w:pPr>
      <w:r w:rsidRPr="002A514B">
        <w:t>Source: Author</w:t>
      </w:r>
    </w:p>
    <w:p w14:paraId="4CC9169B" w14:textId="77777777" w:rsidR="00710FA8" w:rsidRPr="002A514B" w:rsidRDefault="00710FA8" w:rsidP="00710FA8"/>
    <w:p w14:paraId="597509C1" w14:textId="7A72A2FA" w:rsidR="00710FA8" w:rsidRPr="002A514B" w:rsidRDefault="00710FA8" w:rsidP="00710FA8">
      <w:r w:rsidRPr="002A514B">
        <w:t xml:space="preserve">However, bimodality and outliers may invalidate this rule of thumb and there are numerous instances of its violation in the Equity Beliefs microdata. In the descriptive statistics of the Equity Beliefs data in Tables </w:t>
      </w:r>
      <w:r w:rsidR="00232317" w:rsidRPr="002A514B">
        <w:t>1.2.</w:t>
      </w:r>
      <w:r w:rsidR="008B1F95" w:rsidRPr="002A514B">
        <w:t>2</w:t>
      </w:r>
      <w:r w:rsidR="00254BE1" w:rsidRPr="002A514B">
        <w:t xml:space="preserve"> to 1.2.</w:t>
      </w:r>
      <w:r w:rsidR="008B1F95" w:rsidRPr="002A514B">
        <w:t>9</w:t>
      </w:r>
      <w:r w:rsidRPr="002A514B">
        <w:t xml:space="preserve"> </w:t>
      </w:r>
      <w:r w:rsidR="00232317" w:rsidRPr="002A514B">
        <w:t>below</w:t>
      </w:r>
      <w:r w:rsidRPr="002A514B">
        <w:t xml:space="preserve"> </w:t>
      </w:r>
      <w:r w:rsidR="00232317" w:rsidRPr="002A514B">
        <w:t xml:space="preserve">indicate such cases with </w:t>
      </w:r>
      <w:r w:rsidRPr="002A514B">
        <w:t xml:space="preserve">the median and mean </w:t>
      </w:r>
      <w:r w:rsidR="00232317" w:rsidRPr="002A514B">
        <w:t>in</w:t>
      </w:r>
      <w:r w:rsidRPr="002A514B">
        <w:t xml:space="preserve"> red.</w:t>
      </w:r>
    </w:p>
    <w:p w14:paraId="7A041BF5" w14:textId="328C582E" w:rsidR="00710FA8" w:rsidRPr="002A514B" w:rsidRDefault="00710FA8" w:rsidP="00710FA8">
      <w:r w:rsidRPr="002A514B">
        <w:fldChar w:fldCharType="begin"/>
      </w:r>
      <w:r w:rsidRPr="002A514B">
        <w:instrText xml:space="preserve"> ADDIN EN.CITE &lt;EndNote&gt;&lt;Cite AuthorYear="1"&gt;&lt;Author&gt;Keselman&lt;/Author&gt;&lt;Year&gt;2005&lt;/Year&gt;&lt;RecNum&gt;1373&lt;/RecNum&gt;&lt;DisplayText&gt;Keselman, Holland, and Cribbie (2005)&lt;/DisplayText&gt;&lt;record&gt;&lt;rec-number&gt;1373&lt;/rec-number&gt;&lt;foreign-keys&gt;&lt;key app="EN" db-id="rrezazf2nx9ex2ee0zo55t532f0tw90t2rf0" timestamp="1692213271" guid="c5f0178c-f085-4c16-9181-3cfb9cc9afe5"&gt;1373&lt;/key&gt;&lt;/foreign-keys&gt;&lt;ref-type name="Book Section"&gt;5&lt;/ref-type&gt;&lt;contributors&gt;&lt;authors&gt;&lt;author&gt;Keselman, H. J.&lt;/author&gt;&lt;author&gt;Holland, Burt&lt;/author&gt;&lt;author&gt;Cribbie, Robert A.&lt;/author&gt;&lt;/authors&gt;&lt;/contributors&gt;&lt;titles&gt;&lt;title&gt;Multiple Comparison Procedures&lt;/title&gt;&lt;secondary-title&gt;Encyclopedia of Statistics in Behavioral Science&lt;/secondary-title&gt;&lt;/titles&gt;&lt;keywords&gt;&lt;keyword&gt;pairwise and complex comparisons&lt;/keyword&gt;&lt;keyword&gt;simultaneous and stepwise procedures&lt;/keyword&gt;&lt;keyword&gt;Type I error rates&lt;/keyword&gt;&lt;keyword&gt;robust procedures&lt;/keyword&gt;&lt;/keywords&gt;&lt;dates&gt;&lt;year&gt;2005&lt;/year&gt;&lt;pub-dates&gt;&lt;date&gt;2005/04/15&lt;/date&gt;&lt;/pub-dates&gt;&lt;/dates&gt;&lt;isbn&gt;9780470013199&lt;/isbn&gt;&lt;urls&gt;&lt;related-urls&gt;&lt;url&gt;https://doi.org/10.1002/0470013192.bsa420&lt;/url&gt;&lt;/related-urls&gt;&lt;/urls&gt;&lt;custom1&gt;Stats&lt;/custom1&gt;&lt;custom2&gt;*Robust estimators&lt;/custom2&gt;&lt;electronic-resource-num&gt;https://doi.org/10.1002/0470013192.bsa420&lt;/electronic-resource-num&gt;&lt;research-notes&gt;Howell (2010: 384) Keselman et al. (2005) noted, “When researchers feel they are dealing with nonnormal data, they can replace the usual least squares estimators of central tendency and variability with robust estimators and apply these estimators in any of the previously recommended” multiple comparison procedures.&lt;/research-notes&gt;&lt;access-date&gt;2023/08/06&lt;/access-date&gt;&lt;/record&gt;&lt;/Cite&gt;&lt;/EndNote&gt;</w:instrText>
      </w:r>
      <w:r w:rsidRPr="002A514B">
        <w:fldChar w:fldCharType="separate"/>
      </w:r>
      <w:r w:rsidRPr="002A514B">
        <w:rPr>
          <w:noProof/>
        </w:rPr>
        <w:t>Keselman, Holland, and Cribbie (2005)</w:t>
      </w:r>
      <w:r w:rsidRPr="002A514B">
        <w:fldChar w:fldCharType="end"/>
      </w:r>
      <w:r w:rsidRPr="002A514B">
        <w:t xml:space="preserve"> advise that where researchers are dealing with non-normal data that the usual least squares measures of central tendency can be replaced with robust estimators. Furthermore, </w:t>
      </w:r>
      <w:r w:rsidRPr="002A514B">
        <w:fldChar w:fldCharType="begin"/>
      </w:r>
      <w:r w:rsidRPr="002A514B">
        <w:instrText xml:space="preserve"> ADDIN EN.CITE &lt;EndNote&gt;&lt;Cite AuthorYear="1"&gt;&lt;Author&gt;Rhemtulla&lt;/Author&gt;&lt;Year&gt;2012&lt;/Year&gt;&lt;RecNum&gt;1276&lt;/RecNum&gt;&lt;DisplayText&gt;Rhemtulla, Brosseau-Liard, and Savalei (2012)&lt;/DisplayText&gt;&lt;record&gt;&lt;rec-number&gt;1276&lt;/rec-number&gt;&lt;foreign-keys&gt;&lt;key app="EN" db-id="rrezazf2nx9ex2ee0zo55t532f0tw90t2rf0" timestamp="1692213103" guid="802e67d7-187d-4e0e-9c3c-ca4747acae7c"&gt;1276&lt;/key&gt;&lt;/foreign-keys&gt;&lt;ref-type name="Journal Article"&gt;17&lt;/ref-type&gt;&lt;contributors&gt;&lt;authors&gt;&lt;author&gt;Rhemtulla, M.&lt;/author&gt;&lt;author&gt;Brosseau-Liard, PÉ&lt;/author&gt;&lt;author&gt;Savalei, V.&lt;/author&gt;&lt;/authors&gt;&lt;/contributors&gt;&lt;auth-address&gt;Center for Research Methods and Data Analysis, University of Kansas, 1425 Jayhawk Boulevard, Watson Library 470, Lawrence, KS 66045, USA. mijke@ku.edu&lt;/auth-address&gt;&lt;titles&gt;&lt;title&gt;When can categorical variables be treated as continuous? A comparison of robust continuous and categorical SEM estimation methods under suboptimal conditions&lt;/title&gt;&lt;secondary-title&gt;Psychological Methods&lt;/secondary-title&gt;&lt;/titles&gt;&lt;periodical&gt;&lt;full-title&gt;Psychological Methods&lt;/full-title&gt;&lt;/periodical&gt;&lt;pages&gt;354-73&lt;/pages&gt;&lt;volume&gt;17&lt;/volume&gt;&lt;number&gt;3&lt;/number&gt;&lt;edition&gt;2012/07/18&lt;/edition&gt;&lt;keywords&gt;&lt;keyword&gt;Bias&lt;/keyword&gt;&lt;keyword&gt;*Factor Analysis, Statistical&lt;/keyword&gt;&lt;keyword&gt;Humans&lt;/keyword&gt;&lt;keyword&gt;*Least-Squares Analysis&lt;/keyword&gt;&lt;keyword&gt;*Likelihood Functions&lt;/keyword&gt;&lt;keyword&gt;*Models, Statistical&lt;/keyword&gt;&lt;keyword&gt;Sample Size&lt;/keyword&gt;&lt;/keywords&gt;&lt;dates&gt;&lt;year&gt;2012&lt;/year&gt;&lt;pub-dates&gt;&lt;date&gt;Sep&lt;/date&gt;&lt;/pub-dates&gt;&lt;/dates&gt;&lt;isbn&gt;1082-989x&lt;/isbn&gt;&lt;accession-num&gt;22799625&lt;/accession-num&gt;&lt;urls&gt;&lt;/urls&gt;&lt;custom1&gt;Stats&lt;/custom1&gt;&lt;custom2&gt;*Continuous vs. Categorical variables&lt;/custom2&gt;&lt;electronic-resource-num&gt;10.1037/a0029315&lt;/electronic-resource-num&gt;&lt;remote-database-provider&gt;NLM&lt;/remote-database-provider&gt;&lt;language&gt;eng&lt;/language&gt;&lt;/record&gt;&lt;/Cite&gt;&lt;/EndNote&gt;</w:instrText>
      </w:r>
      <w:r w:rsidRPr="002A514B">
        <w:fldChar w:fldCharType="separate"/>
      </w:r>
      <w:r w:rsidRPr="002A514B">
        <w:rPr>
          <w:noProof/>
        </w:rPr>
        <w:t>Rhemtulla, Brosseau-Liard, and Savalei (2012)</w:t>
      </w:r>
      <w:r w:rsidRPr="002A514B">
        <w:fldChar w:fldCharType="end"/>
      </w:r>
      <w:r w:rsidRPr="002A514B">
        <w:t xml:space="preserve"> report that for categorical variables, when the number of categories exceeds seven, robust normal theory maximum likelihood is an acceptable method of estimation and is equivalent to robust categorical least squares. M-estimators are robust alternatives to the sample mean and median that estimate central tendency by reducing the weight given to observations as their standard deviation rises </w:t>
      </w:r>
      <w:r w:rsidRPr="002A514B">
        <w:fldChar w:fldCharType="begin"/>
      </w:r>
      <w:r w:rsidRPr="002A514B">
        <w:instrText xml:space="preserve"> ADDIN EN.CITE &lt;EndNote&gt;&lt;Cite&gt;&lt;Author&gt;Berk&lt;/Author&gt;&lt;Year&gt;1990&lt;/Year&gt;&lt;RecNum&gt;1371&lt;/RecNum&gt;&lt;DisplayText&gt;(Berk, 1990)&lt;/DisplayText&gt;&lt;record&gt;&lt;rec-number&gt;1371&lt;/rec-number&gt;&lt;foreign-keys&gt;&lt;key app="EN" db-id="rrezazf2nx9ex2ee0zo55t532f0tw90t2rf0" timestamp="1692213270" guid="4b99a287-75eb-4dcd-a733-fe4e66f90ce9"&gt;1371&lt;/key&gt;&lt;/foreign-keys&gt;&lt;ref-type name="Book Section"&gt;5&lt;/ref-type&gt;&lt;contributors&gt;&lt;authors&gt;&lt;author&gt;Berk, Richard&lt;/author&gt;&lt;/authors&gt;&lt;secondary-authors&gt;&lt;author&gt;Fox, John&lt;/author&gt;&lt;author&gt;Long, J. Scott&lt;/author&gt;&lt;/secondary-authors&gt;&lt;/contributors&gt;&lt;titles&gt;&lt;title&gt;A Primer on Robust Regression&lt;/title&gt;&lt;secondary-title&gt;Modern Methods of Data Analysis&lt;/secondary-title&gt;&lt;/titles&gt;&lt;pages&gt;292-324&lt;/pages&gt;&lt;section&gt;Seven&lt;/section&gt;&lt;dates&gt;&lt;year&gt;1990&lt;/year&gt;&lt;/dates&gt;&lt;pub-location&gt;London; New Delhi&lt;/pub-location&gt;&lt;publisher&gt;Sage Publications&lt;/publisher&gt;&lt;urls&gt;&lt;/urls&gt;&lt;custom1&gt;Stats&lt;/custom1&gt;&lt;custom2&gt;*Robust Regression *Huber&amp;apos;s M-estimator *Tukey&amp;apos;s biweight&lt;/custom2&gt;&lt;/record&gt;&lt;/Cite&gt;&lt;/EndNote&gt;</w:instrText>
      </w:r>
      <w:r w:rsidRPr="002A514B">
        <w:fldChar w:fldCharType="separate"/>
      </w:r>
      <w:r w:rsidRPr="002A514B">
        <w:rPr>
          <w:noProof/>
        </w:rPr>
        <w:t>(Berk, 1990)</w:t>
      </w:r>
      <w:r w:rsidRPr="002A514B">
        <w:fldChar w:fldCharType="end"/>
      </w:r>
      <w:r w:rsidRPr="002A514B">
        <w:t xml:space="preserve">. Huber's M-estimator reduces the influence of outliers and Tukey’s </w:t>
      </w:r>
      <w:proofErr w:type="spellStart"/>
      <w:r w:rsidRPr="002A514B">
        <w:t>biweight</w:t>
      </w:r>
      <w:proofErr w:type="spellEnd"/>
      <w:r w:rsidRPr="002A514B">
        <w:t xml:space="preserve"> almost eliminates their influence</w:t>
      </w:r>
      <w:r w:rsidR="008B1F95" w:rsidRPr="002A514B">
        <w:t>.</w:t>
      </w:r>
    </w:p>
    <w:p w14:paraId="2C5FD05C" w14:textId="77777777" w:rsidR="00220D8E" w:rsidRPr="002A514B" w:rsidRDefault="00220D8E">
      <w:pPr>
        <w:spacing w:after="160" w:line="259" w:lineRule="auto"/>
      </w:pPr>
      <w:r w:rsidRPr="002A514B">
        <w:br w:type="page"/>
      </w:r>
    </w:p>
    <w:p w14:paraId="72C934C2" w14:textId="77777777" w:rsidR="00AE395C" w:rsidRPr="002A514B" w:rsidRDefault="004672D6" w:rsidP="004062A6">
      <w:pPr>
        <w:pStyle w:val="NoSpacing"/>
      </w:pPr>
      <w:bookmarkStart w:id="19" w:name="_Toc113110125"/>
      <w:bookmarkStart w:id="20" w:name="_Toc115815235"/>
      <w:bookmarkStart w:id="21" w:name="_Toc142952402"/>
      <w:bookmarkStart w:id="22" w:name="_Toc145879303"/>
      <w:r w:rsidRPr="002A514B">
        <w:rPr>
          <w:lang w:val="en-US"/>
        </w:rPr>
        <w:lastRenderedPageBreak/>
        <w:t>Descriptive statistics</w:t>
      </w:r>
      <w:r w:rsidR="00AE395C" w:rsidRPr="002A514B">
        <w:rPr>
          <w:lang w:val="en-US"/>
        </w:rPr>
        <w:t xml:space="preserve">: </w:t>
      </w:r>
      <w:bookmarkEnd w:id="19"/>
      <w:bookmarkEnd w:id="20"/>
      <w:r w:rsidR="00AE395C" w:rsidRPr="002A514B">
        <w:rPr>
          <w:lang w:val="en-US"/>
        </w:rPr>
        <w:t>Aggregate Equity Beliefs</w:t>
      </w:r>
      <w:bookmarkEnd w:id="21"/>
      <w:bookmarkEnd w:id="22"/>
    </w:p>
    <w:p w14:paraId="2BF9E06D" w14:textId="77777777" w:rsidR="00AE395C" w:rsidRPr="002A514B" w:rsidRDefault="00AE395C" w:rsidP="00AE395C">
      <w:r w:rsidRPr="002A514B">
        <w:rPr>
          <w:noProof/>
          <w:lang w:eastAsia="en-GB"/>
        </w:rPr>
        <w:drawing>
          <wp:inline distT="0" distB="0" distL="0" distR="0" wp14:anchorId="506136FD" wp14:editId="3C875D7B">
            <wp:extent cx="5184000" cy="80820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4000" cy="8082000"/>
                    </a:xfrm>
                    <a:prstGeom prst="rect">
                      <a:avLst/>
                    </a:prstGeom>
                    <a:noFill/>
                    <a:ln>
                      <a:noFill/>
                    </a:ln>
                  </pic:spPr>
                </pic:pic>
              </a:graphicData>
            </a:graphic>
          </wp:inline>
        </w:drawing>
      </w:r>
    </w:p>
    <w:p w14:paraId="2C238972" w14:textId="77777777" w:rsidR="00AE395C" w:rsidRPr="002A514B" w:rsidRDefault="00AE395C" w:rsidP="00AE395C">
      <w:pPr>
        <w:spacing w:after="0" w:line="240" w:lineRule="auto"/>
        <w:rPr>
          <w:rFonts w:eastAsiaTheme="majorEastAsia" w:cstheme="minorHAnsi"/>
          <w:b/>
          <w:bCs/>
        </w:rPr>
      </w:pPr>
    </w:p>
    <w:p w14:paraId="6A5C97B4" w14:textId="77777777" w:rsidR="00AE395C" w:rsidRPr="002A514B" w:rsidRDefault="004672D6" w:rsidP="00AE395C">
      <w:pPr>
        <w:pStyle w:val="NoSpacing"/>
      </w:pPr>
      <w:bookmarkStart w:id="23" w:name="_Toc142952403"/>
      <w:bookmarkStart w:id="24" w:name="_Toc145879304"/>
      <w:r w:rsidRPr="002A514B">
        <w:rPr>
          <w:lang w:val="en-US"/>
        </w:rPr>
        <w:lastRenderedPageBreak/>
        <w:t>Descriptive statistics</w:t>
      </w:r>
      <w:r w:rsidR="00AE395C" w:rsidRPr="002A514B">
        <w:t>: Aggregate Equity Beliefs</w:t>
      </w:r>
      <w:r w:rsidR="00137A4E" w:rsidRPr="002A514B">
        <w:t xml:space="preserve"> (continued</w:t>
      </w:r>
      <w:r w:rsidR="00AE395C" w:rsidRPr="002A514B">
        <w:t>)</w:t>
      </w:r>
      <w:bookmarkEnd w:id="23"/>
      <w:bookmarkEnd w:id="24"/>
    </w:p>
    <w:p w14:paraId="7D34C48E" w14:textId="77777777" w:rsidR="00AE395C" w:rsidRPr="002A514B" w:rsidRDefault="00AE395C" w:rsidP="00AE395C">
      <w:pPr>
        <w:spacing w:after="0" w:line="240" w:lineRule="auto"/>
        <w:rPr>
          <w:rFonts w:eastAsiaTheme="majorEastAsia" w:cstheme="minorHAnsi"/>
          <w:b/>
          <w:bCs/>
        </w:rPr>
      </w:pPr>
      <w:r w:rsidRPr="002A514B">
        <w:rPr>
          <w:noProof/>
          <w:lang w:eastAsia="en-GB"/>
        </w:rPr>
        <w:drawing>
          <wp:inline distT="0" distB="0" distL="0" distR="0" wp14:anchorId="3019FBCB" wp14:editId="6FDD78DA">
            <wp:extent cx="5180400" cy="8078400"/>
            <wp:effectExtent l="0" t="0" r="127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0400" cy="8078400"/>
                    </a:xfrm>
                    <a:prstGeom prst="rect">
                      <a:avLst/>
                    </a:prstGeom>
                    <a:noFill/>
                    <a:ln>
                      <a:noFill/>
                    </a:ln>
                  </pic:spPr>
                </pic:pic>
              </a:graphicData>
            </a:graphic>
          </wp:inline>
        </w:drawing>
      </w:r>
    </w:p>
    <w:p w14:paraId="6C657890" w14:textId="77777777" w:rsidR="00AE395C" w:rsidRPr="002A514B" w:rsidRDefault="00AE395C" w:rsidP="00AE395C">
      <w:pPr>
        <w:spacing w:after="0" w:line="240" w:lineRule="auto"/>
        <w:rPr>
          <w:rFonts w:eastAsiaTheme="majorEastAsia" w:cstheme="minorHAnsi"/>
          <w:b/>
          <w:bCs/>
        </w:rPr>
      </w:pPr>
      <w:r w:rsidRPr="002A514B">
        <w:br w:type="page"/>
      </w:r>
    </w:p>
    <w:p w14:paraId="0BCF2B9F" w14:textId="77777777" w:rsidR="00AE395C" w:rsidRPr="002A514B" w:rsidRDefault="004672D6" w:rsidP="00AE395C">
      <w:pPr>
        <w:pStyle w:val="NoSpacing"/>
      </w:pPr>
      <w:bookmarkStart w:id="25" w:name="_Toc142952404"/>
      <w:bookmarkStart w:id="26" w:name="_Toc145879305"/>
      <w:r w:rsidRPr="002A514B">
        <w:rPr>
          <w:lang w:val="en-US"/>
        </w:rPr>
        <w:lastRenderedPageBreak/>
        <w:t>Descriptive statistics</w:t>
      </w:r>
      <w:r w:rsidR="00AE395C" w:rsidRPr="002A514B">
        <w:t>: Top</w:t>
      </w:r>
      <w:r w:rsidR="00137A4E" w:rsidRPr="002A514B">
        <w:t xml:space="preserve"> Equity Beliefs</w:t>
      </w:r>
      <w:bookmarkEnd w:id="25"/>
      <w:bookmarkEnd w:id="26"/>
    </w:p>
    <w:p w14:paraId="25C91741" w14:textId="77777777" w:rsidR="00AE395C" w:rsidRPr="002A514B" w:rsidRDefault="00AE395C" w:rsidP="00AE395C">
      <w:r w:rsidRPr="002A514B">
        <w:rPr>
          <w:noProof/>
          <w:lang w:eastAsia="en-GB"/>
        </w:rPr>
        <w:drawing>
          <wp:inline distT="0" distB="0" distL="0" distR="0" wp14:anchorId="1E7248CB" wp14:editId="215F687E">
            <wp:extent cx="5126400" cy="813960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6400" cy="8139600"/>
                    </a:xfrm>
                    <a:prstGeom prst="rect">
                      <a:avLst/>
                    </a:prstGeom>
                    <a:noFill/>
                    <a:ln>
                      <a:noFill/>
                    </a:ln>
                  </pic:spPr>
                </pic:pic>
              </a:graphicData>
            </a:graphic>
          </wp:inline>
        </w:drawing>
      </w:r>
    </w:p>
    <w:p w14:paraId="2E8DDDB3" w14:textId="77777777" w:rsidR="00AE395C" w:rsidRPr="002A514B" w:rsidRDefault="00AE395C" w:rsidP="00AE395C">
      <w:pPr>
        <w:spacing w:after="0" w:line="240" w:lineRule="auto"/>
      </w:pPr>
      <w:r w:rsidRPr="002A514B">
        <w:br w:type="page"/>
      </w:r>
    </w:p>
    <w:p w14:paraId="137EE1A4" w14:textId="77777777" w:rsidR="00AE395C" w:rsidRPr="002A514B" w:rsidRDefault="004672D6" w:rsidP="00AE395C">
      <w:pPr>
        <w:pStyle w:val="NoSpacing"/>
      </w:pPr>
      <w:bookmarkStart w:id="27" w:name="_Toc142952405"/>
      <w:bookmarkStart w:id="28" w:name="_Toc145879306"/>
      <w:r w:rsidRPr="002A514B">
        <w:rPr>
          <w:lang w:val="en-US"/>
        </w:rPr>
        <w:lastRenderedPageBreak/>
        <w:t>Descriptive statistics</w:t>
      </w:r>
      <w:r w:rsidR="00AE395C" w:rsidRPr="002A514B">
        <w:t>: Top Equity Beliefs</w:t>
      </w:r>
      <w:r w:rsidR="00137A4E" w:rsidRPr="002A514B">
        <w:t xml:space="preserve"> (continued</w:t>
      </w:r>
      <w:r w:rsidR="00AE395C" w:rsidRPr="002A514B">
        <w:t>)</w:t>
      </w:r>
      <w:bookmarkEnd w:id="27"/>
      <w:bookmarkEnd w:id="28"/>
    </w:p>
    <w:p w14:paraId="05A2FA3E" w14:textId="77777777" w:rsidR="00AE395C" w:rsidRPr="002A514B" w:rsidRDefault="00AE395C" w:rsidP="00AE395C">
      <w:r w:rsidRPr="002A514B">
        <w:rPr>
          <w:noProof/>
          <w:lang w:eastAsia="en-GB"/>
        </w:rPr>
        <w:drawing>
          <wp:inline distT="0" distB="0" distL="0" distR="0" wp14:anchorId="64386DF5" wp14:editId="63DF3515">
            <wp:extent cx="5126400" cy="83916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6400" cy="8391600"/>
                    </a:xfrm>
                    <a:prstGeom prst="rect">
                      <a:avLst/>
                    </a:prstGeom>
                    <a:noFill/>
                    <a:ln>
                      <a:noFill/>
                    </a:ln>
                  </pic:spPr>
                </pic:pic>
              </a:graphicData>
            </a:graphic>
          </wp:inline>
        </w:drawing>
      </w:r>
    </w:p>
    <w:p w14:paraId="5866CFB3" w14:textId="77777777" w:rsidR="00AE395C" w:rsidRPr="002A514B" w:rsidRDefault="004672D6" w:rsidP="00AE395C">
      <w:pPr>
        <w:pStyle w:val="NoSpacing"/>
      </w:pPr>
      <w:bookmarkStart w:id="29" w:name="_Toc142952406"/>
      <w:bookmarkStart w:id="30" w:name="_Toc145879307"/>
      <w:r w:rsidRPr="002A514B">
        <w:rPr>
          <w:lang w:val="en-US"/>
        </w:rPr>
        <w:lastRenderedPageBreak/>
        <w:t>Descriptive statistics</w:t>
      </w:r>
      <w:r w:rsidR="00AE395C" w:rsidRPr="002A514B">
        <w:t>: Middle Equity Beliefs</w:t>
      </w:r>
      <w:bookmarkEnd w:id="29"/>
      <w:bookmarkEnd w:id="30"/>
    </w:p>
    <w:p w14:paraId="7B3AE230" w14:textId="77777777" w:rsidR="00AE395C" w:rsidRPr="002A514B" w:rsidRDefault="00AE395C" w:rsidP="00AE395C">
      <w:r w:rsidRPr="002A514B">
        <w:rPr>
          <w:noProof/>
          <w:lang w:eastAsia="en-GB"/>
        </w:rPr>
        <w:drawing>
          <wp:inline distT="0" distB="0" distL="0" distR="0" wp14:anchorId="050441BF" wp14:editId="0F5AEB12">
            <wp:extent cx="5184000" cy="819000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4000" cy="8190000"/>
                    </a:xfrm>
                    <a:prstGeom prst="rect">
                      <a:avLst/>
                    </a:prstGeom>
                    <a:noFill/>
                    <a:ln>
                      <a:noFill/>
                    </a:ln>
                  </pic:spPr>
                </pic:pic>
              </a:graphicData>
            </a:graphic>
          </wp:inline>
        </w:drawing>
      </w:r>
    </w:p>
    <w:p w14:paraId="1D043550" w14:textId="77777777" w:rsidR="00AE395C" w:rsidRPr="002A514B" w:rsidRDefault="00AE395C" w:rsidP="00AE395C">
      <w:pPr>
        <w:spacing w:after="0" w:line="240" w:lineRule="auto"/>
        <w:rPr>
          <w:rFonts w:eastAsiaTheme="majorEastAsia" w:cstheme="minorHAnsi"/>
          <w:b/>
          <w:bCs/>
        </w:rPr>
      </w:pPr>
      <w:r w:rsidRPr="002A514B">
        <w:br w:type="page"/>
      </w:r>
    </w:p>
    <w:p w14:paraId="457E0ADD" w14:textId="77777777" w:rsidR="00AE395C" w:rsidRPr="002A514B" w:rsidRDefault="004672D6" w:rsidP="00AE395C">
      <w:pPr>
        <w:pStyle w:val="NoSpacing"/>
      </w:pPr>
      <w:bookmarkStart w:id="31" w:name="_Toc142952407"/>
      <w:bookmarkStart w:id="32" w:name="_Toc145879308"/>
      <w:r w:rsidRPr="002A514B">
        <w:rPr>
          <w:lang w:val="en-US"/>
        </w:rPr>
        <w:lastRenderedPageBreak/>
        <w:t>Descriptive statistics</w:t>
      </w:r>
      <w:r w:rsidR="00AE395C" w:rsidRPr="002A514B">
        <w:t>: Middle Equity Beliefs</w:t>
      </w:r>
      <w:r w:rsidR="00137A4E" w:rsidRPr="002A514B">
        <w:t xml:space="preserve"> (continued</w:t>
      </w:r>
      <w:r w:rsidR="00AE395C" w:rsidRPr="002A514B">
        <w:t>)</w:t>
      </w:r>
      <w:bookmarkEnd w:id="31"/>
      <w:bookmarkEnd w:id="32"/>
    </w:p>
    <w:p w14:paraId="0F73A119" w14:textId="77777777" w:rsidR="00AE395C" w:rsidRPr="002A514B" w:rsidRDefault="00AE395C" w:rsidP="00AE395C">
      <w:r w:rsidRPr="002A514B">
        <w:rPr>
          <w:noProof/>
          <w:lang w:eastAsia="en-GB"/>
        </w:rPr>
        <w:drawing>
          <wp:inline distT="0" distB="0" distL="0" distR="0" wp14:anchorId="2DF8CB3C" wp14:editId="3C999164">
            <wp:extent cx="5184000" cy="820080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4000" cy="8200800"/>
                    </a:xfrm>
                    <a:prstGeom prst="rect">
                      <a:avLst/>
                    </a:prstGeom>
                    <a:noFill/>
                    <a:ln>
                      <a:noFill/>
                    </a:ln>
                  </pic:spPr>
                </pic:pic>
              </a:graphicData>
            </a:graphic>
          </wp:inline>
        </w:drawing>
      </w:r>
    </w:p>
    <w:p w14:paraId="61F7E345" w14:textId="77777777" w:rsidR="00AE395C" w:rsidRPr="002A514B" w:rsidRDefault="00AE395C" w:rsidP="00AE395C">
      <w:pPr>
        <w:spacing w:after="0" w:line="240" w:lineRule="auto"/>
        <w:rPr>
          <w:rFonts w:eastAsiaTheme="majorEastAsia" w:cstheme="minorHAnsi"/>
          <w:b/>
          <w:bCs/>
        </w:rPr>
      </w:pPr>
      <w:r w:rsidRPr="002A514B">
        <w:br w:type="page"/>
      </w:r>
    </w:p>
    <w:p w14:paraId="7DD6A7D4" w14:textId="77777777" w:rsidR="00AE395C" w:rsidRPr="002A514B" w:rsidRDefault="004672D6" w:rsidP="00AE395C">
      <w:pPr>
        <w:pStyle w:val="NoSpacing"/>
      </w:pPr>
      <w:bookmarkStart w:id="33" w:name="_Toc142952408"/>
      <w:bookmarkStart w:id="34" w:name="_Toc145879309"/>
      <w:r w:rsidRPr="002A514B">
        <w:rPr>
          <w:lang w:val="en-US"/>
        </w:rPr>
        <w:lastRenderedPageBreak/>
        <w:t>Descriptive statistics</w:t>
      </w:r>
      <w:r w:rsidR="00AE395C" w:rsidRPr="002A514B">
        <w:t>: Bottom Equity Beliefs</w:t>
      </w:r>
      <w:bookmarkEnd w:id="33"/>
      <w:bookmarkEnd w:id="34"/>
    </w:p>
    <w:p w14:paraId="2EF16115" w14:textId="77777777" w:rsidR="00AE395C" w:rsidRPr="002A514B" w:rsidRDefault="00AE395C" w:rsidP="00AE395C">
      <w:r w:rsidRPr="002A514B">
        <w:rPr>
          <w:noProof/>
          <w:lang w:eastAsia="en-GB"/>
        </w:rPr>
        <w:drawing>
          <wp:inline distT="0" distB="0" distL="0" distR="0" wp14:anchorId="6A6B85F0" wp14:editId="39FE3582">
            <wp:extent cx="5130000" cy="837000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0000" cy="8370000"/>
                    </a:xfrm>
                    <a:prstGeom prst="rect">
                      <a:avLst/>
                    </a:prstGeom>
                    <a:noFill/>
                    <a:ln>
                      <a:noFill/>
                    </a:ln>
                  </pic:spPr>
                </pic:pic>
              </a:graphicData>
            </a:graphic>
          </wp:inline>
        </w:drawing>
      </w:r>
    </w:p>
    <w:p w14:paraId="7D264036" w14:textId="77777777" w:rsidR="00AE395C" w:rsidRPr="002A514B" w:rsidRDefault="004672D6" w:rsidP="00AE395C">
      <w:pPr>
        <w:pStyle w:val="NoSpacing"/>
      </w:pPr>
      <w:bookmarkStart w:id="35" w:name="_Toc142952409"/>
      <w:bookmarkStart w:id="36" w:name="_Toc145879310"/>
      <w:r w:rsidRPr="002A514B">
        <w:rPr>
          <w:lang w:val="en-US"/>
        </w:rPr>
        <w:lastRenderedPageBreak/>
        <w:t>Descriptive statistics</w:t>
      </w:r>
      <w:r w:rsidR="00AE395C" w:rsidRPr="002A514B">
        <w:t>: Bottom Equity Beliefs</w:t>
      </w:r>
      <w:r w:rsidR="00137A4E" w:rsidRPr="002A514B">
        <w:t xml:space="preserve"> (continued</w:t>
      </w:r>
      <w:r w:rsidR="00AE395C" w:rsidRPr="002A514B">
        <w:t>)</w:t>
      </w:r>
      <w:bookmarkEnd w:id="35"/>
      <w:bookmarkEnd w:id="36"/>
    </w:p>
    <w:p w14:paraId="3F7A52CD" w14:textId="77777777" w:rsidR="00AE395C" w:rsidRPr="002A514B" w:rsidRDefault="00AE395C" w:rsidP="00AE395C">
      <w:r w:rsidRPr="002A514B">
        <w:rPr>
          <w:noProof/>
          <w:lang w:eastAsia="en-GB"/>
        </w:rPr>
        <w:drawing>
          <wp:inline distT="0" distB="0" distL="0" distR="0" wp14:anchorId="68579697" wp14:editId="0338FAF2">
            <wp:extent cx="5130000" cy="815400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0000" cy="8154000"/>
                    </a:xfrm>
                    <a:prstGeom prst="rect">
                      <a:avLst/>
                    </a:prstGeom>
                    <a:noFill/>
                    <a:ln>
                      <a:noFill/>
                    </a:ln>
                  </pic:spPr>
                </pic:pic>
              </a:graphicData>
            </a:graphic>
          </wp:inline>
        </w:drawing>
      </w:r>
    </w:p>
    <w:p w14:paraId="52C74DA0" w14:textId="77777777" w:rsidR="00AE395C" w:rsidRPr="002A514B" w:rsidRDefault="00AE395C" w:rsidP="00AE395C">
      <w:pPr>
        <w:pStyle w:val="Title"/>
      </w:pPr>
    </w:p>
    <w:p w14:paraId="202BC5E7" w14:textId="548BDDF4" w:rsidR="00AE395C" w:rsidRPr="002A514B" w:rsidRDefault="00AE395C" w:rsidP="00232317">
      <w:pPr>
        <w:pStyle w:val="Heading2"/>
      </w:pPr>
      <w:bookmarkStart w:id="37" w:name="_Toc113122179"/>
      <w:bookmarkStart w:id="38" w:name="_Toc113123169"/>
      <w:bookmarkStart w:id="39" w:name="_Toc113134673"/>
      <w:bookmarkStart w:id="40" w:name="_Toc113187382"/>
      <w:bookmarkStart w:id="41" w:name="_Toc113469616"/>
      <w:bookmarkStart w:id="42" w:name="_Toc113469796"/>
      <w:bookmarkStart w:id="43" w:name="_Toc115177918"/>
      <w:bookmarkStart w:id="44" w:name="_Toc115815240"/>
      <w:bookmarkStart w:id="45" w:name="_Ref142858777"/>
      <w:bookmarkStart w:id="46" w:name="_Toc142952410"/>
      <w:bookmarkStart w:id="47" w:name="_Toc145879317"/>
      <w:r w:rsidRPr="002A514B">
        <w:lastRenderedPageBreak/>
        <w:t xml:space="preserve">Equity </w:t>
      </w:r>
      <w:r w:rsidR="00EC36D5" w:rsidRPr="002A514B">
        <w:t xml:space="preserve">Beliefs </w:t>
      </w:r>
      <w:r w:rsidRPr="002A514B">
        <w:t>Model Specification</w:t>
      </w:r>
      <w:bookmarkEnd w:id="37"/>
      <w:bookmarkEnd w:id="38"/>
      <w:bookmarkEnd w:id="39"/>
      <w:bookmarkEnd w:id="40"/>
      <w:bookmarkEnd w:id="41"/>
      <w:bookmarkEnd w:id="42"/>
      <w:bookmarkEnd w:id="43"/>
      <w:bookmarkEnd w:id="44"/>
      <w:bookmarkEnd w:id="45"/>
      <w:bookmarkEnd w:id="46"/>
      <w:bookmarkEnd w:id="47"/>
    </w:p>
    <w:p w14:paraId="7C430C5D" w14:textId="77777777" w:rsidR="00AE395C" w:rsidRPr="002A514B" w:rsidRDefault="00AE395C" w:rsidP="00AE395C">
      <w:r w:rsidRPr="002A514B">
        <w:rPr>
          <w:noProof/>
          <w:lang w:eastAsia="en-GB"/>
        </w:rPr>
        <w:drawing>
          <wp:inline distT="0" distB="0" distL="0" distR="0" wp14:anchorId="62E5F9E8" wp14:editId="2BB11645">
            <wp:extent cx="5731510" cy="419657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4196576"/>
                    </a:xfrm>
                    <a:prstGeom prst="rect">
                      <a:avLst/>
                    </a:prstGeom>
                    <a:noFill/>
                    <a:ln>
                      <a:noFill/>
                    </a:ln>
                  </pic:spPr>
                </pic:pic>
              </a:graphicData>
            </a:graphic>
          </wp:inline>
        </w:drawing>
      </w:r>
    </w:p>
    <w:p w14:paraId="333E3C8E" w14:textId="77777777" w:rsidR="00AE395C" w:rsidRPr="002A514B" w:rsidRDefault="00AE395C" w:rsidP="00AE395C"/>
    <w:p w14:paraId="6D38D987" w14:textId="77777777" w:rsidR="00B8290D" w:rsidRPr="002A514B" w:rsidRDefault="00B8290D" w:rsidP="00B8290D">
      <w:r w:rsidRPr="002A514B">
        <w:t>The Equity Beliefs model in the table below is specified to obtain the strongest model that explains the variance of Equity Beliefs. Various combinations of independent variables are examined to find a model of which the coefficient of determination (</w:t>
      </w:r>
      <w:r w:rsidRPr="002A514B">
        <w:rPr>
          <w:i/>
        </w:rPr>
        <w:t>R</w:t>
      </w:r>
      <w:r w:rsidRPr="002A514B">
        <w:rPr>
          <w:i/>
          <w:vertAlign w:val="superscript"/>
        </w:rPr>
        <w:t>2</w:t>
      </w:r>
      <w:r w:rsidRPr="002A514B">
        <w:t xml:space="preserve">) is highest and where the Akaike’s information criterion (AIC) and AIC/n statistics are the smallest. In the model specification table below, apart from models 1 and 2, the </w:t>
      </w:r>
      <w:r w:rsidRPr="002A514B">
        <w:rPr>
          <w:i/>
        </w:rPr>
        <w:t>F</w:t>
      </w:r>
      <w:r w:rsidRPr="002A514B">
        <w:t>-statistics are all significant at an alpha level of 0.001. The parameters of Models 1 through to 9 are estimated by OLS and for Model 10 the variables are demeaned.</w:t>
      </w:r>
    </w:p>
    <w:p w14:paraId="1E59A210" w14:textId="77777777" w:rsidR="00B8290D" w:rsidRPr="002A514B" w:rsidRDefault="00B8290D" w:rsidP="00B8290D">
      <w:r w:rsidRPr="002A514B">
        <w:t xml:space="preserve">Following </w:t>
      </w:r>
      <w:r w:rsidRPr="002A514B">
        <w:fldChar w:fldCharType="begin"/>
      </w:r>
      <w:r w:rsidRPr="002A514B">
        <w:instrText xml:space="preserve"> ADDIN EN.CITE &lt;EndNote&gt;&lt;Cite AuthorYear="1"&gt;&lt;Author&gt;Wooldridge&lt;/Author&gt;&lt;Year&gt;2016&lt;/Year&gt;&lt;RecNum&gt;1281&lt;/RecNum&gt;&lt;Pages&gt;254&lt;/Pages&gt;&lt;DisplayText&gt;Wooldridge (2016, p. 254)&lt;/DisplayText&gt;&lt;record&gt;&lt;rec-number&gt;1281&lt;/rec-number&gt;&lt;foreign-keys&gt;&lt;key app="EN" db-id="rrezazf2nx9ex2ee0zo55t532f0tw90t2rf0" timestamp="1692213132" guid="92171cb9-4171-47be-99b2-db3abedbe4c5"&gt;1281&lt;/key&gt;&lt;/foreign-keys&gt;&lt;ref-type name="Book"&gt;6&lt;/ref-type&gt;&lt;contributors&gt;&lt;authors&gt;&lt;author&gt;Wooldridge, Jeffrey M.&lt;/author&gt;&lt;/authors&gt;&lt;/contributors&gt;&lt;titles&gt;&lt;title&gt;Introductory Econometrics : a modern approach&lt;/title&gt;&lt;/titles&gt;&lt;edition&gt;Sixth&lt;/edition&gt;&lt;dates&gt;&lt;year&gt;2016&lt;/year&gt;&lt;/dates&gt;&lt;pub-location&gt;Boston, MA&lt;/pub-location&gt;&lt;publisher&gt;Cengage Learning&lt;/publisher&gt;&lt;isbn&gt;ISBN: 978-1-305-27010-7&lt;/isbn&gt;&lt;urls&gt;&lt;related-urls&gt;&lt;url&gt;https://search.library.wisc.edu/catalog/9910154038602121&lt;/url&gt;&lt;/related-urls&gt;&lt;/urls&gt;&lt;custom1&gt;Models &amp;amp; Metrics, Stats&lt;/custom1&gt;&lt;/record&gt;&lt;/Cite&gt;&lt;/EndNote&gt;</w:instrText>
      </w:r>
      <w:r w:rsidRPr="002A514B">
        <w:fldChar w:fldCharType="separate"/>
      </w:r>
      <w:r w:rsidRPr="002A514B">
        <w:rPr>
          <w:noProof/>
        </w:rPr>
        <w:t>Wooldridge (2016, p. 254)</w:t>
      </w:r>
      <w:r w:rsidRPr="002A514B">
        <w:fldChar w:fldCharType="end"/>
      </w:r>
      <w:r w:rsidRPr="002A514B">
        <w:t xml:space="preserve"> the functional form of the Equity Beliefs and the Predistribution models are defined first and heteroskedasticity is tested for only in the final models. Multicollinearity of the regressors is indicated by the variance inflation factor (VIF). A VIF of 4 signals that a coefficient’s confidence intervals are twice as wide as they would be for regressors that are uncorrelated </w:t>
      </w:r>
      <w:r w:rsidRPr="002A514B">
        <w:fldChar w:fldCharType="begin"/>
      </w:r>
      <w:r w:rsidRPr="002A514B">
        <w:instrText xml:space="preserve"> ADDIN EN.CITE &lt;EndNote&gt;&lt;Cite&gt;&lt;Author&gt;Fox&lt;/Author&gt;&lt;Year&gt;2019&lt;/Year&gt;&lt;RecNum&gt;1031&lt;/RecNum&gt;&lt;Pages&gt;596&lt;/Pages&gt;&lt;DisplayText&gt;(Fox &amp;amp; Weisberg, 2019, p. 596)&lt;/DisplayText&gt;&lt;record&gt;&lt;rec-number&gt;1031&lt;/rec-number&gt;&lt;foreign-keys&gt;&lt;key app="EN" db-id="rrezazf2nx9ex2ee0zo55t532f0tw90t2rf0" timestamp="1692212232" guid="392e78b9-3019-4814-a63c-fc61fa99b498"&gt;1031&lt;/key&gt;&lt;/foreign-keys&gt;&lt;ref-type name="Book"&gt;6&lt;/ref-type&gt;&lt;contributors&gt;&lt;authors&gt;&lt;author&gt;Fox, John&lt;/author&gt;&lt;author&gt;Weisberg, Sanford&lt;/author&gt;&lt;/authors&gt;&lt;/contributors&gt;&lt;titles&gt;&lt;title&gt;An R Companion to Applied Regression&lt;/title&gt;&lt;/titles&gt;&lt;edition&gt;Third&lt;/edition&gt;&lt;dates&gt;&lt;year&gt;2019&lt;/year&gt;&lt;/dates&gt;&lt;pub-location&gt;Thousand Oaks&lt;/pub-location&gt;&lt;publisher&gt;SAGE Publications, Inc.&lt;/publisher&gt;&lt;urls&gt;&lt;/urls&gt;&lt;/record&gt;&lt;/Cite&gt;&lt;/EndNote&gt;</w:instrText>
      </w:r>
      <w:r w:rsidRPr="002A514B">
        <w:fldChar w:fldCharType="separate"/>
      </w:r>
      <w:r w:rsidRPr="002A514B">
        <w:rPr>
          <w:noProof/>
        </w:rPr>
        <w:t>(Fox &amp; Weisberg, 2019, p. 596)</w:t>
      </w:r>
      <w:r w:rsidRPr="002A514B">
        <w:fldChar w:fldCharType="end"/>
      </w:r>
      <w:r w:rsidRPr="002A514B">
        <w:t xml:space="preserve">. VIF is only of concern where this occurs for the predictors of interest </w:t>
      </w:r>
      <w:r w:rsidRPr="002A514B">
        <w:fldChar w:fldCharType="begin"/>
      </w:r>
      <w:r w:rsidRPr="002A514B">
        <w:instrText xml:space="preserve"> ADDIN EN.CITE &lt;EndNote&gt;&lt;Cite ExcludeAuth="1"&gt;&lt;Author&gt;Wooldridge&lt;/Author&gt;&lt;Year&gt;2016&lt;/Year&gt;&lt;RecNum&gt;1281&lt;/RecNum&gt;&lt;Pages&gt;86&lt;/Pages&gt;&lt;DisplayText&gt;(2016, p. 86)&lt;/DisplayText&gt;&lt;record&gt;&lt;rec-number&gt;1281&lt;/rec-number&gt;&lt;foreign-keys&gt;&lt;key app="EN" db-id="rrezazf2nx9ex2ee0zo55t532f0tw90t2rf0" timestamp="1692213132" guid="92171cb9-4171-47be-99b2-db3abedbe4c5"&gt;1281&lt;/key&gt;&lt;/foreign-keys&gt;&lt;ref-type name="Book"&gt;6&lt;/ref-type&gt;&lt;contributors&gt;&lt;authors&gt;&lt;author&gt;Wooldridge, Jeffrey M.&lt;/author&gt;&lt;/authors&gt;&lt;/contributors&gt;&lt;titles&gt;&lt;title&gt;Introductory Econometrics : a modern approach&lt;/title&gt;&lt;/titles&gt;&lt;edition&gt;Sixth&lt;/edition&gt;&lt;dates&gt;&lt;year&gt;2016&lt;/year&gt;&lt;/dates&gt;&lt;pub-location&gt;Boston, MA&lt;/pub-location&gt;&lt;publisher&gt;Cengage Learning&lt;/publisher&gt;&lt;isbn&gt;ISBN: 978-1-305-27010-7&lt;/isbn&gt;&lt;urls&gt;&lt;related-urls&gt;&lt;url&gt;https://search.library.wisc.edu/catalog/9910154038602121&lt;/url&gt;&lt;/related-urls&gt;&lt;/urls&gt;&lt;custom1&gt;Models &amp;amp; Metrics, Stats&lt;/custom1&gt;&lt;/record&gt;&lt;/Cite&gt;&lt;/EndNote&gt;</w:instrText>
      </w:r>
      <w:r w:rsidRPr="002A514B">
        <w:fldChar w:fldCharType="separate"/>
      </w:r>
      <w:r w:rsidRPr="002A514B">
        <w:rPr>
          <w:noProof/>
        </w:rPr>
        <w:t>(2016, p. 86)</w:t>
      </w:r>
      <w:r w:rsidRPr="002A514B">
        <w:fldChar w:fldCharType="end"/>
      </w:r>
      <w:r w:rsidRPr="002A514B">
        <w:t xml:space="preserve">, therefore is ignored in control variables. </w:t>
      </w:r>
    </w:p>
    <w:p w14:paraId="75A5D54C" w14:textId="669538F7" w:rsidR="00AE395C" w:rsidRPr="002A514B" w:rsidRDefault="00AE395C" w:rsidP="00AE395C">
      <w:r w:rsidRPr="002A514B">
        <w:t>Models 1 to 3 show statistically significant interactions with each of the core variables of the Predist</w:t>
      </w:r>
      <w:r w:rsidR="00BA26A0" w:rsidRPr="002A514B">
        <w:t>ribution</w:t>
      </w:r>
      <w:r w:rsidRPr="002A514B">
        <w:t xml:space="preserve"> model, namely disposable income inequality, market income inequality and relative redistribution with the interaction being strongest for market income inequality. The regression statistics improve substantially by excluding the interaction term </w:t>
      </w:r>
      <m:oMath>
        <m:r>
          <w:rPr>
            <w:rFonts w:ascii="Cambria Math" w:hAnsi="Cambria Math"/>
          </w:rPr>
          <m:t>Huber_a×Gini_mkt</m:t>
        </m:r>
      </m:oMath>
      <w:r w:rsidRPr="002A514B">
        <w:t xml:space="preserve"> in model 4, with only the interactions with disposable income inequality and relative redistribution in the model. In model 5, the regression statistics are improved further but variance inflation is shown for the </w:t>
      </w:r>
      <m:oMath>
        <m:r>
          <w:rPr>
            <w:rFonts w:ascii="Cambria Math" w:hAnsi="Cambria Math"/>
          </w:rPr>
          <m:t>Gini_disp</m:t>
        </m:r>
      </m:oMath>
      <w:r w:rsidRPr="002A514B">
        <w:t xml:space="preserve"> variable. With the removal of the </w:t>
      </w:r>
      <m:oMath>
        <m:r>
          <w:rPr>
            <w:rFonts w:ascii="Cambria Math" w:hAnsi="Cambria Math"/>
          </w:rPr>
          <m:t>Gini_mkt</m:t>
        </m:r>
      </m:oMath>
      <w:r w:rsidRPr="002A514B">
        <w:t xml:space="preserve"> variable in model 6, the variance inflation for </w:t>
      </w:r>
      <m:oMath>
        <m:r>
          <w:rPr>
            <w:rFonts w:ascii="Cambria Math" w:hAnsi="Cambria Math"/>
          </w:rPr>
          <m:t>Gini_disp</m:t>
        </m:r>
      </m:oMath>
      <w:r w:rsidRPr="002A514B">
        <w:t xml:space="preserve"> disappears and the model fit is improved.</w:t>
      </w:r>
    </w:p>
    <w:p w14:paraId="75F4A9E9" w14:textId="77777777" w:rsidR="00AE395C" w:rsidRPr="002A514B" w:rsidRDefault="00AE395C" w:rsidP="00AE395C">
      <w:r w:rsidRPr="002A514B">
        <w:lastRenderedPageBreak/>
        <w:t>Model 7 shows that in combination with market income inequality, the interaction effects of Equity beliefs with disposable income inequality and with relative redistribution yield the strongest model without any variance inflation. Model 7 contains only contemporaneous t</w:t>
      </w:r>
      <w:r w:rsidRPr="002A514B">
        <w:rPr>
          <w:vertAlign w:val="subscript"/>
        </w:rPr>
        <w:t>0</w:t>
      </w:r>
      <w:r w:rsidRPr="002A514B">
        <w:t xml:space="preserve"> observations and includes control variables for labour and capital market conditions, government size and economic output (</w:t>
      </w:r>
      <m:oMath>
        <m:r>
          <w:rPr>
            <w:rFonts w:ascii="Cambria Math" w:hAnsi="Cambria Math"/>
          </w:rPr>
          <m:t>labsh</m:t>
        </m:r>
      </m:oMath>
      <w:r w:rsidRPr="002A514B">
        <w:t xml:space="preserve">, </w:t>
      </w:r>
      <m:oMath>
        <m:r>
          <w:rPr>
            <w:rFonts w:ascii="Cambria Math" w:hAnsi="Cambria Math"/>
          </w:rPr>
          <m:t>irr</m:t>
        </m:r>
      </m:oMath>
      <w:r w:rsidRPr="002A514B">
        <w:t xml:space="preserve">, </w:t>
      </w:r>
      <m:oMath>
        <m:r>
          <w:rPr>
            <w:rFonts w:ascii="Cambria Math" w:hAnsi="Cambria Math"/>
          </w:rPr>
          <m:t>emp</m:t>
        </m:r>
      </m:oMath>
      <w:r w:rsidRPr="002A514B">
        <w:t xml:space="preserve">, </w:t>
      </w:r>
      <m:oMath>
        <m:r>
          <w:rPr>
            <w:rFonts w:ascii="Cambria Math" w:hAnsi="Cambria Math"/>
          </w:rPr>
          <m:t>EFI_a</m:t>
        </m:r>
      </m:oMath>
      <w:r w:rsidRPr="002A514B">
        <w:t xml:space="preserve">, </w:t>
      </w:r>
      <m:oMath>
        <m:r>
          <w:rPr>
            <w:rFonts w:ascii="Cambria Math" w:hAnsi="Cambria Math"/>
          </w:rPr>
          <m:t>rgdpnapc</m:t>
        </m:r>
      </m:oMath>
      <w:r w:rsidRPr="002A514B">
        <w:t xml:space="preserve">). </w:t>
      </w:r>
    </w:p>
    <w:p w14:paraId="46273FAA" w14:textId="77777777" w:rsidR="00AE395C" w:rsidRPr="002A514B" w:rsidRDefault="00AE395C" w:rsidP="00AE395C">
      <w:r w:rsidRPr="002A514B">
        <w:t>In model 8, the observations of t</w:t>
      </w:r>
      <w:r w:rsidRPr="002A514B">
        <w:rPr>
          <w:vertAlign w:val="subscript"/>
        </w:rPr>
        <w:t>0</w:t>
      </w:r>
      <w:r w:rsidRPr="002A514B">
        <w:t xml:space="preserve"> and t</w:t>
      </w:r>
      <w:r w:rsidRPr="002A514B">
        <w:rPr>
          <w:vertAlign w:val="subscript"/>
        </w:rPr>
        <w:t>+1</w:t>
      </w:r>
      <w:r w:rsidRPr="002A514B">
        <w:t xml:space="preserve"> are pooled. This doubles the number of observations and improves the model in terms of </w:t>
      </w:r>
      <w:r w:rsidRPr="002A514B">
        <w:rPr>
          <w:i/>
        </w:rPr>
        <w:t>Adj. R</w:t>
      </w:r>
      <w:r w:rsidRPr="002A514B">
        <w:rPr>
          <w:i/>
          <w:vertAlign w:val="superscript"/>
        </w:rPr>
        <w:t>2</w:t>
      </w:r>
      <w:r w:rsidRPr="002A514B">
        <w:t xml:space="preserve">, SER, </w:t>
      </w:r>
      <w:r w:rsidRPr="002A514B">
        <w:rPr>
          <w:i/>
        </w:rPr>
        <w:t>F</w:t>
      </w:r>
      <w:r w:rsidRPr="002A514B">
        <w:t>-stat, AIC and AIC/n. With more degrees of freedom, the generalisability of the model increases and the t</w:t>
      </w:r>
      <w:r w:rsidRPr="002A514B">
        <w:rPr>
          <w:vertAlign w:val="subscript"/>
        </w:rPr>
        <w:t>+1</w:t>
      </w:r>
      <w:r w:rsidRPr="002A514B">
        <w:t xml:space="preserve"> observations are lagged with respect to Equity Beliefs, which adds a causal dimension to the model.</w:t>
      </w:r>
    </w:p>
    <w:p w14:paraId="6AC22583" w14:textId="77777777" w:rsidR="00AE395C" w:rsidRPr="002A514B" w:rsidRDefault="00AE395C" w:rsidP="00AE395C">
      <w:r w:rsidRPr="002A514B">
        <w:t xml:space="preserve">In model 9, all the variables are transformed with natural logarithms. This decreases the standard error of the regression (SER), and according to the AIC and AIC/n values is a better specification. The </w:t>
      </w:r>
      <w:r w:rsidRPr="002A514B">
        <w:rPr>
          <w:i/>
        </w:rPr>
        <w:t>F</w:t>
      </w:r>
      <w:r w:rsidRPr="002A514B">
        <w:t xml:space="preserve">-statistic is significant at an alpha level of 0.001. A scatterplot shows a random distribution of the studentised residuals (SR) and does not indicate a linear pattern or higher order curvature that would signal misspecification </w:t>
      </w:r>
      <w:r w:rsidRPr="002A514B">
        <w:fldChar w:fldCharType="begin"/>
      </w:r>
      <w:r w:rsidRPr="002A514B">
        <w:instrText xml:space="preserve"> ADDIN EN.CITE &lt;EndNote&gt;&lt;Cite&gt;&lt;Author&gt;Draper&lt;/Author&gt;&lt;Year&gt;1998&lt;/Year&gt;&lt;RecNum&gt;1030&lt;/RecNum&gt;&lt;DisplayText&gt;(Draper &amp;amp; Smith, 1998)&lt;/DisplayText&gt;&lt;record&gt;&lt;rec-number&gt;1030&lt;/rec-number&gt;&lt;foreign-keys&gt;&lt;key app="EN" db-id="rrezazf2nx9ex2ee0zo55t532f0tw90t2rf0" timestamp="1692212222" guid="91d7da53-738d-44ac-aae2-3d9ea6832946"&gt;1030&lt;/key&gt;&lt;/foreign-keys&gt;&lt;ref-type name="Book"&gt;6&lt;/ref-type&gt;&lt;contributors&gt;&lt;authors&gt;&lt;author&gt;Draper, Norman R.&lt;/author&gt;&lt;author&gt;Smith, Harry&lt;/author&gt;&lt;/authors&gt;&lt;/contributors&gt;&lt;titles&gt;&lt;title&gt;Applied Regression Analysis&lt;/title&gt;&lt;secondary-title&gt;Wiley Series in Probability and Statistics&lt;/secondary-title&gt;&lt;/titles&gt;&lt;edition&gt;Third&lt;/edition&gt;&lt;section&gt;706&lt;/section&gt;&lt;dates&gt;&lt;year&gt;1998&lt;/year&gt;&lt;/dates&gt;&lt;pub-location&gt;New York&lt;/pub-location&gt;&lt;publisher&gt;John Wiley &amp;amp; Sons, Inc.&lt;/publisher&gt;&lt;urls&gt;&lt;/urls&gt;&lt;/record&gt;&lt;/Cite&gt;&lt;/EndNote&gt;</w:instrText>
      </w:r>
      <w:r w:rsidRPr="002A514B">
        <w:fldChar w:fldCharType="separate"/>
      </w:r>
      <w:r w:rsidRPr="002A514B">
        <w:rPr>
          <w:noProof/>
        </w:rPr>
        <w:t>(Draper &amp; Smith, 1998)</w:t>
      </w:r>
      <w:r w:rsidRPr="002A514B">
        <w:fldChar w:fldCharType="end"/>
      </w:r>
      <w:r w:rsidRPr="002A514B">
        <w:t xml:space="preserve">. </w:t>
      </w:r>
    </w:p>
    <w:p w14:paraId="3525FABE" w14:textId="77777777" w:rsidR="00AE395C" w:rsidRPr="002A514B" w:rsidRDefault="00AE395C" w:rsidP="00AE395C">
      <w:r w:rsidRPr="002A514B">
        <w:t>Model 10 is a fixed effects (FE) model and includes the same control variables of model 9 but with fewer observations (</w:t>
      </w:r>
      <m:oMath>
        <m:r>
          <w:rPr>
            <w:rFonts w:ascii="Cambria Math" w:hAnsi="Cambria Math"/>
          </w:rPr>
          <m:t>n=200</m:t>
        </m:r>
      </m:oMath>
      <w:r w:rsidRPr="002A514B">
        <w:t>) as FE is not amenable to inclusion of single observations. The magnitude and the signs of the parameters are comparable to those of the OLS estimates but the model fit improves and the SER is reduced. A scatterplot is of the SR is shown for this model below.</w:t>
      </w:r>
    </w:p>
    <w:p w14:paraId="0D1110EF" w14:textId="77777777" w:rsidR="00AE395C" w:rsidRPr="002A514B" w:rsidRDefault="00AE395C" w:rsidP="00AE395C"/>
    <w:p w14:paraId="62C3665B" w14:textId="43169BD9" w:rsidR="00AE395C" w:rsidRPr="002A514B" w:rsidRDefault="00AE395C" w:rsidP="00AE395C">
      <w:pPr>
        <w:pStyle w:val="NoSpacing"/>
      </w:pPr>
      <w:bookmarkStart w:id="48" w:name="_Toc142952411"/>
      <w:bookmarkStart w:id="49" w:name="_Toc145879318"/>
      <w:r w:rsidRPr="002A514B">
        <w:t>Equity</w:t>
      </w:r>
      <w:r w:rsidR="00A578DC" w:rsidRPr="002A514B">
        <w:t xml:space="preserve"> Beliefs</w:t>
      </w:r>
      <w:r w:rsidRPr="002A514B">
        <w:t xml:space="preserve"> model residuals plots</w:t>
      </w:r>
      <w:bookmarkEnd w:id="48"/>
      <w:bookmarkEnd w:id="49"/>
    </w:p>
    <w:p w14:paraId="7D3AA079" w14:textId="77777777" w:rsidR="00AE395C" w:rsidRPr="002A514B" w:rsidRDefault="00AE395C" w:rsidP="00AE395C">
      <w:r w:rsidRPr="002A514B">
        <w:rPr>
          <w:noProof/>
          <w:lang w:eastAsia="en-GB"/>
        </w:rPr>
        <w:drawing>
          <wp:inline distT="0" distB="0" distL="0" distR="0" wp14:anchorId="43B01881" wp14:editId="55A8D29F">
            <wp:extent cx="2808000" cy="166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08000" cy="1663200"/>
                    </a:xfrm>
                    <a:prstGeom prst="rect">
                      <a:avLst/>
                    </a:prstGeom>
                    <a:noFill/>
                    <a:ln>
                      <a:noFill/>
                    </a:ln>
                  </pic:spPr>
                </pic:pic>
              </a:graphicData>
            </a:graphic>
          </wp:inline>
        </w:drawing>
      </w:r>
      <w:r w:rsidRPr="002A514B">
        <w:rPr>
          <w:noProof/>
          <w:lang w:eastAsia="en-GB"/>
        </w:rPr>
        <w:drawing>
          <wp:inline distT="0" distB="0" distL="0" distR="0" wp14:anchorId="48A4FBB9" wp14:editId="7C59B980">
            <wp:extent cx="2800800" cy="1677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800" cy="1677600"/>
                    </a:xfrm>
                    <a:prstGeom prst="rect">
                      <a:avLst/>
                    </a:prstGeom>
                    <a:noFill/>
                    <a:ln>
                      <a:noFill/>
                    </a:ln>
                  </pic:spPr>
                </pic:pic>
              </a:graphicData>
            </a:graphic>
          </wp:inline>
        </w:drawing>
      </w:r>
    </w:p>
    <w:p w14:paraId="4D2B45FB" w14:textId="77777777" w:rsidR="00AE395C" w:rsidRPr="002A514B" w:rsidRDefault="00AE395C" w:rsidP="00AE395C"/>
    <w:p w14:paraId="10288A20" w14:textId="0237BE35" w:rsidR="00AE395C" w:rsidRPr="002A514B" w:rsidRDefault="00AE395C" w:rsidP="00AE395C">
      <w:r w:rsidRPr="002A514B">
        <w:t xml:space="preserve">Figures </w:t>
      </w:r>
      <w:r w:rsidR="00232317" w:rsidRPr="002A514B">
        <w:t>1.</w:t>
      </w:r>
      <w:r w:rsidR="008B1F95" w:rsidRPr="002A514B">
        <w:t>3</w:t>
      </w:r>
      <w:r w:rsidR="00232317" w:rsidRPr="002A514B">
        <w:t>.</w:t>
      </w:r>
      <w:r w:rsidR="008B1F95" w:rsidRPr="002A514B">
        <w:t>2</w:t>
      </w:r>
      <w:r w:rsidR="00975AC2" w:rsidRPr="002A514B">
        <w:t xml:space="preserve"> </w:t>
      </w:r>
      <w:r w:rsidRPr="002A514B">
        <w:t xml:space="preserve">and </w:t>
      </w:r>
      <w:r w:rsidR="00232317" w:rsidRPr="002A514B">
        <w:t>1.</w:t>
      </w:r>
      <w:r w:rsidR="008B1F95" w:rsidRPr="002A514B">
        <w:t>3</w:t>
      </w:r>
      <w:r w:rsidR="00232317" w:rsidRPr="002A514B">
        <w:t>.</w:t>
      </w:r>
      <w:r w:rsidR="008B1F95" w:rsidRPr="002A514B">
        <w:t>3</w:t>
      </w:r>
      <w:r w:rsidR="00975AC2" w:rsidRPr="002A514B">
        <w:t xml:space="preserve"> display</w:t>
      </w:r>
      <w:r w:rsidRPr="002A514B">
        <w:t xml:space="preserve"> the regression data for ten regressions of the </w:t>
      </w:r>
      <m:oMath>
        <m:r>
          <w:rPr>
            <w:rFonts w:ascii="Cambria Math" w:hAnsi="Cambria Math"/>
          </w:rPr>
          <m:t>Huber_a</m:t>
        </m:r>
      </m:oMath>
      <w:r w:rsidRPr="002A514B">
        <w:t xml:space="preserve"> t</w:t>
      </w:r>
      <w:r w:rsidRPr="002A514B">
        <w:rPr>
          <w:vertAlign w:val="subscript"/>
        </w:rPr>
        <w:t>0</w:t>
      </w:r>
      <w:r w:rsidRPr="002A514B">
        <w:t xml:space="preserve"> equity benchmark of model 10. Only the point estimates of the core variables are shown as the control variables are not of interest in the intertemporal correlations. The</w:t>
      </w:r>
      <w:r w:rsidRPr="002A514B">
        <w:rPr>
          <w:rFonts w:eastAsiaTheme="minorEastAsia"/>
        </w:rPr>
        <w:t xml:space="preserve"> parameters in the Outcomes columns are the sum of the parameters appearing in the Disp and the </w:t>
      </w:r>
      <w:proofErr w:type="spellStart"/>
      <w:r w:rsidRPr="002A514B">
        <w:rPr>
          <w:rFonts w:eastAsiaTheme="minorEastAsia"/>
        </w:rPr>
        <w:t>Redist</w:t>
      </w:r>
      <w:proofErr w:type="spellEnd"/>
      <w:r w:rsidRPr="002A514B">
        <w:rPr>
          <w:rFonts w:eastAsiaTheme="minorEastAsia"/>
        </w:rPr>
        <w:t xml:space="preserve"> columns. The predicted </w:t>
      </w:r>
      <w:r w:rsidRPr="002A514B">
        <w:rPr>
          <w:rFonts w:eastAsiaTheme="minorEastAsia"/>
          <w:i/>
        </w:rPr>
        <w:t>R</w:t>
      </w:r>
      <w:r w:rsidRPr="002A514B">
        <w:rPr>
          <w:rFonts w:eastAsiaTheme="minorEastAsia"/>
          <w:i/>
          <w:vertAlign w:val="superscript"/>
        </w:rPr>
        <w:t>2</w:t>
      </w:r>
      <w:r w:rsidRPr="002A514B">
        <w:rPr>
          <w:rFonts w:eastAsiaTheme="minorEastAsia"/>
        </w:rPr>
        <w:t xml:space="preserve"> statistics are an indication of the model’s predictability </w:t>
      </w:r>
      <w:r w:rsidRPr="002A514B">
        <w:rPr>
          <w:rFonts w:eastAsiaTheme="minorEastAsia"/>
        </w:rPr>
        <w:fldChar w:fldCharType="begin"/>
      </w:r>
      <w:r w:rsidRPr="002A514B">
        <w:rPr>
          <w:rFonts w:eastAsiaTheme="minorEastAsia"/>
        </w:rPr>
        <w:instrText xml:space="preserve"> ADDIN EN.CITE &lt;EndNote&gt;&lt;Cite&gt;&lt;Author&gt;Quan&lt;/Author&gt;&lt;Year&gt;1988&lt;/Year&gt;&lt;RecNum&gt;1387&lt;/RecNum&gt;&lt;DisplayText&gt;(Quan, 1988)&lt;/DisplayText&gt;&lt;record&gt;&lt;rec-number&gt;1387&lt;/rec-number&gt;&lt;foreign-keys&gt;&lt;key app="EN" db-id="rrezazf2nx9ex2ee0zo55t532f0tw90t2rf0" timestamp="1692213290" guid="ee4c1aee-3419-432a-9eaa-e6fe799b1649"&gt;1387&lt;/key&gt;&lt;/foreign-keys&gt;&lt;ref-type name="Journal Article"&gt;17&lt;/ref-type&gt;&lt;contributors&gt;&lt;authors&gt;&lt;author&gt;Quan, Nguyen T.&lt;/author&gt;&lt;/authors&gt;&lt;/contributors&gt;&lt;titles&gt;&lt;title&gt;The Prediction Sum of Squares as a General Measure for Regression Diagnostics&lt;/title&gt;&lt;secondary-title&gt;Journal of Business &amp;amp; Economic Statistics&lt;/secondary-title&gt;&lt;/titles&gt;&lt;periodical&gt;&lt;full-title&gt;Journal of Business &amp;amp; Economic Statistics&lt;/full-title&gt;&lt;/periodical&gt;&lt;pages&gt;501-504&lt;/pages&gt;&lt;volume&gt;6&lt;/volume&gt;&lt;number&gt;4&lt;/number&gt;&lt;dates&gt;&lt;year&gt;1988&lt;/year&gt;&lt;/dates&gt;&lt;publisher&gt;American Statistical Association, Taylor &amp;amp; Francis, Ltd.&lt;/publisher&gt;&lt;isbn&gt;07350015&lt;/isbn&gt;&lt;urls&gt;&lt;related-urls&gt;&lt;url&gt;http://www.jstor.org/stable/1391469&lt;/url&gt;&lt;/related-urls&gt;&lt;/urls&gt;&lt;custom1&gt;Stats&lt;/custom1&gt;&lt;custom2&gt;*Predicted R2 *PRESS&lt;/custom2&gt;&lt;electronic-resource-num&gt;10.2307/1391469&lt;/electronic-resource-num&gt;&lt;remote-database-name&gt;JSTOR&lt;/remote-database-name&gt;&lt;access-date&gt;2023/08/14/&lt;/access-date&gt;&lt;/record&gt;&lt;/Cite&gt;&lt;/EndNote&gt;</w:instrText>
      </w:r>
      <w:r w:rsidRPr="002A514B">
        <w:rPr>
          <w:rFonts w:eastAsiaTheme="minorEastAsia"/>
        </w:rPr>
        <w:fldChar w:fldCharType="separate"/>
      </w:r>
      <w:r w:rsidRPr="002A514B">
        <w:rPr>
          <w:rFonts w:eastAsiaTheme="minorEastAsia"/>
          <w:noProof/>
        </w:rPr>
        <w:t>(Quan, 1988)</w:t>
      </w:r>
      <w:r w:rsidRPr="002A514B">
        <w:rPr>
          <w:rFonts w:eastAsiaTheme="minorEastAsia"/>
        </w:rPr>
        <w:fldChar w:fldCharType="end"/>
      </w:r>
      <w:r w:rsidRPr="002A514B">
        <w:rPr>
          <w:rFonts w:eastAsiaTheme="minorEastAsia"/>
        </w:rPr>
        <w:t xml:space="preserve">. A value considerably smaller than the Adjusted </w:t>
      </w:r>
      <w:r w:rsidRPr="002A514B">
        <w:rPr>
          <w:rFonts w:eastAsiaTheme="minorEastAsia"/>
          <w:i/>
        </w:rPr>
        <w:t>R</w:t>
      </w:r>
      <w:r w:rsidRPr="002A514B">
        <w:rPr>
          <w:rFonts w:eastAsiaTheme="minorEastAsia"/>
          <w:i/>
          <w:vertAlign w:val="superscript"/>
        </w:rPr>
        <w:t>2</w:t>
      </w:r>
      <w:r w:rsidRPr="002A514B">
        <w:rPr>
          <w:rFonts w:eastAsiaTheme="minorEastAsia"/>
        </w:rPr>
        <w:t xml:space="preserve"> statistic would indicate overfitting of the model from too many independent variables.</w:t>
      </w:r>
    </w:p>
    <w:p w14:paraId="7E479C3A" w14:textId="77777777" w:rsidR="00AE395C" w:rsidRPr="002A514B" w:rsidRDefault="00AE395C" w:rsidP="00AE395C"/>
    <w:p w14:paraId="1C415C87" w14:textId="77777777" w:rsidR="00AE395C" w:rsidRPr="002A514B" w:rsidRDefault="00AE395C" w:rsidP="00AE395C"/>
    <w:p w14:paraId="12875979" w14:textId="3B612E07" w:rsidR="00AE395C" w:rsidRPr="002A514B" w:rsidRDefault="00AE395C" w:rsidP="00AE395C">
      <w:pPr>
        <w:pStyle w:val="NoSpacing"/>
        <w:ind w:left="993" w:hanging="993"/>
        <w:rPr>
          <w:lang w:val="en-US"/>
        </w:rPr>
      </w:pPr>
      <w:bookmarkStart w:id="50" w:name="_Ref142928289"/>
      <w:bookmarkStart w:id="51" w:name="_Toc142952412"/>
      <w:bookmarkStart w:id="52" w:name="_Toc145879319"/>
      <w:r w:rsidRPr="002A514B">
        <w:rPr>
          <w:lang w:val="en-US"/>
        </w:rPr>
        <w:lastRenderedPageBreak/>
        <w:t xml:space="preserve">Equity </w:t>
      </w:r>
      <w:r w:rsidR="00EC36D5" w:rsidRPr="002A514B">
        <w:rPr>
          <w:lang w:val="en-US"/>
        </w:rPr>
        <w:t xml:space="preserve">Beliefs </w:t>
      </w:r>
      <w:r w:rsidRPr="002A514B">
        <w:rPr>
          <w:lang w:val="en-US"/>
        </w:rPr>
        <w:t>model regression output (household level)</w:t>
      </w:r>
      <w:bookmarkEnd w:id="50"/>
      <w:bookmarkEnd w:id="51"/>
      <w:bookmarkEnd w:id="52"/>
    </w:p>
    <w:p w14:paraId="6D8033CC" w14:textId="2B3E57DE" w:rsidR="00AE395C" w:rsidRPr="002A514B" w:rsidRDefault="00BD0EBF" w:rsidP="00AE395C">
      <w:r w:rsidRPr="002A514B">
        <w:rPr>
          <w:noProof/>
        </w:rPr>
        <w:drawing>
          <wp:inline distT="0" distB="0" distL="0" distR="0" wp14:anchorId="2C3BE742" wp14:editId="1402218F">
            <wp:extent cx="4105275" cy="3344644"/>
            <wp:effectExtent l="0" t="0" r="0" b="8255"/>
            <wp:docPr id="151202741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1197" cy="3349469"/>
                    </a:xfrm>
                    <a:prstGeom prst="rect">
                      <a:avLst/>
                    </a:prstGeom>
                    <a:noFill/>
                    <a:ln>
                      <a:noFill/>
                    </a:ln>
                  </pic:spPr>
                </pic:pic>
              </a:graphicData>
            </a:graphic>
          </wp:inline>
        </w:drawing>
      </w:r>
    </w:p>
    <w:p w14:paraId="6A5005D4" w14:textId="25337DFF" w:rsidR="00AE395C" w:rsidRPr="002A514B" w:rsidRDefault="000C0AD2" w:rsidP="000C0AD2">
      <w:r w:rsidRPr="002A514B">
        <w:t xml:space="preserve">Independent variables: </w:t>
      </w:r>
      <m:oMath>
        <m:r>
          <w:rPr>
            <w:rFonts w:ascii="Cambria Math" w:hAnsi="Cambria Math"/>
          </w:rPr>
          <m:t>Gini_disp×Huber_a</m:t>
        </m:r>
      </m:oMath>
      <w:r w:rsidRPr="002A514B">
        <w:rPr>
          <w:rFonts w:eastAsiaTheme="minorEastAsia"/>
        </w:rPr>
        <w:t xml:space="preserve">, </w:t>
      </w:r>
      <m:oMath>
        <m:r>
          <w:rPr>
            <w:rFonts w:ascii="Cambria Math" w:hAnsi="Cambria Math"/>
          </w:rPr>
          <m:t>rel_red×Huber_a</m:t>
        </m:r>
      </m:oMath>
      <w:r w:rsidRPr="002A514B">
        <w:rPr>
          <w:rFonts w:eastAsiaTheme="minorEastAsia"/>
        </w:rPr>
        <w:t xml:space="preserve">, </w:t>
      </w:r>
      <m:oMath>
        <m:r>
          <w:rPr>
            <w:rFonts w:ascii="Cambria Math" w:hAnsi="Cambria Math"/>
          </w:rPr>
          <m:t>Gini_mkt</m:t>
        </m:r>
      </m:oMath>
      <w:r w:rsidRPr="002A514B">
        <w:rPr>
          <w:rFonts w:eastAsiaTheme="minorEastAsia"/>
        </w:rPr>
        <w:t xml:space="preserve">, </w:t>
      </w:r>
      <m:oMath>
        <m:r>
          <w:rPr>
            <w:rFonts w:ascii="Cambria Math" w:hAnsi="Cambria Math"/>
          </w:rPr>
          <m:t>irr</m:t>
        </m:r>
      </m:oMath>
      <w:r w:rsidRPr="002A514B">
        <w:rPr>
          <w:rFonts w:eastAsiaTheme="minorEastAsia"/>
        </w:rPr>
        <w:t xml:space="preserve">, </w:t>
      </w:r>
      <m:oMath>
        <m:r>
          <w:rPr>
            <w:rFonts w:ascii="Cambria Math" w:eastAsiaTheme="minorEastAsia" w:hAnsi="Cambria Math"/>
          </w:rPr>
          <m:t>l</m:t>
        </m:r>
        <m:r>
          <w:rPr>
            <w:rFonts w:ascii="Cambria Math" w:hAnsi="Cambria Math"/>
          </w:rPr>
          <m:t>absh</m:t>
        </m:r>
      </m:oMath>
      <w:r w:rsidRPr="002A514B">
        <w:rPr>
          <w:rFonts w:eastAsiaTheme="minorEastAsia"/>
        </w:rPr>
        <w:t xml:space="preserve">, </w:t>
      </w:r>
      <m:oMath>
        <m:r>
          <w:rPr>
            <w:rFonts w:ascii="Cambria Math" w:hAnsi="Cambria Math"/>
          </w:rPr>
          <m:t>emp</m:t>
        </m:r>
      </m:oMath>
      <w:r w:rsidRPr="002A514B">
        <w:rPr>
          <w:rFonts w:eastAsiaTheme="minorEastAsia"/>
        </w:rPr>
        <w:t xml:space="preserve">, </w:t>
      </w:r>
      <m:oMath>
        <m:r>
          <w:rPr>
            <w:rFonts w:ascii="Cambria Math" w:hAnsi="Cambria Math"/>
          </w:rPr>
          <m:t>EFI_a</m:t>
        </m:r>
      </m:oMath>
      <w:r w:rsidRPr="002A514B">
        <w:rPr>
          <w:rFonts w:eastAsiaTheme="minorEastAsia"/>
        </w:rPr>
        <w:t>,</w:t>
      </w:r>
      <w:r w:rsidR="00756E0B" w:rsidRPr="002A514B">
        <w:rPr>
          <w:rFonts w:ascii="Cambria Math" w:hAnsi="Cambria Math"/>
          <w:i/>
        </w:rPr>
        <w:t xml:space="preserve"> </w:t>
      </w:r>
      <m:oMath>
        <m:r>
          <w:rPr>
            <w:rFonts w:ascii="Cambria Math" w:hAnsi="Cambria Math"/>
          </w:rPr>
          <m:t>rgdpnapc</m:t>
        </m:r>
      </m:oMath>
      <w:r w:rsidR="00756E0B" w:rsidRPr="002A514B">
        <w:rPr>
          <w:rFonts w:eastAsiaTheme="minorEastAsia"/>
        </w:rPr>
        <w:t xml:space="preserve">, </w:t>
      </w:r>
      <m:oMath>
        <m:r>
          <w:rPr>
            <w:rFonts w:ascii="Cambria Math" w:hAnsi="Cambria Math"/>
          </w:rPr>
          <m:t>t</m:t>
        </m:r>
      </m:oMath>
      <w:r w:rsidRPr="002A514B">
        <w:rPr>
          <w:rFonts w:eastAsiaTheme="minorEastAsia"/>
        </w:rPr>
        <w:t xml:space="preserve">. </w:t>
      </w:r>
      <w:r w:rsidR="00363770" w:rsidRPr="002A514B">
        <w:rPr>
          <w:rFonts w:eastAsiaTheme="minorEastAsia"/>
        </w:rPr>
        <w:t>D</w:t>
      </w:r>
      <w:r w:rsidRPr="002A514B">
        <w:t>ummy variables as follows: Country = 25, Year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oMath>
      <w:r w:rsidRPr="002A514B">
        <w:t>) = 17, Outliers beyond ±3SD = 1</w:t>
      </w:r>
      <w:r w:rsidR="001C0BAB" w:rsidRPr="002A514B">
        <w:t>.</w:t>
      </w:r>
    </w:p>
    <w:p w14:paraId="00733F70" w14:textId="77777777" w:rsidR="001C0BAB" w:rsidRPr="002A514B" w:rsidRDefault="001C0BAB" w:rsidP="000C0AD2"/>
    <w:p w14:paraId="1AFC8570" w14:textId="1D92759A" w:rsidR="00AE395C" w:rsidRPr="002A514B" w:rsidRDefault="00AE395C" w:rsidP="00AE395C">
      <w:pPr>
        <w:pStyle w:val="NoSpacing"/>
        <w:ind w:left="993" w:hanging="993"/>
        <w:rPr>
          <w:lang w:val="en-US"/>
        </w:rPr>
      </w:pPr>
      <w:bookmarkStart w:id="53" w:name="_Ref142928297"/>
      <w:bookmarkStart w:id="54" w:name="_Toc142952413"/>
      <w:bookmarkStart w:id="55" w:name="_Toc145879320"/>
      <w:r w:rsidRPr="002A514B">
        <w:rPr>
          <w:lang w:val="en-US"/>
        </w:rPr>
        <w:t>Equity</w:t>
      </w:r>
      <w:r w:rsidR="00EC36D5" w:rsidRPr="002A514B">
        <w:rPr>
          <w:lang w:val="en-US"/>
        </w:rPr>
        <w:t xml:space="preserve"> Beliefs</w:t>
      </w:r>
      <w:r w:rsidRPr="002A514B">
        <w:rPr>
          <w:lang w:val="en-US"/>
        </w:rPr>
        <w:t xml:space="preserve"> model regression output (individual level)</w:t>
      </w:r>
      <w:bookmarkEnd w:id="53"/>
      <w:bookmarkEnd w:id="54"/>
      <w:bookmarkEnd w:id="55"/>
    </w:p>
    <w:p w14:paraId="6497D0FC" w14:textId="2780FCF9" w:rsidR="00AE395C" w:rsidRPr="002A514B" w:rsidRDefault="00BD0EBF" w:rsidP="00AE395C">
      <w:r w:rsidRPr="002A514B">
        <w:rPr>
          <w:noProof/>
        </w:rPr>
        <w:drawing>
          <wp:inline distT="0" distB="0" distL="0" distR="0" wp14:anchorId="0DB79C76" wp14:editId="1A759209">
            <wp:extent cx="4201200" cy="3214800"/>
            <wp:effectExtent l="0" t="0" r="0" b="5080"/>
            <wp:docPr id="59367819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01200" cy="3214800"/>
                    </a:xfrm>
                    <a:prstGeom prst="rect">
                      <a:avLst/>
                    </a:prstGeom>
                    <a:noFill/>
                    <a:ln>
                      <a:noFill/>
                    </a:ln>
                  </pic:spPr>
                </pic:pic>
              </a:graphicData>
            </a:graphic>
          </wp:inline>
        </w:drawing>
      </w:r>
    </w:p>
    <w:p w14:paraId="1D6BC865" w14:textId="0A954F1B" w:rsidR="001C0BAB" w:rsidRPr="002A514B" w:rsidRDefault="001C0BAB" w:rsidP="001C0BAB">
      <w:r w:rsidRPr="002A514B">
        <w:t xml:space="preserve">Independent variables: </w:t>
      </w:r>
      <m:oMath>
        <m:r>
          <w:rPr>
            <w:rFonts w:ascii="Cambria Math" w:hAnsi="Cambria Math"/>
          </w:rPr>
          <m:t>Gini_i_post×Huber_a</m:t>
        </m:r>
      </m:oMath>
      <w:r w:rsidRPr="002A514B">
        <w:rPr>
          <w:rFonts w:eastAsiaTheme="minorEastAsia"/>
        </w:rPr>
        <w:t xml:space="preserve">, </w:t>
      </w:r>
      <m:oMath>
        <m:r>
          <w:rPr>
            <w:rFonts w:ascii="Cambria Math" w:hAnsi="Cambria Math"/>
          </w:rPr>
          <m:t>rel_i_red×Huber_a</m:t>
        </m:r>
      </m:oMath>
      <w:r w:rsidRPr="002A514B">
        <w:rPr>
          <w:rFonts w:eastAsiaTheme="minorEastAsia"/>
        </w:rPr>
        <w:t xml:space="preserve">, </w:t>
      </w:r>
      <m:oMath>
        <m:r>
          <w:rPr>
            <w:rFonts w:ascii="Cambria Math" w:hAnsi="Cambria Math"/>
          </w:rPr>
          <m:t>Gini_i_pre</m:t>
        </m:r>
      </m:oMath>
      <w:r w:rsidRPr="002A514B">
        <w:rPr>
          <w:rFonts w:eastAsiaTheme="minorEastAsia"/>
        </w:rPr>
        <w:t xml:space="preserve">, </w:t>
      </w:r>
      <m:oMath>
        <m:r>
          <w:rPr>
            <w:rFonts w:ascii="Cambria Math" w:hAnsi="Cambria Math"/>
          </w:rPr>
          <m:t>irr</m:t>
        </m:r>
      </m:oMath>
      <w:r w:rsidRPr="002A514B">
        <w:rPr>
          <w:rFonts w:eastAsiaTheme="minorEastAsia"/>
        </w:rPr>
        <w:t xml:space="preserve">, </w:t>
      </w:r>
      <m:oMath>
        <m:r>
          <w:rPr>
            <w:rFonts w:ascii="Cambria Math" w:eastAsiaTheme="minorEastAsia" w:hAnsi="Cambria Math"/>
          </w:rPr>
          <m:t>l</m:t>
        </m:r>
        <m:r>
          <w:rPr>
            <w:rFonts w:ascii="Cambria Math" w:hAnsi="Cambria Math"/>
          </w:rPr>
          <m:t>absh</m:t>
        </m:r>
      </m:oMath>
      <w:r w:rsidRPr="002A514B">
        <w:rPr>
          <w:rFonts w:eastAsiaTheme="minorEastAsia"/>
        </w:rPr>
        <w:t xml:space="preserve">, </w:t>
      </w:r>
      <m:oMath>
        <m:r>
          <w:rPr>
            <w:rFonts w:ascii="Cambria Math" w:hAnsi="Cambria Math"/>
          </w:rPr>
          <m:t>emp</m:t>
        </m:r>
      </m:oMath>
      <w:r w:rsidRPr="002A514B">
        <w:rPr>
          <w:rFonts w:eastAsiaTheme="minorEastAsia"/>
        </w:rPr>
        <w:t xml:space="preserve">, </w:t>
      </w:r>
      <m:oMath>
        <m:r>
          <w:rPr>
            <w:rFonts w:ascii="Cambria Math" w:hAnsi="Cambria Math"/>
          </w:rPr>
          <m:t>EFI_a</m:t>
        </m:r>
      </m:oMath>
      <w:r w:rsidRPr="002A514B">
        <w:rPr>
          <w:rFonts w:eastAsiaTheme="minorEastAsia"/>
        </w:rPr>
        <w:t xml:space="preserve">, </w:t>
      </w:r>
      <m:oMath>
        <m:r>
          <w:rPr>
            <w:rFonts w:ascii="Cambria Math" w:hAnsi="Cambria Math"/>
          </w:rPr>
          <m:t>rgdpnapc</m:t>
        </m:r>
      </m:oMath>
      <w:r w:rsidR="00756E0B" w:rsidRPr="002A514B">
        <w:rPr>
          <w:rFonts w:eastAsiaTheme="minorEastAsia"/>
        </w:rPr>
        <w:t xml:space="preserve">, </w:t>
      </w:r>
      <m:oMath>
        <m:r>
          <w:rPr>
            <w:rFonts w:ascii="Cambria Math" w:hAnsi="Cambria Math"/>
          </w:rPr>
          <m:t>t</m:t>
        </m:r>
      </m:oMath>
      <w:r w:rsidRPr="002A514B">
        <w:rPr>
          <w:rFonts w:eastAsiaTheme="minorEastAsia"/>
        </w:rPr>
        <w:t xml:space="preserve">. </w:t>
      </w:r>
      <w:r w:rsidR="00363770" w:rsidRPr="002A514B">
        <w:rPr>
          <w:rFonts w:eastAsiaTheme="minorEastAsia"/>
        </w:rPr>
        <w:t>D</w:t>
      </w:r>
      <w:r w:rsidRPr="002A514B">
        <w:t>ummy variables: Country = 22, Year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oMath>
      <w:r w:rsidRPr="002A514B">
        <w:t>) = 17, Outliers beyond ±3SD = 1.</w:t>
      </w:r>
    </w:p>
    <w:p w14:paraId="50199BCE" w14:textId="28E10A79" w:rsidR="00AE395C" w:rsidRPr="002A514B" w:rsidRDefault="00AE395C" w:rsidP="00232317">
      <w:pPr>
        <w:pStyle w:val="Heading2"/>
      </w:pPr>
      <w:bookmarkStart w:id="56" w:name="_Toc142952414"/>
      <w:bookmarkStart w:id="57" w:name="_Toc145879321"/>
      <w:r w:rsidRPr="002A514B">
        <w:lastRenderedPageBreak/>
        <w:t>Predist</w:t>
      </w:r>
      <w:r w:rsidR="00EC36D5" w:rsidRPr="002A514B">
        <w:t>ribution</w:t>
      </w:r>
      <w:r w:rsidRPr="002A514B">
        <w:t xml:space="preserve"> Model Specification</w:t>
      </w:r>
      <w:bookmarkEnd w:id="56"/>
      <w:bookmarkEnd w:id="57"/>
    </w:p>
    <w:p w14:paraId="35D36AEE" w14:textId="77777777" w:rsidR="00AE395C" w:rsidRPr="002A514B" w:rsidRDefault="00AE395C" w:rsidP="00AE395C">
      <w:r w:rsidRPr="002A514B">
        <w:rPr>
          <w:noProof/>
          <w:lang w:eastAsia="en-GB"/>
        </w:rPr>
        <w:drawing>
          <wp:inline distT="0" distB="0" distL="0" distR="0" wp14:anchorId="19939EDB" wp14:editId="4F4209AE">
            <wp:extent cx="5731510" cy="41965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4196576"/>
                    </a:xfrm>
                    <a:prstGeom prst="rect">
                      <a:avLst/>
                    </a:prstGeom>
                    <a:noFill/>
                    <a:ln>
                      <a:noFill/>
                    </a:ln>
                  </pic:spPr>
                </pic:pic>
              </a:graphicData>
            </a:graphic>
          </wp:inline>
        </w:drawing>
      </w:r>
    </w:p>
    <w:p w14:paraId="0ABA0EFF" w14:textId="77777777" w:rsidR="00AE395C" w:rsidRPr="002A514B" w:rsidRDefault="00AE395C" w:rsidP="00AE395C"/>
    <w:p w14:paraId="7A5838F0" w14:textId="77777777" w:rsidR="00B8290D" w:rsidRPr="002A514B" w:rsidRDefault="00B8290D" w:rsidP="00B8290D">
      <w:r w:rsidRPr="002A514B">
        <w:t xml:space="preserve">The Predistribution model is constructed according to Predistribution Theory with the dependent variable being disposable income inequality and the elements of Predistribution comprising market income inequality and relative redistribution. The Predistribution model, therefore, estimates the process of Predistribution that gives rise to disposable income inequality but where the variables are all contemporaneous, disposable income inequality in this model is based on an accounting identity consistent with the ONS definition of disposable income, and there is no causal dimension to the model. Inclusion of Equity Beliefs variables adds a causal dimension to the estimated parameters, whereby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2A514B">
        <w:t xml:space="preserve"> equity benchmarks may be analysed for their influence on future levels of disposable income inequality, via policy's effect on market income inequality and redistribution. Models 1 to 7 are estimated by OLS and the variables are demeaned in models 8 to 10. In each of the models 1 through to 10, the F-statistics are significant at an alpha level of 0.001. </w:t>
      </w:r>
    </w:p>
    <w:p w14:paraId="1EDDFAA5" w14:textId="31E260AE" w:rsidR="00AE395C" w:rsidRPr="002A514B" w:rsidRDefault="00AE395C" w:rsidP="00AE395C">
      <w:r w:rsidRPr="002A514B">
        <w:t>Model 1 is the archetypal Predist</w:t>
      </w:r>
      <w:r w:rsidR="00BA26A0" w:rsidRPr="002A514B">
        <w:t>ribution</w:t>
      </w:r>
      <w:r w:rsidRPr="002A514B">
        <w:t xml:space="preserve"> model that includes the Equity Beliefs variable </w:t>
      </w:r>
      <m:oMath>
        <m:r>
          <w:rPr>
            <w:rFonts w:ascii="Cambria Math" w:hAnsi="Cambria Math"/>
          </w:rPr>
          <m:t>Huber_a</m:t>
        </m:r>
      </m:oMath>
      <w:r w:rsidRPr="002A514B">
        <w:t>, which represents an aggregate t</w:t>
      </w:r>
      <w:r w:rsidRPr="002A514B">
        <w:rPr>
          <w:vertAlign w:val="subscript"/>
        </w:rPr>
        <w:t>0</w:t>
      </w:r>
      <w:r w:rsidRPr="002A514B">
        <w:t xml:space="preserve"> equity benchmark. The Equity Beliefs variable is shown to be non-significant.</w:t>
      </w:r>
    </w:p>
    <w:p w14:paraId="44E553A6" w14:textId="77777777" w:rsidR="00AE395C" w:rsidRPr="002A514B" w:rsidRDefault="00AE395C" w:rsidP="00AE395C">
      <w:r w:rsidRPr="002A514B">
        <w:t>In model 2, a policy variable is substituted for the t</w:t>
      </w:r>
      <w:r w:rsidRPr="002A514B">
        <w:rPr>
          <w:vertAlign w:val="subscript"/>
        </w:rPr>
        <w:t>0</w:t>
      </w:r>
      <w:r w:rsidRPr="002A514B">
        <w:t xml:space="preserve"> equity benchmark variable and is significant at an alpha level of 0.05.</w:t>
      </w:r>
    </w:p>
    <w:p w14:paraId="2CC6DAA0" w14:textId="77777777" w:rsidR="00AE395C" w:rsidRPr="002A514B" w:rsidRDefault="00AE395C" w:rsidP="00AE395C">
      <w:r w:rsidRPr="002A514B">
        <w:t>The t</w:t>
      </w:r>
      <w:r w:rsidRPr="002A514B">
        <w:rPr>
          <w:vertAlign w:val="subscript"/>
        </w:rPr>
        <w:t>0</w:t>
      </w:r>
      <w:r w:rsidRPr="002A514B">
        <w:t xml:space="preserve"> equity benchmark in model 3 interacts significantly with market income inequality and relative redistribution but </w:t>
      </w:r>
      <w:r w:rsidR="00745358" w:rsidRPr="002A514B">
        <w:t xml:space="preserve">where market income inequality and relative redistribution are also present in the model </w:t>
      </w:r>
      <w:r w:rsidRPr="002A514B">
        <w:t>these interaction effects are non-significant</w:t>
      </w:r>
      <w:r w:rsidR="00745358" w:rsidRPr="002A514B">
        <w:t xml:space="preserve"> in models 4 and 5</w:t>
      </w:r>
      <w:r w:rsidRPr="002A514B">
        <w:t xml:space="preserve">. From this observation, we learn that the elements of Predistribution explain most of the variance of disposable </w:t>
      </w:r>
      <w:r w:rsidRPr="002A514B">
        <w:lastRenderedPageBreak/>
        <w:t>income inequality, which may render the Equity Beliefs variables non-significant whereas policy variables that explain policy differences between countries may be significant.</w:t>
      </w:r>
    </w:p>
    <w:p w14:paraId="63BE055D" w14:textId="7F83225E" w:rsidR="00AE395C" w:rsidRPr="002A514B" w:rsidRDefault="00AE395C" w:rsidP="00AE395C">
      <w:r w:rsidRPr="002A514B">
        <w:t>In model 6, control variables for labour and capital market conditions are added to the archetypal Predist</w:t>
      </w:r>
      <w:r w:rsidR="00BA26A0" w:rsidRPr="002A514B">
        <w:t>ribution</w:t>
      </w:r>
      <w:r w:rsidRPr="002A514B">
        <w:t xml:space="preserve"> model, which improves the model fit according to the </w:t>
      </w:r>
      <w:r w:rsidRPr="002A514B">
        <w:rPr>
          <w:i/>
        </w:rPr>
        <w:t>R</w:t>
      </w:r>
      <w:r w:rsidRPr="002A514B">
        <w:rPr>
          <w:i/>
          <w:vertAlign w:val="superscript"/>
        </w:rPr>
        <w:t>2</w:t>
      </w:r>
      <w:r w:rsidRPr="002A514B">
        <w:t>, SER, AIC and AIC/n statistics.</w:t>
      </w:r>
    </w:p>
    <w:p w14:paraId="0BE0A771" w14:textId="77777777" w:rsidR="00AE395C" w:rsidRPr="002A514B" w:rsidRDefault="00AE395C" w:rsidP="00AE395C">
      <w:r w:rsidRPr="002A514B">
        <w:t>In model 7, the observations of t</w:t>
      </w:r>
      <w:r w:rsidRPr="002A514B">
        <w:rPr>
          <w:vertAlign w:val="subscript"/>
        </w:rPr>
        <w:t>+1</w:t>
      </w:r>
      <w:r w:rsidRPr="002A514B">
        <w:t xml:space="preserve"> are pooled with those of t</w:t>
      </w:r>
      <w:r w:rsidRPr="002A514B">
        <w:rPr>
          <w:vertAlign w:val="subscript"/>
        </w:rPr>
        <w:t>0</w:t>
      </w:r>
      <w:r w:rsidRPr="002A514B">
        <w:t>. This improves the regression statistics further together with the reliability of the estimates and the model's generalisability as the additional observations increases the model's degrees of freedom. The t</w:t>
      </w:r>
      <w:r w:rsidRPr="002A514B">
        <w:rPr>
          <w:vertAlign w:val="subscript"/>
        </w:rPr>
        <w:t>+1</w:t>
      </w:r>
      <w:r w:rsidRPr="002A514B">
        <w:t xml:space="preserve"> variables are lagged with respect to t</w:t>
      </w:r>
      <w:r w:rsidRPr="002A514B">
        <w:rPr>
          <w:vertAlign w:val="subscript"/>
        </w:rPr>
        <w:t>0</w:t>
      </w:r>
      <w:r w:rsidRPr="002A514B">
        <w:t xml:space="preserve"> Equity Beliefs. This increases the relevance of the t</w:t>
      </w:r>
      <w:r w:rsidRPr="002A514B">
        <w:rPr>
          <w:vertAlign w:val="subscript"/>
        </w:rPr>
        <w:t>0</w:t>
      </w:r>
      <w:r w:rsidRPr="002A514B">
        <w:t xml:space="preserve"> equity benchmark so that it is significant at an alpha level of 0.05.</w:t>
      </w:r>
    </w:p>
    <w:p w14:paraId="448447AF" w14:textId="77777777" w:rsidR="00AE395C" w:rsidRPr="002A514B" w:rsidRDefault="00AE395C" w:rsidP="00AE395C">
      <w:r w:rsidRPr="002A514B">
        <w:t>Model 8 is a fixed effects (FE) model. Demeaning removes time-invariant country-level characteristics and improves the fit of the model by all the regression statistics.</w:t>
      </w:r>
    </w:p>
    <w:p w14:paraId="21BECFCE" w14:textId="77777777" w:rsidR="00AE395C" w:rsidRPr="002A514B" w:rsidRDefault="00AE395C" w:rsidP="00AE395C">
      <w:r w:rsidRPr="002A514B">
        <w:t>In model 9, the policy variable improves the model fit further. Although the policy variable is non-significant, it nevertheless explains a proportion of the variance of disposable income inequality. Consequently, where in model 8 the Equity Beliefs variable is marginally significant; in model 9 it is non-significant.</w:t>
      </w:r>
    </w:p>
    <w:p w14:paraId="3036D366" w14:textId="77777777" w:rsidR="00AE395C" w:rsidRPr="002A514B" w:rsidRDefault="00AE395C" w:rsidP="00AE395C">
      <w:r w:rsidRPr="002A514B">
        <w:t xml:space="preserve">Inclusion of the interaction term for the policy variable and Equity Beliefs in model 10 generates untenable variance inflation &gt;10, due to the small sample size </w:t>
      </w:r>
      <w:r w:rsidRPr="002A514B">
        <w:fldChar w:fldCharType="begin"/>
      </w:r>
      <w:r w:rsidRPr="002A514B">
        <w:instrText xml:space="preserve"> ADDIN EN.CITE &lt;EndNote&gt;&lt;Cite&gt;&lt;Author&gt;Wooldridge&lt;/Author&gt;&lt;Year&gt;2016&lt;/Year&gt;&lt;RecNum&gt;1281&lt;/RecNum&gt;&lt;Pages&gt;85&lt;/Pages&gt;&lt;DisplayText&gt;(Wooldridge, 2016, p. 85)&lt;/DisplayText&gt;&lt;record&gt;&lt;rec-number&gt;1281&lt;/rec-number&gt;&lt;foreign-keys&gt;&lt;key app="EN" db-id="rrezazf2nx9ex2ee0zo55t532f0tw90t2rf0" timestamp="1692213132" guid="92171cb9-4171-47be-99b2-db3abedbe4c5"&gt;1281&lt;/key&gt;&lt;/foreign-keys&gt;&lt;ref-type name="Book"&gt;6&lt;/ref-type&gt;&lt;contributors&gt;&lt;authors&gt;&lt;author&gt;Wooldridge, Jeffrey M.&lt;/author&gt;&lt;/authors&gt;&lt;/contributors&gt;&lt;titles&gt;&lt;title&gt;Introductory Econometrics : a modern approach&lt;/title&gt;&lt;/titles&gt;&lt;edition&gt;Sixth&lt;/edition&gt;&lt;dates&gt;&lt;year&gt;2016&lt;/year&gt;&lt;/dates&gt;&lt;pub-location&gt;Boston, MA&lt;/pub-location&gt;&lt;publisher&gt;Cengage Learning&lt;/publisher&gt;&lt;isbn&gt;ISBN: 978-1-305-27010-7&lt;/isbn&gt;&lt;urls&gt;&lt;related-urls&gt;&lt;url&gt;https://search.library.wisc.edu/catalog/9910154038602121&lt;/url&gt;&lt;/related-urls&gt;&lt;/urls&gt;&lt;custom1&gt;Models &amp;amp; Metrics, Stats&lt;/custom1&gt;&lt;/record&gt;&lt;/Cite&gt;&lt;/EndNote&gt;</w:instrText>
      </w:r>
      <w:r w:rsidRPr="002A514B">
        <w:fldChar w:fldCharType="separate"/>
      </w:r>
      <w:r w:rsidRPr="002A514B">
        <w:rPr>
          <w:noProof/>
        </w:rPr>
        <w:t>(Wooldridge, 2016, p. 85)</w:t>
      </w:r>
      <w:r w:rsidRPr="002A514B">
        <w:fldChar w:fldCharType="end"/>
      </w:r>
      <w:r w:rsidRPr="002A514B">
        <w:t>.</w:t>
      </w:r>
    </w:p>
    <w:p w14:paraId="4258C76C" w14:textId="77777777" w:rsidR="00AE395C" w:rsidRPr="002A514B" w:rsidRDefault="00AE395C" w:rsidP="00AE395C"/>
    <w:p w14:paraId="62E74C21" w14:textId="362E534A" w:rsidR="00AE395C" w:rsidRPr="002A514B" w:rsidRDefault="00AE395C" w:rsidP="00AE395C">
      <w:pPr>
        <w:pStyle w:val="NoSpacing"/>
      </w:pPr>
      <w:bookmarkStart w:id="58" w:name="_Toc142952415"/>
      <w:bookmarkStart w:id="59" w:name="_Toc145879322"/>
      <w:r w:rsidRPr="002A514B">
        <w:t>Predist</w:t>
      </w:r>
      <w:r w:rsidR="00A578DC" w:rsidRPr="002A514B">
        <w:t>ribution</w:t>
      </w:r>
      <w:r w:rsidRPr="002A514B">
        <w:t xml:space="preserve"> model residuals plots</w:t>
      </w:r>
      <w:bookmarkEnd w:id="58"/>
      <w:bookmarkEnd w:id="59"/>
    </w:p>
    <w:p w14:paraId="5E607C48" w14:textId="77777777" w:rsidR="00AE395C" w:rsidRPr="002A514B" w:rsidRDefault="00AE395C" w:rsidP="00AE395C">
      <w:r w:rsidRPr="002A514B">
        <w:rPr>
          <w:noProof/>
          <w:lang w:eastAsia="en-GB"/>
        </w:rPr>
        <w:drawing>
          <wp:inline distT="0" distB="0" distL="0" distR="0" wp14:anchorId="337A350C" wp14:editId="7251E938">
            <wp:extent cx="2829600" cy="1702800"/>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29600" cy="1702800"/>
                    </a:xfrm>
                    <a:prstGeom prst="rect">
                      <a:avLst/>
                    </a:prstGeom>
                    <a:noFill/>
                    <a:ln>
                      <a:noFill/>
                    </a:ln>
                  </pic:spPr>
                </pic:pic>
              </a:graphicData>
            </a:graphic>
          </wp:inline>
        </w:drawing>
      </w:r>
      <w:r w:rsidRPr="002A514B">
        <w:t xml:space="preserve"> </w:t>
      </w:r>
      <w:r w:rsidRPr="002A514B">
        <w:rPr>
          <w:noProof/>
          <w:lang w:eastAsia="en-GB"/>
        </w:rPr>
        <w:drawing>
          <wp:inline distT="0" distB="0" distL="0" distR="0" wp14:anchorId="4B6CFDB5" wp14:editId="2F4DE60A">
            <wp:extent cx="2829600" cy="1674000"/>
            <wp:effectExtent l="0" t="0" r="889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29600" cy="1674000"/>
                    </a:xfrm>
                    <a:prstGeom prst="rect">
                      <a:avLst/>
                    </a:prstGeom>
                    <a:noFill/>
                    <a:ln>
                      <a:noFill/>
                    </a:ln>
                  </pic:spPr>
                </pic:pic>
              </a:graphicData>
            </a:graphic>
          </wp:inline>
        </w:drawing>
      </w:r>
    </w:p>
    <w:p w14:paraId="368CBE62" w14:textId="77777777" w:rsidR="00AE395C" w:rsidRPr="002A514B" w:rsidRDefault="00AE395C" w:rsidP="00AE395C"/>
    <w:p w14:paraId="5070827A" w14:textId="22B1492C" w:rsidR="00AE395C" w:rsidRPr="002A514B" w:rsidRDefault="00AE395C" w:rsidP="00AE395C">
      <w:r w:rsidRPr="002A514B">
        <w:t xml:space="preserve">Figures </w:t>
      </w:r>
      <w:r w:rsidR="00232317" w:rsidRPr="002A514B">
        <w:t>1.</w:t>
      </w:r>
      <w:r w:rsidR="008B1F95" w:rsidRPr="002A514B">
        <w:t>4</w:t>
      </w:r>
      <w:r w:rsidR="00232317" w:rsidRPr="002A514B">
        <w:t>.</w:t>
      </w:r>
      <w:r w:rsidR="008B1F95" w:rsidRPr="002A514B">
        <w:t>2</w:t>
      </w:r>
      <w:r w:rsidR="00232317" w:rsidRPr="002A514B">
        <w:t xml:space="preserve"> </w:t>
      </w:r>
      <w:r w:rsidRPr="002A514B">
        <w:t xml:space="preserve">and </w:t>
      </w:r>
      <w:r w:rsidR="00232317" w:rsidRPr="002A514B">
        <w:t>1.</w:t>
      </w:r>
      <w:r w:rsidR="008B1F95" w:rsidRPr="002A514B">
        <w:t>4</w:t>
      </w:r>
      <w:r w:rsidR="00232317" w:rsidRPr="002A514B">
        <w:t>.</w:t>
      </w:r>
      <w:r w:rsidR="008B1F95" w:rsidRPr="002A514B">
        <w:t>3</w:t>
      </w:r>
      <w:r w:rsidR="00975AC2" w:rsidRPr="002A514B">
        <w:t xml:space="preserve"> display</w:t>
      </w:r>
      <w:r w:rsidRPr="002A514B">
        <w:t xml:space="preserve"> the regression data and core variable estimates for ten regressions of the </w:t>
      </w:r>
      <m:oMath>
        <m:r>
          <w:rPr>
            <w:rFonts w:ascii="Cambria Math" w:hAnsi="Cambria Math"/>
          </w:rPr>
          <m:t>Huber_a</m:t>
        </m:r>
      </m:oMath>
      <w:r w:rsidRPr="002A514B">
        <w:t xml:space="preserve"> t</w:t>
      </w:r>
      <w:r w:rsidRPr="002A514B">
        <w:rPr>
          <w:vertAlign w:val="subscript"/>
        </w:rPr>
        <w:t>0</w:t>
      </w:r>
      <w:r w:rsidRPr="002A514B">
        <w:t xml:space="preserve"> equity benchmark of model 9. The point estimates of the control variables are not of interest in the intertemporal correlation analyses and are not shown. The</w:t>
      </w:r>
      <w:r w:rsidRPr="002A514B">
        <w:rPr>
          <w:rFonts w:eastAsiaTheme="minorEastAsia"/>
        </w:rPr>
        <w:t xml:space="preserve"> parameters in the Predist columns are the sum of the parameters appearing in the </w:t>
      </w:r>
      <w:r w:rsidR="00BA26A0" w:rsidRPr="002A514B">
        <w:rPr>
          <w:rFonts w:eastAsiaTheme="minorEastAsia"/>
        </w:rPr>
        <w:t>Gini_mkt</w:t>
      </w:r>
      <w:r w:rsidRPr="002A514B">
        <w:rPr>
          <w:rFonts w:eastAsiaTheme="minorEastAsia"/>
        </w:rPr>
        <w:t xml:space="preserve"> and the </w:t>
      </w:r>
      <w:r w:rsidR="00BA26A0" w:rsidRPr="002A514B">
        <w:rPr>
          <w:rFonts w:eastAsiaTheme="minorEastAsia"/>
        </w:rPr>
        <w:t>rel_red</w:t>
      </w:r>
      <w:r w:rsidRPr="002A514B">
        <w:rPr>
          <w:rFonts w:eastAsiaTheme="minorEastAsia"/>
        </w:rPr>
        <w:t xml:space="preserve"> columns.</w:t>
      </w:r>
    </w:p>
    <w:p w14:paraId="074A6A1A" w14:textId="77777777" w:rsidR="00AE395C" w:rsidRPr="002A514B" w:rsidRDefault="00AE395C" w:rsidP="00AE395C"/>
    <w:p w14:paraId="4CD50A83" w14:textId="399AD244" w:rsidR="00AE395C" w:rsidRPr="002A514B" w:rsidRDefault="00AE395C" w:rsidP="00AE395C">
      <w:pPr>
        <w:pStyle w:val="NoSpacing"/>
        <w:ind w:left="993" w:hanging="993"/>
        <w:rPr>
          <w:lang w:val="en-US"/>
        </w:rPr>
      </w:pPr>
      <w:bookmarkStart w:id="60" w:name="_Ref142934574"/>
      <w:bookmarkStart w:id="61" w:name="_Toc142952416"/>
      <w:bookmarkStart w:id="62" w:name="_Toc145879323"/>
      <w:r w:rsidRPr="002A514B">
        <w:rPr>
          <w:lang w:val="en-US"/>
        </w:rPr>
        <w:lastRenderedPageBreak/>
        <w:t>Predist</w:t>
      </w:r>
      <w:r w:rsidR="00A578DC" w:rsidRPr="002A514B">
        <w:rPr>
          <w:lang w:val="en-US"/>
        </w:rPr>
        <w:t>ribution</w:t>
      </w:r>
      <w:r w:rsidRPr="002A514B">
        <w:rPr>
          <w:lang w:val="en-US"/>
        </w:rPr>
        <w:t xml:space="preserve"> model regression output (household level)</w:t>
      </w:r>
      <w:bookmarkEnd w:id="60"/>
      <w:bookmarkEnd w:id="61"/>
      <w:bookmarkEnd w:id="62"/>
    </w:p>
    <w:p w14:paraId="24011DBB" w14:textId="712995A7" w:rsidR="00AE395C" w:rsidRPr="002A514B" w:rsidRDefault="00783AC1" w:rsidP="00AE395C">
      <w:r w:rsidRPr="002A514B">
        <w:rPr>
          <w:noProof/>
        </w:rPr>
        <w:drawing>
          <wp:inline distT="0" distB="0" distL="0" distR="0" wp14:anchorId="51DD4CBD" wp14:editId="635F0913">
            <wp:extent cx="3859200" cy="3258000"/>
            <wp:effectExtent l="0" t="0" r="8255" b="0"/>
            <wp:docPr id="206197478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59200" cy="3258000"/>
                    </a:xfrm>
                    <a:prstGeom prst="rect">
                      <a:avLst/>
                    </a:prstGeom>
                    <a:noFill/>
                    <a:ln>
                      <a:noFill/>
                    </a:ln>
                  </pic:spPr>
                </pic:pic>
              </a:graphicData>
            </a:graphic>
          </wp:inline>
        </w:drawing>
      </w:r>
    </w:p>
    <w:p w14:paraId="79FF5975" w14:textId="309017A4" w:rsidR="002B69A4" w:rsidRPr="002A514B" w:rsidRDefault="002B69A4" w:rsidP="002B69A4">
      <w:r w:rsidRPr="002A514B">
        <w:t xml:space="preserve">Independent variables: </w:t>
      </w:r>
      <m:oMath>
        <m:r>
          <w:rPr>
            <w:rFonts w:ascii="Cambria Math" w:hAnsi="Cambria Math"/>
          </w:rPr>
          <m:t>Gini_mkt</m:t>
        </m:r>
      </m:oMath>
      <w:r w:rsidRPr="002A514B">
        <w:rPr>
          <w:rFonts w:eastAsiaTheme="minorEastAsia"/>
        </w:rPr>
        <w:t xml:space="preserve">, </w:t>
      </w:r>
      <m:oMath>
        <m:r>
          <w:rPr>
            <w:rFonts w:ascii="Cambria Math" w:hAnsi="Cambria Math"/>
          </w:rPr>
          <m:t>rel_red</m:t>
        </m:r>
      </m:oMath>
      <w:r w:rsidRPr="002A514B">
        <w:rPr>
          <w:rFonts w:eastAsiaTheme="minorEastAsia"/>
        </w:rPr>
        <w:t xml:space="preserve">, </w:t>
      </w:r>
      <m:oMath>
        <m:r>
          <w:rPr>
            <w:rFonts w:ascii="Cambria Math" w:hAnsi="Cambria Math"/>
          </w:rPr>
          <m:t>Huber_a</m:t>
        </m:r>
      </m:oMath>
      <w:r w:rsidRPr="002A514B">
        <w:rPr>
          <w:rFonts w:eastAsiaTheme="minorEastAsia"/>
        </w:rPr>
        <w:t xml:space="preserve">, </w:t>
      </w:r>
      <m:oMath>
        <m:r>
          <w:rPr>
            <w:rFonts w:ascii="Cambria Math" w:hAnsi="Cambria Math"/>
          </w:rPr>
          <m:t>irr</m:t>
        </m:r>
      </m:oMath>
      <w:r w:rsidRPr="002A514B">
        <w:rPr>
          <w:rFonts w:eastAsiaTheme="minorEastAsia"/>
        </w:rPr>
        <w:t xml:space="preserve">, </w:t>
      </w:r>
      <m:oMath>
        <m:r>
          <w:rPr>
            <w:rFonts w:ascii="Cambria Math" w:eastAsiaTheme="minorEastAsia" w:hAnsi="Cambria Math"/>
          </w:rPr>
          <m:t>EFI1B(2)</m:t>
        </m:r>
      </m:oMath>
      <w:r w:rsidRPr="002A514B">
        <w:rPr>
          <w:rFonts w:eastAsiaTheme="minorEastAsia"/>
        </w:rPr>
        <w:t xml:space="preserve">, </w:t>
      </w:r>
      <m:oMath>
        <m:r>
          <w:rPr>
            <w:rFonts w:ascii="Cambria Math" w:hAnsi="Cambria Math"/>
          </w:rPr>
          <m:t>emp</m:t>
        </m:r>
      </m:oMath>
      <w:r w:rsidRPr="002A514B">
        <w:rPr>
          <w:rFonts w:eastAsiaTheme="minorEastAsia"/>
        </w:rPr>
        <w:t xml:space="preserve">, </w:t>
      </w:r>
      <m:oMath>
        <m:r>
          <w:rPr>
            <w:rFonts w:ascii="Cambria Math" w:hAnsi="Cambria Math"/>
          </w:rPr>
          <m:t>EFI_a</m:t>
        </m:r>
      </m:oMath>
      <w:r w:rsidRPr="002A514B">
        <w:rPr>
          <w:rFonts w:eastAsiaTheme="minorEastAsia"/>
        </w:rPr>
        <w:t>,</w:t>
      </w:r>
      <w:r w:rsidR="00756E0B" w:rsidRPr="002A514B">
        <w:rPr>
          <w:rFonts w:ascii="Cambria Math" w:hAnsi="Cambria Math"/>
          <w:i/>
        </w:rPr>
        <w:t xml:space="preserve"> </w:t>
      </w:r>
      <m:oMath>
        <m:r>
          <w:rPr>
            <w:rFonts w:ascii="Cambria Math" w:hAnsi="Cambria Math"/>
          </w:rPr>
          <m:t>rgdpnapc</m:t>
        </m:r>
      </m:oMath>
      <w:r w:rsidR="00756E0B" w:rsidRPr="002A514B">
        <w:rPr>
          <w:rFonts w:eastAsiaTheme="minorEastAsia"/>
        </w:rPr>
        <w:t xml:space="preserve">, </w:t>
      </w:r>
      <m:oMath>
        <m:r>
          <w:rPr>
            <w:rFonts w:ascii="Cambria Math" w:hAnsi="Cambria Math"/>
          </w:rPr>
          <m:t>t</m:t>
        </m:r>
      </m:oMath>
      <w:r w:rsidRPr="002A514B">
        <w:rPr>
          <w:rFonts w:eastAsiaTheme="minorEastAsia"/>
        </w:rPr>
        <w:t xml:space="preserve">. </w:t>
      </w:r>
      <w:r w:rsidR="00363770" w:rsidRPr="002A514B">
        <w:rPr>
          <w:rFonts w:eastAsiaTheme="minorEastAsia"/>
        </w:rPr>
        <w:t>D</w:t>
      </w:r>
      <w:r w:rsidRPr="002A514B">
        <w:t>ummy variables: Country = 2</w:t>
      </w:r>
      <w:r w:rsidR="00756E0B" w:rsidRPr="002A514B">
        <w:t>5</w:t>
      </w:r>
      <w:r w:rsidRPr="002A514B">
        <w:t>, Year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oMath>
      <w:r w:rsidRPr="002A514B">
        <w:t>) = 17, Outliers beyond ±3SD = 1.</w:t>
      </w:r>
    </w:p>
    <w:p w14:paraId="59DE561D" w14:textId="77777777" w:rsidR="00AE395C" w:rsidRPr="002A514B" w:rsidRDefault="00AE395C" w:rsidP="00AE395C"/>
    <w:p w14:paraId="419A85CE" w14:textId="5D1853A6" w:rsidR="00AE395C" w:rsidRPr="002A514B" w:rsidRDefault="00AE395C" w:rsidP="00AE395C">
      <w:pPr>
        <w:pStyle w:val="NoSpacing"/>
        <w:ind w:left="993" w:hanging="993"/>
        <w:rPr>
          <w:lang w:val="en-US"/>
        </w:rPr>
      </w:pPr>
      <w:bookmarkStart w:id="63" w:name="_Ref142934587"/>
      <w:bookmarkStart w:id="64" w:name="_Toc142952417"/>
      <w:bookmarkStart w:id="65" w:name="_Toc145879324"/>
      <w:r w:rsidRPr="002A514B">
        <w:rPr>
          <w:lang w:val="en-US"/>
        </w:rPr>
        <w:t>Predist</w:t>
      </w:r>
      <w:r w:rsidR="00A578DC" w:rsidRPr="002A514B">
        <w:rPr>
          <w:lang w:val="en-US"/>
        </w:rPr>
        <w:t>ribution</w:t>
      </w:r>
      <w:r w:rsidRPr="002A514B">
        <w:rPr>
          <w:lang w:val="en-US"/>
        </w:rPr>
        <w:t xml:space="preserve"> model regression output (individual level)</w:t>
      </w:r>
      <w:bookmarkEnd w:id="63"/>
      <w:bookmarkEnd w:id="64"/>
      <w:bookmarkEnd w:id="65"/>
    </w:p>
    <w:p w14:paraId="600BFF8F" w14:textId="503989D4" w:rsidR="00AE395C" w:rsidRPr="002A514B" w:rsidRDefault="00783AC1" w:rsidP="00AE395C">
      <w:r w:rsidRPr="002A514B">
        <w:rPr>
          <w:noProof/>
        </w:rPr>
        <w:drawing>
          <wp:inline distT="0" distB="0" distL="0" distR="0" wp14:anchorId="12AC14E6" wp14:editId="4A697563">
            <wp:extent cx="3978000" cy="3214800"/>
            <wp:effectExtent l="0" t="0" r="0" b="5080"/>
            <wp:docPr id="21239800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78000" cy="3214800"/>
                    </a:xfrm>
                    <a:prstGeom prst="rect">
                      <a:avLst/>
                    </a:prstGeom>
                    <a:noFill/>
                    <a:ln>
                      <a:noFill/>
                    </a:ln>
                  </pic:spPr>
                </pic:pic>
              </a:graphicData>
            </a:graphic>
          </wp:inline>
        </w:drawing>
      </w:r>
    </w:p>
    <w:p w14:paraId="40F941AC" w14:textId="3BDB4E03" w:rsidR="00363770" w:rsidRPr="002A514B" w:rsidRDefault="00363770" w:rsidP="00363770">
      <w:r w:rsidRPr="002A514B">
        <w:t xml:space="preserve">Independent variables: </w:t>
      </w:r>
      <m:oMath>
        <m:r>
          <w:rPr>
            <w:rFonts w:ascii="Cambria Math" w:hAnsi="Cambria Math"/>
          </w:rPr>
          <m:t>Gini_i_pre</m:t>
        </m:r>
      </m:oMath>
      <w:r w:rsidRPr="002A514B">
        <w:rPr>
          <w:rFonts w:eastAsiaTheme="minorEastAsia"/>
        </w:rPr>
        <w:t xml:space="preserve">, </w:t>
      </w:r>
      <m:oMath>
        <m:r>
          <w:rPr>
            <w:rFonts w:ascii="Cambria Math" w:hAnsi="Cambria Math"/>
          </w:rPr>
          <m:t>rel_i_red</m:t>
        </m:r>
      </m:oMath>
      <w:r w:rsidRPr="002A514B">
        <w:rPr>
          <w:rFonts w:eastAsiaTheme="minorEastAsia"/>
        </w:rPr>
        <w:t xml:space="preserve">, </w:t>
      </w:r>
      <m:oMath>
        <m:r>
          <w:rPr>
            <w:rFonts w:ascii="Cambria Math" w:hAnsi="Cambria Math"/>
          </w:rPr>
          <m:t>Huber_a</m:t>
        </m:r>
      </m:oMath>
      <w:r w:rsidRPr="002A514B">
        <w:rPr>
          <w:rFonts w:eastAsiaTheme="minorEastAsia"/>
        </w:rPr>
        <w:t xml:space="preserve">, </w:t>
      </w:r>
      <m:oMath>
        <m:r>
          <w:rPr>
            <w:rFonts w:ascii="Cambria Math" w:hAnsi="Cambria Math"/>
          </w:rPr>
          <m:t>irr</m:t>
        </m:r>
      </m:oMath>
      <w:r w:rsidRPr="002A514B">
        <w:rPr>
          <w:rFonts w:eastAsiaTheme="minorEastAsia"/>
        </w:rPr>
        <w:t xml:space="preserve">, </w:t>
      </w:r>
      <m:oMath>
        <m:r>
          <w:rPr>
            <w:rFonts w:ascii="Cambria Math" w:eastAsiaTheme="minorEastAsia" w:hAnsi="Cambria Math"/>
          </w:rPr>
          <m:t>EFI1B(2)</m:t>
        </m:r>
      </m:oMath>
      <w:r w:rsidRPr="002A514B">
        <w:rPr>
          <w:rFonts w:eastAsiaTheme="minorEastAsia"/>
        </w:rPr>
        <w:t xml:space="preserve">, </w:t>
      </w:r>
      <m:oMath>
        <m:r>
          <w:rPr>
            <w:rFonts w:ascii="Cambria Math" w:hAnsi="Cambria Math"/>
          </w:rPr>
          <m:t>emp</m:t>
        </m:r>
      </m:oMath>
      <w:r w:rsidRPr="002A514B">
        <w:rPr>
          <w:rFonts w:eastAsiaTheme="minorEastAsia"/>
        </w:rPr>
        <w:t xml:space="preserve">, </w:t>
      </w:r>
      <m:oMath>
        <m:r>
          <w:rPr>
            <w:rFonts w:ascii="Cambria Math" w:hAnsi="Cambria Math"/>
          </w:rPr>
          <m:t>EFI_a</m:t>
        </m:r>
      </m:oMath>
      <w:r w:rsidRPr="002A514B">
        <w:rPr>
          <w:rFonts w:eastAsiaTheme="minorEastAsia"/>
        </w:rPr>
        <w:t>,</w:t>
      </w:r>
      <w:r w:rsidRPr="002A514B">
        <w:rPr>
          <w:rFonts w:ascii="Cambria Math" w:hAnsi="Cambria Math"/>
          <w:i/>
        </w:rPr>
        <w:t xml:space="preserve"> </w:t>
      </w:r>
      <m:oMath>
        <m:r>
          <w:rPr>
            <w:rFonts w:ascii="Cambria Math" w:hAnsi="Cambria Math"/>
          </w:rPr>
          <m:t>rgdpnapc</m:t>
        </m:r>
      </m:oMath>
      <w:r w:rsidRPr="002A514B">
        <w:rPr>
          <w:rFonts w:eastAsiaTheme="minorEastAsia"/>
        </w:rPr>
        <w:t xml:space="preserve">, </w:t>
      </w:r>
      <m:oMath>
        <m:r>
          <w:rPr>
            <w:rFonts w:ascii="Cambria Math" w:hAnsi="Cambria Math"/>
          </w:rPr>
          <m:t>t</m:t>
        </m:r>
      </m:oMath>
      <w:r w:rsidRPr="002A514B">
        <w:rPr>
          <w:rFonts w:eastAsiaTheme="minorEastAsia"/>
        </w:rPr>
        <w:t>. D</w:t>
      </w:r>
      <w:r w:rsidRPr="002A514B">
        <w:t>ummy variables: Country = 22, Year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oMath>
      <w:r w:rsidRPr="002A514B">
        <w:t>) = 17, Outliers beyond ±3SD = 1.</w:t>
      </w:r>
    </w:p>
    <w:p w14:paraId="4757F4FA" w14:textId="77777777" w:rsidR="00AE395C" w:rsidRPr="002A514B" w:rsidRDefault="00AE395C" w:rsidP="00AE395C"/>
    <w:p w14:paraId="39B6DD14" w14:textId="2F517B77" w:rsidR="00F65244" w:rsidRPr="002A514B" w:rsidRDefault="00F65244" w:rsidP="00F65244">
      <w:pPr>
        <w:pStyle w:val="Heading2"/>
        <w:rPr>
          <w:lang w:val="en-US"/>
        </w:rPr>
      </w:pPr>
      <w:bookmarkStart w:id="66" w:name="_Toc142952418"/>
      <w:bookmarkStart w:id="67" w:name="_Toc145879327"/>
      <w:bookmarkStart w:id="68" w:name="_Toc118658364"/>
      <w:r w:rsidRPr="002A514B">
        <w:rPr>
          <w:lang w:val="en-US"/>
        </w:rPr>
        <w:lastRenderedPageBreak/>
        <w:t>Moderation analysis regression data</w:t>
      </w:r>
    </w:p>
    <w:p w14:paraId="0610E29A" w14:textId="58156283" w:rsidR="00F65244" w:rsidRPr="002A514B" w:rsidRDefault="00F65244" w:rsidP="00F65244">
      <w:pPr>
        <w:rPr>
          <w:lang w:val="en-US"/>
        </w:rPr>
      </w:pPr>
      <w:r w:rsidRPr="002A514B">
        <w:rPr>
          <w:lang w:val="en-US"/>
        </w:rPr>
        <w:t xml:space="preserve">The tables below include metrics relevant to the interaction effects as follows: </w:t>
      </w:r>
    </w:p>
    <w:p w14:paraId="50D1D67B" w14:textId="77777777" w:rsidR="00F65244" w:rsidRPr="002A514B" w:rsidRDefault="00F65244" w:rsidP="00F65244">
      <w:pPr>
        <w:pStyle w:val="ListParagraph"/>
        <w:numPr>
          <w:ilvl w:val="0"/>
          <w:numId w:val="21"/>
        </w:numPr>
        <w:spacing w:after="160" w:line="259" w:lineRule="auto"/>
      </w:pPr>
      <w:r w:rsidRPr="002A514B">
        <w:t xml:space="preserve">The regression power </w:t>
      </w:r>
      <m:oMath>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2</m:t>
            </m:r>
          </m:sup>
        </m:sSup>
        <m:r>
          <w:rPr>
            <w:rFonts w:ascii="Cambria Math" w:hAnsi="Cambria Math"/>
          </w:rPr>
          <m:t>)</m:t>
        </m:r>
      </m:oMath>
      <w:r w:rsidRPr="002A514B">
        <w:t xml:space="preserve"> relates to effect size measurements of the regression. Larger effect sizes indicate greater regression power and </w:t>
      </w:r>
      <m:oMath>
        <m:sSup>
          <m:sSupPr>
            <m:ctrlPr>
              <w:rPr>
                <w:rFonts w:ascii="Cambria Math" w:hAnsi="Cambria Math"/>
                <w:i/>
              </w:rPr>
            </m:ctrlPr>
          </m:sSupPr>
          <m:e>
            <m:r>
              <w:rPr>
                <w:rFonts w:ascii="Cambria Math" w:hAnsi="Cambria Math"/>
              </w:rPr>
              <m:t>f</m:t>
            </m:r>
          </m:e>
          <m:sup>
            <m:r>
              <w:rPr>
                <w:rFonts w:ascii="Cambria Math" w:hAnsi="Cambria Math"/>
              </w:rPr>
              <m:t>2</m:t>
            </m:r>
          </m:sup>
        </m:sSup>
      </m:oMath>
      <w:r w:rsidRPr="002A514B">
        <w:t xml:space="preserve"> provides an indication of the relative strength of the interaction effects for different</w:t>
      </w:r>
      <w:r w:rsidRPr="002A514B">
        <w:rPr>
          <w:rFonts w:eastAsiaTheme="minorEastAsia"/>
        </w:rPr>
        <w:t xml:space="preserve">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2A514B">
        <w:rPr>
          <w:rFonts w:eastAsiaTheme="minorEastAsia"/>
        </w:rPr>
        <w:t xml:space="preserve"> </w:t>
      </w:r>
      <w:r w:rsidRPr="002A514B">
        <w:t>equity benchmarks.</w:t>
      </w:r>
    </w:p>
    <w:p w14:paraId="1D1E10CA" w14:textId="172E87B1" w:rsidR="00F65244" w:rsidRPr="002A514B" w:rsidRDefault="00F65244" w:rsidP="00F65244">
      <w:pPr>
        <w:pStyle w:val="ListParagraph"/>
        <w:numPr>
          <w:ilvl w:val="0"/>
          <w:numId w:val="21"/>
        </w:numPr>
        <w:spacing w:after="160" w:line="259" w:lineRule="auto"/>
      </w:pPr>
      <w:r w:rsidRPr="002A514B">
        <w:t xml:space="preserve">The reliability </w:t>
      </w:r>
      <m:oMath>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xm</m:t>
            </m:r>
          </m:sub>
        </m:sSub>
        <m:r>
          <w:rPr>
            <w:rFonts w:ascii="Cambria Math" w:hAnsi="Cambria Math"/>
          </w:rPr>
          <m:t>)</m:t>
        </m:r>
      </m:oMath>
      <w:r w:rsidRPr="002A514B">
        <w:t xml:space="preserve"> of the interaction term is computed according to the expression provided by </w:t>
      </w:r>
      <w:r w:rsidRPr="002A514B">
        <w:fldChar w:fldCharType="begin"/>
      </w:r>
      <w:r w:rsidRPr="002A514B">
        <w:instrText xml:space="preserve"> ADDIN EN.CITE &lt;EndNote&gt;&lt;Cite AuthorYear="1"&gt;&lt;Author&gt;Busemeyer&lt;/Author&gt;&lt;Year&gt;1983&lt;/Year&gt;&lt;RecNum&gt;1327&lt;/RecNum&gt;&lt;Pages&gt;557&lt;/Pages&gt;&lt;DisplayText&gt;Busemeyer and Jones (1983, p. 557)&lt;/DisplayText&gt;&lt;record&gt;&lt;rec-number&gt;1327&lt;/rec-number&gt;&lt;foreign-keys&gt;&lt;key app="EN" db-id="rrezazf2nx9ex2ee0zo55t532f0tw90t2rf0" timestamp="1692213195" guid="ad42e49f-076c-403b-a582-029d86b03ddc"&gt;1327&lt;/key&gt;&lt;/foreign-keys&gt;&lt;ref-type name="Journal Article"&gt;17&lt;/ref-type&gt;&lt;contributors&gt;&lt;authors&gt;&lt;author&gt;Busemeyer, Jerome R.&lt;/author&gt;&lt;author&gt;Jones, Lawrence E.&lt;/author&gt;&lt;/authors&gt;&lt;/contributors&gt;&lt;titles&gt;&lt;title&gt;Analysis of multiplicative combination rules when the causal variables are measured with error&lt;/title&gt;&lt;secondary-title&gt;Psychological Bulletin&lt;/secondary-title&gt;&lt;/titles&gt;&lt;periodical&gt;&lt;full-title&gt;Psychological Bulletin&lt;/full-title&gt;&lt;/periodical&gt;&lt;pages&gt;549-562&lt;/pages&gt;&lt;volume&gt;93&lt;/volume&gt;&lt;number&gt;3&lt;/number&gt;&lt;dates&gt;&lt;year&gt;1983&lt;/year&gt;&lt;pub-dates&gt;&lt;date&gt;1983/05&lt;/date&gt;&lt;/pub-dates&gt;&lt;/dates&gt;&lt;publisher&gt;American Psychological Association (APA)&lt;/publisher&gt;&lt;isbn&gt;1939-1455&amp;#xD;0033-2909&lt;/isbn&gt;&lt;urls&gt;&lt;related-urls&gt;&lt;url&gt;http://dx.doi.org/10.1037/0033-2909.93.3.549&lt;/url&gt;&lt;/related-urls&gt;&lt;/urls&gt;&lt;custom1&gt;Stats&lt;/custom1&gt;&lt;custom2&gt;*Reliability *Interaction terms&lt;/custom2&gt;&lt;electronic-resource-num&gt;10.1037/0033-2909.93.3.549&lt;/electronic-resource-num&gt;&lt;/record&gt;&lt;/Cite&gt;&lt;/EndNote&gt;</w:instrText>
      </w:r>
      <w:r w:rsidRPr="002A514B">
        <w:fldChar w:fldCharType="separate"/>
      </w:r>
      <w:r w:rsidRPr="002A514B">
        <w:rPr>
          <w:noProof/>
        </w:rPr>
        <w:t>Busemeyer and Jones (1983, p. 557)</w:t>
      </w:r>
      <w:r w:rsidRPr="002A514B">
        <w:fldChar w:fldCharType="end"/>
      </w:r>
      <w:r w:rsidRPr="002A514B">
        <w:t xml:space="preserve">. The internal consistency of each term — that is, of the policy and the Equity Beliefs variables — is measured using a split-half method to obtain reliability coefficient via Guttman’s </w:t>
      </w:r>
      <w:r w:rsidRPr="002A514B">
        <w:fldChar w:fldCharType="begin"/>
      </w:r>
      <w:r w:rsidRPr="002A514B">
        <w:instrText xml:space="preserve"> ADDIN EN.CITE &lt;EndNote&gt;&lt;Cite ExcludeAuth="1"&gt;&lt;Author&gt;Guttman&lt;/Author&gt;&lt;Year&gt;1945&lt;/Year&gt;&lt;RecNum&gt;1337&lt;/RecNum&gt;&lt;DisplayText&gt;(1945)&lt;/DisplayText&gt;&lt;record&gt;&lt;rec-number&gt;1337&lt;/rec-number&gt;&lt;foreign-keys&gt;&lt;key app="EN" db-id="rrezazf2nx9ex2ee0zo55t532f0tw90t2rf0" timestamp="1692213211" guid="fe4a7ebc-fac7-4716-a5ee-aa6d13f942d2"&gt;1337&lt;/key&gt;&lt;/foreign-keys&gt;&lt;ref-type name="Journal Article"&gt;17&lt;/ref-type&gt;&lt;contributors&gt;&lt;authors&gt;&lt;author&gt;Guttman, Louis&lt;/author&gt;&lt;/authors&gt;&lt;/contributors&gt;&lt;titles&gt;&lt;title&gt;A basis for analyzing test-retest reliability&lt;/title&gt;&lt;secondary-title&gt;Psychometrika&lt;/secondary-title&gt;&lt;/titles&gt;&lt;periodical&gt;&lt;full-title&gt;Psychometrika&lt;/full-title&gt;&lt;/periodical&gt;&lt;pages&gt;255-282&lt;/pages&gt;&lt;volume&gt;10&lt;/volume&gt;&lt;dates&gt;&lt;year&gt;1945&lt;/year&gt;&lt;/dates&gt;&lt;urls&gt;&lt;/urls&gt;&lt;custom1&gt;Stats&lt;/custom1&gt;&lt;custom2&gt;*Internal consistency/reliability&lt;/custom2&gt;&lt;/record&gt;&lt;/Cite&gt;&lt;/EndNote&gt;</w:instrText>
      </w:r>
      <w:r w:rsidRPr="002A514B">
        <w:fldChar w:fldCharType="separate"/>
      </w:r>
      <w:r w:rsidRPr="002A514B">
        <w:rPr>
          <w:noProof/>
        </w:rPr>
        <w:t>(1945)</w:t>
      </w:r>
      <w:r w:rsidRPr="002A514B">
        <w:fldChar w:fldCharType="end"/>
      </w:r>
      <w:r w:rsidRPr="002A514B">
        <w:t xml:space="preserve"> Lambda 4. Following </w:t>
      </w:r>
      <w:r w:rsidRPr="002A514B">
        <w:fldChar w:fldCharType="begin"/>
      </w:r>
      <w:r w:rsidRPr="002A514B">
        <w:instrText xml:space="preserve"> ADDIN EN.CITE &lt;EndNote&gt;&lt;Cite AuthorYear="1"&gt;&lt;Author&gt;Aguinis&lt;/Author&gt;&lt;Year&gt;2017&lt;/Year&gt;&lt;RecNum&gt;1316&lt;/RecNum&gt;&lt;DisplayText&gt;Aguinis, Edwards, and Bradley (2017)&lt;/DisplayText&gt;&lt;record&gt;&lt;rec-number&gt;1316&lt;/rec-number&gt;&lt;foreign-keys&gt;&lt;key app="EN" db-id="rrezazf2nx9ex2ee0zo55t532f0tw90t2rf0" timestamp="1692213186" guid="e3ed3682-c85b-4392-9d00-4c82130e08db"&gt;1316&lt;/key&gt;&lt;/foreign-keys&gt;&lt;ref-type name="Journal Article"&gt;17&lt;/ref-type&gt;&lt;contributors&gt;&lt;authors&gt;&lt;author&gt;Aguinis, Herman&lt;/author&gt;&lt;author&gt;Edwards, Jeffrey R.&lt;/author&gt;&lt;author&gt;Bradley, Kyle J.&lt;/author&gt;&lt;/authors&gt;&lt;/contributors&gt;&lt;titles&gt;&lt;title&gt;Improving Our Understanding of Moderation and Mediation in Strategic Management Research&lt;/title&gt;&lt;secondary-title&gt;Organizational Research Methods&lt;/secondary-title&gt;&lt;/titles&gt;&lt;periodical&gt;&lt;full-title&gt;Organizational Research Methods&lt;/full-title&gt;&lt;/periodical&gt;&lt;pages&gt;665-685&lt;/pages&gt;&lt;volume&gt;20&lt;/volume&gt;&lt;number&gt;4&lt;/number&gt;&lt;keywords&gt;&lt;keyword&gt;moderating effect,mediating effect,contingency,interactionism,interaction&lt;/keyword&gt;&lt;/keywords&gt;&lt;dates&gt;&lt;year&gt;2017&lt;/year&gt;&lt;/dates&gt;&lt;urls&gt;&lt;related-urls&gt;&lt;url&gt;https://journals.sagepub.com/doi/abs/10.1177/1094428115627498&lt;/url&gt;&lt;/related-urls&gt;&lt;/urls&gt;&lt;custom1&gt;Stats&lt;/custom1&gt;&lt;custom2&gt;*Moderation vs. Mediation&lt;/custom2&gt;&lt;electronic-resource-num&gt;10.1177/1094428115627498&lt;/electronic-resource-num&gt;&lt;/record&gt;&lt;/Cite&gt;&lt;/EndNote&gt;</w:instrText>
      </w:r>
      <w:r w:rsidRPr="002A514B">
        <w:fldChar w:fldCharType="separate"/>
      </w:r>
      <w:r w:rsidRPr="002A514B">
        <w:rPr>
          <w:noProof/>
        </w:rPr>
        <w:t>Aguinis, Edwards, and Bradley (2017)</w:t>
      </w:r>
      <w:r w:rsidRPr="002A514B">
        <w:fldChar w:fldCharType="end"/>
      </w:r>
      <w:r w:rsidRPr="002A514B">
        <w:t xml:space="preserve">, the </w:t>
      </w:r>
      <m:oMath>
        <m:sSub>
          <m:sSubPr>
            <m:ctrlPr>
              <w:rPr>
                <w:rFonts w:ascii="Cambria Math" w:hAnsi="Cambria Math"/>
                <w:i/>
              </w:rPr>
            </m:ctrlPr>
          </m:sSubPr>
          <m:e>
            <m:r>
              <w:rPr>
                <w:rFonts w:ascii="Cambria Math" w:hAnsi="Cambria Math"/>
              </w:rPr>
              <m:t>ρ</m:t>
            </m:r>
          </m:e>
          <m:sub>
            <m:r>
              <w:rPr>
                <w:rFonts w:ascii="Cambria Math" w:hAnsi="Cambria Math"/>
              </w:rPr>
              <m:t>xm</m:t>
            </m:r>
          </m:sub>
        </m:sSub>
      </m:oMath>
      <w:r w:rsidRPr="002A514B">
        <w:t xml:space="preserve"> value shown for the interaction effect of</w:t>
      </w:r>
      <w:r w:rsidR="00233E7C" w:rsidRPr="002A514B">
        <w:t xml:space="preserve"> </w:t>
      </w:r>
      <m:oMath>
        <m:r>
          <w:rPr>
            <w:rFonts w:ascii="Cambria Math" w:hAnsi="Cambria Math"/>
          </w:rPr>
          <m:t>Huber_a</m:t>
        </m:r>
      </m:oMath>
      <w:r w:rsidR="00233E7C" w:rsidRPr="002A514B">
        <w:t xml:space="preserve"> with </w:t>
      </w:r>
      <m:oMath>
        <m:r>
          <w:rPr>
            <w:rFonts w:ascii="Cambria Math" w:hAnsi="Cambria Math"/>
          </w:rPr>
          <m:t>EFI</m:t>
        </m:r>
      </m:oMath>
      <w:r w:rsidR="00233E7C" w:rsidRPr="002A514B">
        <w:t xml:space="preserve"> i</w:t>
      </w:r>
      <w:r w:rsidRPr="002A514B">
        <w:t xml:space="preserve">n </w:t>
      </w:r>
      <w:r w:rsidR="00A12915" w:rsidRPr="002A514B">
        <w:t xml:space="preserve">Table 1.5.1 </w:t>
      </w:r>
      <w:r w:rsidRPr="002A514B">
        <w:t>indicates that 2</w:t>
      </w:r>
      <w:r w:rsidR="00233E7C" w:rsidRPr="002A514B">
        <w:t>3</w:t>
      </w:r>
      <w:r w:rsidRPr="002A514B">
        <w:t>% of the variance is random error. The interaction term’s reliability is thus 7</w:t>
      </w:r>
      <w:r w:rsidR="00233E7C" w:rsidRPr="002A514B">
        <w:t>7</w:t>
      </w:r>
      <w:r w:rsidRPr="002A514B">
        <w:t>%.</w:t>
      </w:r>
    </w:p>
    <w:p w14:paraId="2576E2A3" w14:textId="77777777" w:rsidR="00F65244" w:rsidRPr="002A514B" w:rsidRDefault="00F65244" w:rsidP="00F65244">
      <w:pPr>
        <w:pStyle w:val="ListParagraph"/>
        <w:numPr>
          <w:ilvl w:val="0"/>
          <w:numId w:val="21"/>
        </w:numPr>
        <w:spacing w:after="160" w:line="259" w:lineRule="auto"/>
      </w:pPr>
      <w:r w:rsidRPr="002A514B">
        <w:t xml:space="preserve">The change to the coefficient of determination </w:t>
      </w:r>
      <m:oMath>
        <m:r>
          <w:rPr>
            <w:rFonts w:ascii="Cambria Math" w:hAnsi="Cambria Math"/>
          </w:rPr>
          <m:t>(</m:t>
        </m:r>
        <m:r>
          <m:rPr>
            <m:sty m:val="p"/>
          </m:rPr>
          <w:rPr>
            <w:rFonts w:ascii="Cambria Math" w:hAnsi="Cambria Math" w:cstheme="minorHAnsi"/>
          </w:rPr>
          <m:t>Δ</m:t>
        </m:r>
        <m:sSup>
          <m:sSupPr>
            <m:ctrlPr>
              <w:rPr>
                <w:rFonts w:ascii="Cambria Math" w:hAnsi="Cambria Math" w:cstheme="minorHAnsi"/>
                <w:i/>
              </w:rPr>
            </m:ctrlPr>
          </m:sSupPr>
          <m:e>
            <m:r>
              <w:rPr>
                <w:rFonts w:ascii="Cambria Math" w:hAnsi="Cambria Math" w:cstheme="minorHAnsi"/>
              </w:rPr>
              <m:t>R</m:t>
            </m:r>
          </m:e>
          <m:sup>
            <m:r>
              <w:rPr>
                <w:rFonts w:ascii="Cambria Math" w:hAnsi="Cambria Math" w:cstheme="minorHAnsi"/>
              </w:rPr>
              <m:t>2</m:t>
            </m:r>
          </m:sup>
        </m:sSup>
        <m:r>
          <w:rPr>
            <w:rFonts w:ascii="Cambria Math" w:hAnsi="Cambria Math" w:cstheme="minorHAnsi"/>
          </w:rPr>
          <m:t>)</m:t>
        </m:r>
      </m:oMath>
      <w:r w:rsidRPr="002A514B">
        <w:rPr>
          <w:rFonts w:cstheme="minorHAnsi"/>
        </w:rPr>
        <w:t xml:space="preserve"> </w:t>
      </w:r>
      <w:r w:rsidRPr="002A514B">
        <w:t>is a measure of the effect from addition of an interaction variable</w:t>
      </w:r>
      <w:r w:rsidRPr="002A514B">
        <w:rPr>
          <w:rFonts w:cstheme="minorHAnsi"/>
        </w:rPr>
        <w:t xml:space="preserve"> as proposed by </w:t>
      </w:r>
      <w:r w:rsidRPr="002A514B">
        <w:fldChar w:fldCharType="begin"/>
      </w:r>
      <w:r w:rsidRPr="002A514B">
        <w:instrText xml:space="preserve"> ADDIN EN.CITE &lt;EndNote&gt;&lt;Cite AuthorYear="1"&gt;&lt;Author&gt;Murphy&lt;/Author&gt;&lt;Year&gt;2022&lt;/Year&gt;&lt;RecNum&gt;1318&lt;/RecNum&gt;&lt;DisplayText&gt;Murphy and Aguinis (2022)&lt;/DisplayText&gt;&lt;record&gt;&lt;rec-number&gt;1318&lt;/rec-number&gt;&lt;foreign-keys&gt;&lt;key app="EN" db-id="rrezazf2nx9ex2ee0zo55t532f0tw90t2rf0" timestamp="1692213188" guid="9c23b5e2-29cd-4903-a95b-51566061ea3c"&gt;1318&lt;/key&gt;&lt;/foreign-keys&gt;&lt;ref-type name="Journal Article"&gt;17&lt;/ref-type&gt;&lt;contributors&gt;&lt;authors&gt;&lt;author&gt;Murphy, Kevin R.&lt;/author&gt;&lt;author&gt;Aguinis, Herman&lt;/author&gt;&lt;/authors&gt;&lt;/contributors&gt;&lt;titles&gt;&lt;title&gt;Reporting Interaction Effects: Visualization, Effect Size, and Interpretation&lt;/title&gt;&lt;secondary-title&gt;Journal of Management&lt;/secondary-title&gt;&lt;/titles&gt;&lt;periodical&gt;&lt;full-title&gt;Journal of Management&lt;/full-title&gt;&lt;/periodical&gt;&lt;pages&gt;2159-2166&lt;/pages&gt;&lt;volume&gt;48&lt;/volume&gt;&lt;number&gt;8&lt;/number&gt;&lt;dates&gt;&lt;year&gt;2022&lt;/year&gt;&lt;/dates&gt;&lt;urls&gt;&lt;related-urls&gt;&lt;url&gt;https://journals.sagepub.com/doi/abs/10.1177/01492063221088516&lt;/url&gt;&lt;/related-urls&gt;&lt;/urls&gt;&lt;custom1&gt;Stats&lt;/custom1&gt;&lt;custom2&gt;*Moderation analysis&amp;#xD;*Effect size&lt;/custom2&gt;&lt;electronic-resource-num&gt;10.1177/01492063221088516&lt;/electronic-resource-num&gt;&lt;/record&gt;&lt;/Cite&gt;&lt;/EndNote&gt;</w:instrText>
      </w:r>
      <w:r w:rsidRPr="002A514B">
        <w:fldChar w:fldCharType="separate"/>
      </w:r>
      <w:r w:rsidRPr="002A514B">
        <w:rPr>
          <w:noProof/>
        </w:rPr>
        <w:t>Murphy and Aguinis (2022)</w:t>
      </w:r>
      <w:r w:rsidRPr="002A514B">
        <w:fldChar w:fldCharType="end"/>
      </w:r>
      <w:r w:rsidRPr="002A514B">
        <w:t>.</w:t>
      </w:r>
    </w:p>
    <w:p w14:paraId="5CE1451B" w14:textId="17799529" w:rsidR="00F65244" w:rsidRPr="002A514B" w:rsidRDefault="00F65244" w:rsidP="00F65244">
      <w:pPr>
        <w:pStyle w:val="ListParagraph"/>
        <w:numPr>
          <w:ilvl w:val="0"/>
          <w:numId w:val="21"/>
        </w:numPr>
        <w:spacing w:after="160" w:line="259" w:lineRule="auto"/>
      </w:pPr>
      <w:r w:rsidRPr="002A514B">
        <w:t xml:space="preserve">Cohen’s effect size </w:t>
      </w:r>
      <m:oMath>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2</m:t>
            </m:r>
          </m:sup>
        </m:sSup>
        <m:r>
          <w:rPr>
            <w:rFonts w:ascii="Cambria Math" w:hAnsi="Cambria Math"/>
          </w:rPr>
          <m:t>)</m:t>
        </m:r>
      </m:oMath>
      <w:r w:rsidRPr="002A514B">
        <w:t xml:space="preserve">, is an ideal measure of the strength of a interaction effect </w:t>
      </w:r>
      <w:r w:rsidRPr="002A514B">
        <w:fldChar w:fldCharType="begin"/>
      </w:r>
      <w:r w:rsidRPr="002A514B">
        <w:instrText xml:space="preserve"> ADDIN EN.CITE &lt;EndNote&gt;&lt;Cite&gt;&lt;Author&gt;Dawson&lt;/Author&gt;&lt;Year&gt;2014&lt;/Year&gt;&lt;RecNum&gt;1314&lt;/RecNum&gt;&lt;DisplayText&gt;(Dawson, 2014)&lt;/DisplayText&gt;&lt;record&gt;&lt;rec-number&gt;1314&lt;/rec-number&gt;&lt;foreign-keys&gt;&lt;key app="EN" db-id="rrezazf2nx9ex2ee0zo55t532f0tw90t2rf0" timestamp="1692213184" guid="72cc4c3f-ddcb-40d8-bc2d-4a6d20a38756"&gt;1314&lt;/key&gt;&lt;/foreign-keys&gt;&lt;ref-type name="Journal Article"&gt;17&lt;/ref-type&gt;&lt;contributors&gt;&lt;authors&gt;&lt;author&gt;Dawson, Jeremy F.&lt;/author&gt;&lt;/authors&gt;&lt;/contributors&gt;&lt;titles&gt;&lt;title&gt;Moderation in Management Research: What, Why, When, and How&lt;/title&gt;&lt;secondary-title&gt;Journal of Business and Psychology&lt;/secondary-title&gt;&lt;/titles&gt;&lt;periodical&gt;&lt;full-title&gt;Journal of Business and Psychology&lt;/full-title&gt;&lt;/periodical&gt;&lt;pages&gt;1-19&lt;/pages&gt;&lt;volume&gt;29&lt;/volume&gt;&lt;number&gt;1&lt;/number&gt;&lt;dates&gt;&lt;year&gt;2014&lt;/year&gt;&lt;pub-dates&gt;&lt;date&gt;2014/03/01&lt;/date&gt;&lt;/pub-dates&gt;&lt;/dates&gt;&lt;isbn&gt;1573-353X&lt;/isbn&gt;&lt;urls&gt;&lt;related-urls&gt;&lt;url&gt;https://doi.org/10.1007/s10869-013-9308-7&lt;/url&gt;&lt;/related-urls&gt;&lt;/urls&gt;&lt;custom1&gt;Stats&lt;/custom1&gt;&lt;custom2&gt;*Moderation analysis&lt;/custom2&gt;&lt;electronic-resource-num&gt;10.1007/s10869-013-9308-7&lt;/electronic-resource-num&gt;&lt;/record&gt;&lt;/Cite&gt;&lt;/EndNote&gt;</w:instrText>
      </w:r>
      <w:r w:rsidRPr="002A514B">
        <w:fldChar w:fldCharType="separate"/>
      </w:r>
      <w:r w:rsidRPr="002A514B">
        <w:rPr>
          <w:noProof/>
        </w:rPr>
        <w:t>(Dawson, 2014)</w:t>
      </w:r>
      <w:r w:rsidRPr="002A514B">
        <w:fldChar w:fldCharType="end"/>
      </w:r>
      <w:r w:rsidRPr="002A514B">
        <w:t xml:space="preserve">. An </w:t>
      </w:r>
      <m:oMath>
        <m:sSup>
          <m:sSupPr>
            <m:ctrlPr>
              <w:rPr>
                <w:rFonts w:ascii="Cambria Math" w:hAnsi="Cambria Math"/>
                <w:i/>
              </w:rPr>
            </m:ctrlPr>
          </m:sSupPr>
          <m:e>
            <m:r>
              <w:rPr>
                <w:rFonts w:ascii="Cambria Math" w:hAnsi="Cambria Math"/>
              </w:rPr>
              <m:t>f</m:t>
            </m:r>
          </m:e>
          <m:sup>
            <m:r>
              <w:rPr>
                <w:rFonts w:ascii="Cambria Math" w:hAnsi="Cambria Math"/>
              </w:rPr>
              <m:t>2</m:t>
            </m:r>
          </m:sup>
        </m:sSup>
      </m:oMath>
      <w:r w:rsidRPr="002A514B">
        <w:t xml:space="preserve">  effect size of 0.02 indicates a weak effect, 0.15 a medium effect and 0.35 a large effect </w:t>
      </w:r>
      <w:r w:rsidRPr="002A514B">
        <w:fldChar w:fldCharType="begin"/>
      </w:r>
      <w:r w:rsidRPr="002A514B">
        <w:instrText xml:space="preserve"> ADDIN EN.CITE &lt;EndNote&gt;&lt;Cite&gt;&lt;Author&gt;Cohen&lt;/Author&gt;&lt;Year&gt;1988&lt;/Year&gt;&lt;RecNum&gt;1336&lt;/RecNum&gt;&lt;DisplayText&gt;(Cohen, 1988)&lt;/DisplayText&gt;&lt;record&gt;&lt;rec-number&gt;1336&lt;/rec-number&gt;&lt;foreign-keys&gt;&lt;key app="EN" db-id="rrezazf2nx9ex2ee0zo55t532f0tw90t2rf0" timestamp="1692213203" guid="6fb10a8b-14e4-4bfe-af1f-03d4f41fcf6c"&gt;1336&lt;/key&gt;&lt;/foreign-keys&gt;&lt;ref-type name="Book"&gt;6&lt;/ref-type&gt;&lt;contributors&gt;&lt;authors&gt;&lt;author&gt;Cohen, Jacob&lt;/author&gt;&lt;/authors&gt;&lt;/contributors&gt;&lt;titles&gt;&lt;title&gt;Statistical power analysis for the behavioral sciences&lt;/title&gt;&lt;/titles&gt;&lt;edition&gt;2nd&lt;/edition&gt;&lt;dates&gt;&lt;year&gt;1988&lt;/year&gt;&lt;/dates&gt;&lt;pub-location&gt;Hillsdale, NJ&lt;/pub-location&gt;&lt;publisher&gt;Erlbaum&lt;/publisher&gt;&lt;urls&gt;&lt;/urls&gt;&lt;custom1&gt;Books, Stats&lt;/custom1&gt;&lt;custom2&gt;*Cohen&amp;apos;s effect size&lt;/custom2&gt;&lt;/record&gt;&lt;/Cite&gt;&lt;/EndNote&gt;</w:instrText>
      </w:r>
      <w:r w:rsidRPr="002A514B">
        <w:fldChar w:fldCharType="separate"/>
      </w:r>
      <w:r w:rsidRPr="002A514B">
        <w:rPr>
          <w:noProof/>
        </w:rPr>
        <w:t>(Cohen, 1988)</w:t>
      </w:r>
      <w:r w:rsidRPr="002A514B">
        <w:fldChar w:fldCharType="end"/>
      </w:r>
      <w:r w:rsidRPr="002A514B">
        <w:t xml:space="preserve">. By Cohen’s criterion, the effect size </w:t>
      </w:r>
      <m:oMath>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2</m:t>
            </m:r>
          </m:sup>
        </m:sSup>
        <m:r>
          <w:rPr>
            <w:rFonts w:ascii="Cambria Math" w:hAnsi="Cambria Math"/>
          </w:rPr>
          <m:t>)</m:t>
        </m:r>
      </m:oMath>
      <w:r w:rsidRPr="002A514B">
        <w:t xml:space="preserve"> of the </w:t>
      </w:r>
      <w:r w:rsidR="00233E7C" w:rsidRPr="002A514B">
        <w:t xml:space="preserve">interaction effect for </w:t>
      </w:r>
      <m:oMath>
        <m:r>
          <w:rPr>
            <w:rFonts w:ascii="Cambria Math" w:hAnsi="Cambria Math"/>
          </w:rPr>
          <m:t>Huber_a</m:t>
        </m:r>
      </m:oMath>
      <w:r w:rsidR="00233E7C" w:rsidRPr="002A514B">
        <w:t xml:space="preserve"> with </w:t>
      </w:r>
      <m:oMath>
        <m:r>
          <w:rPr>
            <w:rFonts w:ascii="Cambria Math" w:hAnsi="Cambria Math"/>
          </w:rPr>
          <m:t>EFI</m:t>
        </m:r>
      </m:oMath>
      <w:r w:rsidR="00233E7C" w:rsidRPr="002A514B">
        <w:t xml:space="preserve"> </w:t>
      </w:r>
      <w:r w:rsidRPr="002A514B">
        <w:t xml:space="preserve">in </w:t>
      </w:r>
      <w:r w:rsidR="00A12915" w:rsidRPr="002A514B">
        <w:t xml:space="preserve">Table 1.5.1 </w:t>
      </w:r>
      <w:r w:rsidRPr="002A514B">
        <w:t xml:space="preserve">is </w:t>
      </w:r>
      <w:r w:rsidR="00233E7C" w:rsidRPr="002A514B">
        <w:t>relatively weak</w:t>
      </w:r>
      <w:r w:rsidRPr="002A514B">
        <w:t>.</w:t>
      </w:r>
    </w:p>
    <w:p w14:paraId="03E83780" w14:textId="4AD50999" w:rsidR="00AE395C" w:rsidRPr="002A514B" w:rsidRDefault="00AE395C" w:rsidP="00AE395C">
      <w:pPr>
        <w:pStyle w:val="NoSpacing"/>
        <w:ind w:left="993" w:hanging="993"/>
        <w:rPr>
          <w:lang w:val="en-US"/>
        </w:rPr>
      </w:pPr>
      <w:r w:rsidRPr="002A514B">
        <w:rPr>
          <w:lang w:val="en-US"/>
        </w:rPr>
        <w:lastRenderedPageBreak/>
        <w:t>Moderation analysis household level regression data</w:t>
      </w:r>
      <w:bookmarkEnd w:id="66"/>
      <w:bookmarkEnd w:id="67"/>
    </w:p>
    <w:p w14:paraId="7EA5EB35" w14:textId="4A00957B" w:rsidR="00AE395C" w:rsidRPr="002A514B" w:rsidRDefault="00F65244" w:rsidP="00AE395C">
      <w:r w:rsidRPr="002A514B">
        <w:rPr>
          <w:noProof/>
        </w:rPr>
        <w:drawing>
          <wp:inline distT="0" distB="0" distL="0" distR="0" wp14:anchorId="2B864E87" wp14:editId="503CEE3D">
            <wp:extent cx="5731510" cy="6894830"/>
            <wp:effectExtent l="0" t="0" r="2540" b="1270"/>
            <wp:docPr id="1806020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6894830"/>
                    </a:xfrm>
                    <a:prstGeom prst="rect">
                      <a:avLst/>
                    </a:prstGeom>
                    <a:noFill/>
                    <a:ln>
                      <a:noFill/>
                    </a:ln>
                  </pic:spPr>
                </pic:pic>
              </a:graphicData>
            </a:graphic>
          </wp:inline>
        </w:drawing>
      </w:r>
    </w:p>
    <w:bookmarkEnd w:id="68"/>
    <w:p w14:paraId="3E3D5BEC" w14:textId="77777777" w:rsidR="00AE395C" w:rsidRPr="002A514B" w:rsidRDefault="00AE395C" w:rsidP="00AE395C">
      <w:pPr>
        <w:spacing w:after="0" w:line="240" w:lineRule="auto"/>
        <w:rPr>
          <w:rFonts w:eastAsiaTheme="majorEastAsia" w:cstheme="minorHAnsi"/>
          <w:b/>
          <w:bCs/>
          <w:lang w:val="en-US"/>
        </w:rPr>
      </w:pPr>
      <w:r w:rsidRPr="002A514B">
        <w:rPr>
          <w:lang w:val="en-US"/>
        </w:rPr>
        <w:br w:type="page"/>
      </w:r>
    </w:p>
    <w:p w14:paraId="52FC3663" w14:textId="77777777" w:rsidR="00AE395C" w:rsidRPr="002A514B" w:rsidRDefault="00AE395C" w:rsidP="00AE395C">
      <w:pPr>
        <w:pStyle w:val="NoSpacing"/>
        <w:ind w:left="993" w:hanging="993"/>
        <w:rPr>
          <w:lang w:val="en-US"/>
        </w:rPr>
      </w:pPr>
      <w:bookmarkStart w:id="69" w:name="_Toc142952419"/>
      <w:bookmarkStart w:id="70" w:name="_Toc145879328"/>
      <w:r w:rsidRPr="002A514B">
        <w:rPr>
          <w:lang w:val="en-US"/>
        </w:rPr>
        <w:lastRenderedPageBreak/>
        <w:t>Moderation analysis household level regression data (cont.)</w:t>
      </w:r>
      <w:bookmarkEnd w:id="69"/>
      <w:bookmarkEnd w:id="70"/>
    </w:p>
    <w:p w14:paraId="30BF6303" w14:textId="126BDD5B" w:rsidR="00AE395C" w:rsidRPr="002A514B" w:rsidRDefault="00F65244" w:rsidP="00AE395C">
      <w:pPr>
        <w:spacing w:after="0" w:line="240" w:lineRule="auto"/>
        <w:rPr>
          <w:rFonts w:eastAsiaTheme="majorEastAsia" w:cstheme="minorHAnsi"/>
          <w:b/>
          <w:bCs/>
          <w:sz w:val="24"/>
        </w:rPr>
      </w:pPr>
      <w:r w:rsidRPr="002A514B">
        <w:rPr>
          <w:noProof/>
        </w:rPr>
        <w:drawing>
          <wp:inline distT="0" distB="0" distL="0" distR="0" wp14:anchorId="07CAC9D1" wp14:editId="5F95A229">
            <wp:extent cx="5731510" cy="6903720"/>
            <wp:effectExtent l="0" t="0" r="2540" b="0"/>
            <wp:docPr id="2490467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6903720"/>
                    </a:xfrm>
                    <a:prstGeom prst="rect">
                      <a:avLst/>
                    </a:prstGeom>
                    <a:noFill/>
                    <a:ln>
                      <a:noFill/>
                    </a:ln>
                  </pic:spPr>
                </pic:pic>
              </a:graphicData>
            </a:graphic>
          </wp:inline>
        </w:drawing>
      </w:r>
    </w:p>
    <w:p w14:paraId="394624E9" w14:textId="77777777" w:rsidR="00AE395C" w:rsidRPr="002A514B" w:rsidRDefault="00AE395C" w:rsidP="00AE395C">
      <w:pPr>
        <w:spacing w:after="0" w:line="240" w:lineRule="auto"/>
        <w:rPr>
          <w:rFonts w:eastAsiaTheme="majorEastAsia" w:cstheme="minorHAnsi"/>
          <w:b/>
          <w:bCs/>
          <w:sz w:val="24"/>
        </w:rPr>
      </w:pPr>
    </w:p>
    <w:p w14:paraId="5302C8AC" w14:textId="77777777" w:rsidR="00AE395C" w:rsidRPr="002A514B" w:rsidRDefault="00AE395C" w:rsidP="00AE395C">
      <w:pPr>
        <w:spacing w:after="0" w:line="240" w:lineRule="auto"/>
        <w:rPr>
          <w:rFonts w:eastAsiaTheme="majorEastAsia" w:cstheme="minorHAnsi"/>
          <w:b/>
          <w:bCs/>
          <w:lang w:val="en-US"/>
        </w:rPr>
      </w:pPr>
      <w:r w:rsidRPr="002A514B">
        <w:rPr>
          <w:lang w:val="en-US"/>
        </w:rPr>
        <w:br w:type="page"/>
      </w:r>
    </w:p>
    <w:p w14:paraId="2CD95A02" w14:textId="77777777" w:rsidR="00AE395C" w:rsidRPr="002A514B" w:rsidRDefault="00AE395C" w:rsidP="00AE395C">
      <w:pPr>
        <w:pStyle w:val="NoSpacing"/>
        <w:ind w:left="993" w:hanging="993"/>
        <w:rPr>
          <w:lang w:val="en-US"/>
        </w:rPr>
      </w:pPr>
      <w:bookmarkStart w:id="71" w:name="_Toc142952420"/>
      <w:bookmarkStart w:id="72" w:name="_Toc145879329"/>
      <w:r w:rsidRPr="002A514B">
        <w:rPr>
          <w:lang w:val="en-US"/>
        </w:rPr>
        <w:lastRenderedPageBreak/>
        <w:t>Moderation analysis individual level regression data</w:t>
      </w:r>
      <w:bookmarkEnd w:id="71"/>
      <w:bookmarkEnd w:id="72"/>
    </w:p>
    <w:p w14:paraId="295ECB4E" w14:textId="1992CA74" w:rsidR="00AE395C" w:rsidRPr="002A514B" w:rsidRDefault="00C9506F" w:rsidP="00AE395C">
      <w:pPr>
        <w:rPr>
          <w:lang w:val="en-US"/>
        </w:rPr>
      </w:pPr>
      <w:r w:rsidRPr="002A514B">
        <w:rPr>
          <w:noProof/>
        </w:rPr>
        <w:drawing>
          <wp:inline distT="0" distB="0" distL="0" distR="0" wp14:anchorId="1CACAA6A" wp14:editId="46BD91DF">
            <wp:extent cx="5731510" cy="6894830"/>
            <wp:effectExtent l="0" t="0" r="2540" b="1270"/>
            <wp:docPr id="88051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6894830"/>
                    </a:xfrm>
                    <a:prstGeom prst="rect">
                      <a:avLst/>
                    </a:prstGeom>
                    <a:noFill/>
                    <a:ln>
                      <a:noFill/>
                    </a:ln>
                  </pic:spPr>
                </pic:pic>
              </a:graphicData>
            </a:graphic>
          </wp:inline>
        </w:drawing>
      </w:r>
    </w:p>
    <w:p w14:paraId="34AA3B3D" w14:textId="77777777" w:rsidR="00AE395C" w:rsidRPr="002A514B" w:rsidRDefault="00AE395C" w:rsidP="00AE395C">
      <w:pPr>
        <w:spacing w:after="0" w:line="240" w:lineRule="auto"/>
        <w:rPr>
          <w:rFonts w:eastAsiaTheme="majorEastAsia" w:cstheme="minorHAnsi"/>
          <w:b/>
          <w:bCs/>
          <w:lang w:val="en-US"/>
        </w:rPr>
      </w:pPr>
      <w:r w:rsidRPr="002A514B">
        <w:rPr>
          <w:lang w:val="en-US"/>
        </w:rPr>
        <w:br w:type="page"/>
      </w:r>
    </w:p>
    <w:p w14:paraId="01AF6D14" w14:textId="77777777" w:rsidR="00AE395C" w:rsidRPr="002A514B" w:rsidRDefault="00AE395C" w:rsidP="00AE395C">
      <w:pPr>
        <w:pStyle w:val="NoSpacing"/>
        <w:ind w:left="993" w:hanging="993"/>
      </w:pPr>
      <w:bookmarkStart w:id="73" w:name="_Toc142952421"/>
      <w:bookmarkStart w:id="74" w:name="_Toc145879330"/>
      <w:r w:rsidRPr="002A514B">
        <w:rPr>
          <w:lang w:val="en-US"/>
        </w:rPr>
        <w:lastRenderedPageBreak/>
        <w:t>Moderation analysis individual level regression data (cont.)</w:t>
      </w:r>
      <w:bookmarkEnd w:id="73"/>
      <w:bookmarkEnd w:id="74"/>
    </w:p>
    <w:p w14:paraId="41F84A8B" w14:textId="2E4C9D2A" w:rsidR="00AE395C" w:rsidRPr="002A514B" w:rsidRDefault="00C9506F" w:rsidP="00AE395C">
      <w:pPr>
        <w:spacing w:after="0" w:line="240" w:lineRule="auto"/>
        <w:rPr>
          <w:rFonts w:eastAsiaTheme="majorEastAsia" w:cstheme="minorHAnsi"/>
          <w:b/>
          <w:bCs/>
          <w:sz w:val="24"/>
        </w:rPr>
      </w:pPr>
      <w:r w:rsidRPr="002A514B">
        <w:rPr>
          <w:noProof/>
        </w:rPr>
        <w:drawing>
          <wp:inline distT="0" distB="0" distL="0" distR="0" wp14:anchorId="146BD562" wp14:editId="73A13CAF">
            <wp:extent cx="5731510" cy="6903720"/>
            <wp:effectExtent l="0" t="0" r="2540" b="0"/>
            <wp:docPr id="533773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6903720"/>
                    </a:xfrm>
                    <a:prstGeom prst="rect">
                      <a:avLst/>
                    </a:prstGeom>
                    <a:noFill/>
                    <a:ln>
                      <a:noFill/>
                    </a:ln>
                  </pic:spPr>
                </pic:pic>
              </a:graphicData>
            </a:graphic>
          </wp:inline>
        </w:drawing>
      </w:r>
    </w:p>
    <w:p w14:paraId="6D508BC4" w14:textId="77777777" w:rsidR="00AE395C" w:rsidRPr="002A514B" w:rsidRDefault="00AE395C" w:rsidP="00AE395C">
      <w:pPr>
        <w:spacing w:after="0" w:line="240" w:lineRule="auto"/>
        <w:rPr>
          <w:rFonts w:eastAsiaTheme="majorEastAsia" w:cstheme="minorHAnsi"/>
          <w:b/>
          <w:bCs/>
          <w:sz w:val="24"/>
        </w:rPr>
      </w:pPr>
    </w:p>
    <w:p w14:paraId="460EC3CE" w14:textId="77777777" w:rsidR="00AE395C" w:rsidRPr="002A514B" w:rsidRDefault="00AE395C" w:rsidP="00AE395C">
      <w:pPr>
        <w:spacing w:after="0" w:line="240" w:lineRule="auto"/>
        <w:rPr>
          <w:rFonts w:eastAsiaTheme="majorEastAsia" w:cstheme="minorHAnsi"/>
          <w:b/>
          <w:bCs/>
          <w:sz w:val="24"/>
        </w:rPr>
      </w:pPr>
      <w:r w:rsidRPr="002A514B">
        <w:br w:type="page"/>
      </w:r>
    </w:p>
    <w:p w14:paraId="651C12B3" w14:textId="77777777" w:rsidR="00B26A35" w:rsidRPr="002A514B" w:rsidRDefault="00B26A35" w:rsidP="00B26A35">
      <w:pPr>
        <w:pStyle w:val="NoSpacing"/>
      </w:pPr>
      <w:bookmarkStart w:id="75" w:name="_Toc145879333"/>
      <w:r w:rsidRPr="002A514B">
        <w:lastRenderedPageBreak/>
        <w:t>References</w:t>
      </w:r>
      <w:bookmarkEnd w:id="75"/>
    </w:p>
    <w:p w14:paraId="1E7AFD0A" w14:textId="77777777" w:rsidR="000A314B" w:rsidRPr="002A514B" w:rsidRDefault="00AE395C" w:rsidP="000A314B">
      <w:pPr>
        <w:pStyle w:val="EndNoteBibliography"/>
        <w:spacing w:after="0"/>
        <w:ind w:left="720" w:hanging="720"/>
      </w:pPr>
      <w:r w:rsidRPr="002A514B">
        <w:fldChar w:fldCharType="begin"/>
      </w:r>
      <w:r w:rsidRPr="002A514B">
        <w:instrText xml:space="preserve"> ADDIN EN.REFLIST </w:instrText>
      </w:r>
      <w:r w:rsidRPr="002A514B">
        <w:fldChar w:fldCharType="separate"/>
      </w:r>
      <w:r w:rsidR="000A314B" w:rsidRPr="002A514B">
        <w:t xml:space="preserve">Aguinis, H., Edwards, J. R., &amp; Bradley, K. J. (2017). Improving Our Understanding of Moderation and Mediation in Strategic Management Research. </w:t>
      </w:r>
      <w:r w:rsidR="000A314B" w:rsidRPr="002A514B">
        <w:rPr>
          <w:i/>
        </w:rPr>
        <w:t>Organizational Research Methods, 20</w:t>
      </w:r>
      <w:r w:rsidR="000A314B" w:rsidRPr="002A514B">
        <w:t>(4), 665-685. doi:10.1177/1094428115627498</w:t>
      </w:r>
    </w:p>
    <w:p w14:paraId="0830A92D" w14:textId="77777777" w:rsidR="000A314B" w:rsidRPr="002A514B" w:rsidRDefault="000A314B" w:rsidP="000A314B">
      <w:pPr>
        <w:pStyle w:val="EndNoteBibliography"/>
        <w:spacing w:after="0"/>
        <w:ind w:left="720" w:hanging="720"/>
      </w:pPr>
      <w:r w:rsidRPr="002A514B">
        <w:t xml:space="preserve">Andreß, H.-J., &amp; Heien, T. (2001). Four Worlds of Welfare State Attitudes? A Comparison of Germany, Norway, and the United States. </w:t>
      </w:r>
      <w:r w:rsidRPr="002A514B">
        <w:rPr>
          <w:i/>
        </w:rPr>
        <w:t>European Sociological Review, 17</w:t>
      </w:r>
      <w:r w:rsidRPr="002A514B">
        <w:t xml:space="preserve">(4), 337-356. </w:t>
      </w:r>
    </w:p>
    <w:p w14:paraId="204D697D" w14:textId="77777777" w:rsidR="000A314B" w:rsidRPr="002A514B" w:rsidRDefault="000A314B" w:rsidP="000A314B">
      <w:pPr>
        <w:pStyle w:val="EndNoteBibliography"/>
        <w:spacing w:after="0"/>
        <w:ind w:left="720" w:hanging="720"/>
      </w:pPr>
      <w:r w:rsidRPr="002A514B">
        <w:t xml:space="preserve">Berk, R. (1990). A Primer on Robust Regression. In J. Fox &amp; J. S. Long (Eds.), </w:t>
      </w:r>
      <w:r w:rsidRPr="002A514B">
        <w:rPr>
          <w:i/>
        </w:rPr>
        <w:t>Modern Methods of Data Analysis</w:t>
      </w:r>
      <w:r w:rsidRPr="002A514B">
        <w:t xml:space="preserve"> (pp. 292-324). London; New Delhi: Sage Publications.</w:t>
      </w:r>
    </w:p>
    <w:p w14:paraId="7D705825" w14:textId="77777777" w:rsidR="000A314B" w:rsidRPr="002A514B" w:rsidRDefault="000A314B" w:rsidP="000A314B">
      <w:pPr>
        <w:pStyle w:val="EndNoteBibliography"/>
        <w:spacing w:after="0"/>
        <w:ind w:left="720" w:hanging="720"/>
      </w:pPr>
      <w:r w:rsidRPr="002A514B">
        <w:t xml:space="preserve">Blekesaune, M. (2007). Economic Conditions and Public Attitudes to Welfare Policies. </w:t>
      </w:r>
      <w:r w:rsidRPr="002A514B">
        <w:rPr>
          <w:i/>
        </w:rPr>
        <w:t>European Sociological Review, 23</w:t>
      </w:r>
      <w:r w:rsidRPr="002A514B">
        <w:t>(3), 393-403. doi:10.1093/esr/jcm012</w:t>
      </w:r>
    </w:p>
    <w:p w14:paraId="06F4DB6E" w14:textId="77777777" w:rsidR="000A314B" w:rsidRPr="002A514B" w:rsidRDefault="000A314B" w:rsidP="000A314B">
      <w:pPr>
        <w:pStyle w:val="EndNoteBibliography"/>
        <w:spacing w:after="0"/>
        <w:ind w:left="720" w:hanging="720"/>
      </w:pPr>
      <w:r w:rsidRPr="002A514B">
        <w:t xml:space="preserve">Busemeyer, J. R., &amp; Jones, L. E. (1983). Analysis of multiplicative combination rules when the causal variables are measured with error. </w:t>
      </w:r>
      <w:r w:rsidRPr="002A514B">
        <w:rPr>
          <w:i/>
        </w:rPr>
        <w:t>Psychological Bulletin, 93</w:t>
      </w:r>
      <w:r w:rsidRPr="002A514B">
        <w:t>(3), 549-562. doi:10.1037/0033-2909.93.3.549</w:t>
      </w:r>
    </w:p>
    <w:p w14:paraId="17A76368" w14:textId="77777777" w:rsidR="000A314B" w:rsidRPr="002A514B" w:rsidRDefault="000A314B" w:rsidP="000A314B">
      <w:pPr>
        <w:pStyle w:val="EndNoteBibliography"/>
        <w:spacing w:after="0"/>
        <w:ind w:left="720" w:hanging="720"/>
      </w:pPr>
      <w:r w:rsidRPr="002A514B">
        <w:t xml:space="preserve">Cohen, J. (1988). </w:t>
      </w:r>
      <w:r w:rsidRPr="002A514B">
        <w:rPr>
          <w:i/>
        </w:rPr>
        <w:t>Statistical power analysis for the behavioral sciences</w:t>
      </w:r>
      <w:r w:rsidRPr="002A514B">
        <w:t xml:space="preserve"> (2nd ed.). Hillsdale, NJ: Erlbaum.</w:t>
      </w:r>
    </w:p>
    <w:p w14:paraId="2C5D82A4" w14:textId="77777777" w:rsidR="000A314B" w:rsidRPr="002A514B" w:rsidRDefault="000A314B" w:rsidP="000A314B">
      <w:pPr>
        <w:pStyle w:val="EndNoteBibliography"/>
        <w:spacing w:after="0"/>
        <w:ind w:left="720" w:hanging="720"/>
      </w:pPr>
      <w:r w:rsidRPr="002A514B">
        <w:t xml:space="preserve">Dawson, J. F. (2014). Moderation in Management Research: What, Why, When, and How. </w:t>
      </w:r>
      <w:r w:rsidRPr="002A514B">
        <w:rPr>
          <w:i/>
        </w:rPr>
        <w:t>Journal of Business and Psychology, 29</w:t>
      </w:r>
      <w:r w:rsidRPr="002A514B">
        <w:t>(1), 1-19. doi:10.1007/s10869-013-9308-7</w:t>
      </w:r>
    </w:p>
    <w:p w14:paraId="082BFDD4" w14:textId="77777777" w:rsidR="000A314B" w:rsidRPr="002A514B" w:rsidRDefault="000A314B" w:rsidP="000A314B">
      <w:pPr>
        <w:pStyle w:val="EndNoteBibliography"/>
        <w:spacing w:after="0"/>
        <w:ind w:left="720" w:hanging="720"/>
      </w:pPr>
      <w:r w:rsidRPr="002A514B">
        <w:t xml:space="preserve">Draper, N. R., &amp; Smith, H. (1998). </w:t>
      </w:r>
      <w:r w:rsidRPr="002A514B">
        <w:rPr>
          <w:i/>
        </w:rPr>
        <w:t>Applied Regression Analysis</w:t>
      </w:r>
      <w:r w:rsidRPr="002A514B">
        <w:t xml:space="preserve"> (Third ed.). New York: John Wiley &amp; Sons, Inc.</w:t>
      </w:r>
    </w:p>
    <w:p w14:paraId="39984566" w14:textId="77777777" w:rsidR="000A314B" w:rsidRPr="002A514B" w:rsidRDefault="000A314B" w:rsidP="000A314B">
      <w:pPr>
        <w:pStyle w:val="EndNoteBibliography"/>
        <w:spacing w:after="0"/>
        <w:ind w:left="720" w:hanging="720"/>
      </w:pPr>
      <w:r w:rsidRPr="002A514B">
        <w:t xml:space="preserve">Fox, J., &amp; Weisberg, S. (2019). </w:t>
      </w:r>
      <w:r w:rsidRPr="002A514B">
        <w:rPr>
          <w:i/>
        </w:rPr>
        <w:t>An R Companion to Applied Regression</w:t>
      </w:r>
      <w:r w:rsidRPr="002A514B">
        <w:t xml:space="preserve"> (Third ed.). Thousand Oaks: SAGE Publications, Inc.</w:t>
      </w:r>
    </w:p>
    <w:p w14:paraId="3C71D237" w14:textId="77777777" w:rsidR="000A314B" w:rsidRPr="002A514B" w:rsidRDefault="000A314B" w:rsidP="000A314B">
      <w:pPr>
        <w:pStyle w:val="EndNoteBibliography"/>
        <w:spacing w:after="0"/>
        <w:ind w:left="720" w:hanging="720"/>
      </w:pPr>
      <w:r w:rsidRPr="002A514B">
        <w:t xml:space="preserve">Guttman, L. (1945). A basis for analyzing test-retest reliability. </w:t>
      </w:r>
      <w:r w:rsidRPr="002A514B">
        <w:rPr>
          <w:i/>
        </w:rPr>
        <w:t>Psychometrika, 10</w:t>
      </w:r>
      <w:r w:rsidRPr="002A514B">
        <w:t xml:space="preserve">, 255-282. </w:t>
      </w:r>
    </w:p>
    <w:p w14:paraId="52145487" w14:textId="3A376073" w:rsidR="000A314B" w:rsidRPr="002A514B" w:rsidRDefault="000A314B" w:rsidP="000A314B">
      <w:pPr>
        <w:pStyle w:val="EndNoteBibliography"/>
        <w:spacing w:after="0"/>
        <w:ind w:left="720" w:hanging="720"/>
      </w:pPr>
      <w:r w:rsidRPr="002A514B">
        <w:t xml:space="preserve">Gwartney, J., Lawson, R., Hall, J., &amp; Murphy, R. (2022). </w:t>
      </w:r>
      <w:r w:rsidRPr="002A514B">
        <w:rPr>
          <w:i/>
        </w:rPr>
        <w:t>Economic Freedom of the World: 2022 Annual Report</w:t>
      </w:r>
      <w:r w:rsidRPr="002A514B">
        <w:t xml:space="preserve">. Retrieved from Fraser Institute: </w:t>
      </w:r>
      <w:hyperlink r:id="rId38" w:history="1">
        <w:r w:rsidRPr="002A514B">
          <w:rPr>
            <w:rStyle w:val="Hyperlink"/>
          </w:rPr>
          <w:t>https://www.fraserinstitute.org/studies/economic-freedom</w:t>
        </w:r>
      </w:hyperlink>
    </w:p>
    <w:p w14:paraId="16645A43" w14:textId="77777777" w:rsidR="000A314B" w:rsidRPr="002A514B" w:rsidRDefault="000A314B" w:rsidP="000A314B">
      <w:pPr>
        <w:pStyle w:val="EndNoteBibliography"/>
        <w:spacing w:after="0"/>
        <w:ind w:left="720" w:hanging="720"/>
      </w:pPr>
      <w:r w:rsidRPr="002A514B">
        <w:t xml:space="preserve">Inglehart, R., Haerpfer, C., Moreno, A., Welzel, C., Kizilova, K., J., D.-M., . . . Puranen, B. e. a. e. (2020). </w:t>
      </w:r>
      <w:r w:rsidRPr="002A514B">
        <w:rPr>
          <w:i/>
        </w:rPr>
        <w:t>Integrated Values Surveys (IVS) 1981-2021</w:t>
      </w:r>
      <w:r w:rsidRPr="002A514B">
        <w:t>. Retrieved from: DOI: 10.14281/18241.15</w:t>
      </w:r>
    </w:p>
    <w:p w14:paraId="6FF4F844" w14:textId="77777777" w:rsidR="000A314B" w:rsidRPr="002A514B" w:rsidRDefault="000A314B" w:rsidP="000A314B">
      <w:pPr>
        <w:pStyle w:val="EndNoteBibliography"/>
        <w:spacing w:after="0"/>
        <w:ind w:left="720" w:hanging="720"/>
      </w:pPr>
      <w:r w:rsidRPr="002A514B">
        <w:t>Inklaar, R., Marapin, R., &amp; Woltjer, P. (2023). Penn World Table (Version 10.01). Available from Groningen Growth and Development Centre, Faculty of Economics and Business  Retrieved 20 April 2024, from University of Groningen</w:t>
      </w:r>
    </w:p>
    <w:p w14:paraId="2DEE60D2" w14:textId="77777777" w:rsidR="000A314B" w:rsidRPr="002A514B" w:rsidRDefault="000A314B" w:rsidP="000A314B">
      <w:pPr>
        <w:pStyle w:val="EndNoteBibliography"/>
        <w:spacing w:after="0"/>
        <w:ind w:left="720" w:hanging="720"/>
      </w:pPr>
      <w:r w:rsidRPr="002A514B">
        <w:t xml:space="preserve">Keselman, H. J., Holland, B., &amp; Cribbie, R. A. (2005). Multiple Comparison Procedures. In </w:t>
      </w:r>
      <w:r w:rsidRPr="002A514B">
        <w:rPr>
          <w:i/>
        </w:rPr>
        <w:t>Encyclopedia of Statistics in Behavioral Science</w:t>
      </w:r>
      <w:r w:rsidRPr="002A514B">
        <w:t>.</w:t>
      </w:r>
    </w:p>
    <w:p w14:paraId="7B4121C2" w14:textId="77777777" w:rsidR="000A314B" w:rsidRPr="002A514B" w:rsidRDefault="000A314B" w:rsidP="000A314B">
      <w:pPr>
        <w:pStyle w:val="EndNoteBibliography"/>
        <w:spacing w:after="0"/>
        <w:ind w:left="720" w:hanging="720"/>
      </w:pPr>
      <w:r w:rsidRPr="002A514B">
        <w:t xml:space="preserve">Murphy, K. R., &amp; Aguinis, H. (2022). Reporting Interaction Effects: Visualization, Effect Size, and Interpretation. </w:t>
      </w:r>
      <w:r w:rsidRPr="002A514B">
        <w:rPr>
          <w:i/>
        </w:rPr>
        <w:t>Journal of Management, 48</w:t>
      </w:r>
      <w:r w:rsidRPr="002A514B">
        <w:t>(8), 2159-2166. doi:10.1177/01492063221088516</w:t>
      </w:r>
    </w:p>
    <w:p w14:paraId="7721F13A" w14:textId="77777777" w:rsidR="000A314B" w:rsidRPr="002A514B" w:rsidRDefault="000A314B" w:rsidP="000A314B">
      <w:pPr>
        <w:pStyle w:val="EndNoteBibliography"/>
        <w:spacing w:after="0"/>
        <w:ind w:left="720" w:hanging="720"/>
      </w:pPr>
      <w:r w:rsidRPr="002A514B">
        <w:t xml:space="preserve">Quan, N. T. (1988). The Prediction Sum of Squares as a General Measure for Regression Diagnostics. </w:t>
      </w:r>
      <w:r w:rsidRPr="002A514B">
        <w:rPr>
          <w:i/>
        </w:rPr>
        <w:t>Journal of Business &amp; Economic Statistics, 6</w:t>
      </w:r>
      <w:r w:rsidRPr="002A514B">
        <w:t>(4), 501-504. doi:10.2307/1391469</w:t>
      </w:r>
    </w:p>
    <w:p w14:paraId="135303DA" w14:textId="77777777" w:rsidR="000A314B" w:rsidRPr="002A514B" w:rsidRDefault="000A314B" w:rsidP="000A314B">
      <w:pPr>
        <w:pStyle w:val="EndNoteBibliography"/>
        <w:spacing w:after="0"/>
        <w:ind w:left="720" w:hanging="720"/>
      </w:pPr>
      <w:r w:rsidRPr="002A514B">
        <w:t xml:space="preserve">Rehm, P. (2009). Risks and Redistribution: An Individual-Level Analysis. </w:t>
      </w:r>
      <w:r w:rsidRPr="002A514B">
        <w:rPr>
          <w:i/>
        </w:rPr>
        <w:t>Comparative Political Studies, 42</w:t>
      </w:r>
      <w:r w:rsidRPr="002A514B">
        <w:t>(7), 855-881. doi:10.1177/0010414008330595</w:t>
      </w:r>
    </w:p>
    <w:p w14:paraId="7CC930D7" w14:textId="77777777" w:rsidR="000A314B" w:rsidRPr="002A514B" w:rsidRDefault="000A314B" w:rsidP="000A314B">
      <w:pPr>
        <w:pStyle w:val="EndNoteBibliography"/>
        <w:spacing w:after="0"/>
        <w:ind w:left="720" w:hanging="720"/>
      </w:pPr>
      <w:r w:rsidRPr="002A514B">
        <w:t xml:space="preserve">Rhemtulla, M., Brosseau-Liard, P., &amp; Savalei, V. (2012). When can categorical variables be treated as continuous? A comparison of robust continuous and categorical SEM estimation methods under suboptimal conditions. </w:t>
      </w:r>
      <w:r w:rsidRPr="002A514B">
        <w:rPr>
          <w:i/>
        </w:rPr>
        <w:t>Psychological Methods, 17</w:t>
      </w:r>
      <w:r w:rsidRPr="002A514B">
        <w:t>(3), 354-373. doi:10.1037/a0029315</w:t>
      </w:r>
    </w:p>
    <w:p w14:paraId="03CC69FC" w14:textId="77777777" w:rsidR="000A314B" w:rsidRPr="002A514B" w:rsidRDefault="000A314B" w:rsidP="000A314B">
      <w:pPr>
        <w:pStyle w:val="EndNoteBibliography"/>
        <w:spacing w:after="0"/>
        <w:ind w:left="720" w:hanging="720"/>
      </w:pPr>
      <w:r w:rsidRPr="002A514B">
        <w:t xml:space="preserve">Solt, F. (2016). The Standardized World Income Inequality Database*. </w:t>
      </w:r>
      <w:r w:rsidRPr="002A514B">
        <w:rPr>
          <w:i/>
        </w:rPr>
        <w:t>Social Science Quarterly, 97</w:t>
      </w:r>
      <w:r w:rsidRPr="002A514B">
        <w:t>(5), 1267-1281. doi:10.1111/ssqu.12295</w:t>
      </w:r>
    </w:p>
    <w:p w14:paraId="4F7EE0D9" w14:textId="182FD072" w:rsidR="000A314B" w:rsidRPr="002A514B" w:rsidRDefault="000A314B" w:rsidP="000A314B">
      <w:pPr>
        <w:pStyle w:val="EndNoteBibliography"/>
        <w:spacing w:after="0"/>
        <w:ind w:left="720" w:hanging="720"/>
      </w:pPr>
      <w:r w:rsidRPr="002A514B">
        <w:t xml:space="preserve">Solt, F. (2019). </w:t>
      </w:r>
      <w:r w:rsidRPr="002A514B">
        <w:rPr>
          <w:i/>
        </w:rPr>
        <w:t>The Standardized World Income Inequality Database, Versions 8-9</w:t>
      </w:r>
      <w:r w:rsidRPr="002A514B">
        <w:t xml:space="preserve">. Retrieved from: </w:t>
      </w:r>
      <w:hyperlink r:id="rId39" w:history="1">
        <w:r w:rsidRPr="002A514B">
          <w:rPr>
            <w:rStyle w:val="Hyperlink"/>
          </w:rPr>
          <w:t>https://doi.org/10.7910/DVN/LM4OWF</w:t>
        </w:r>
      </w:hyperlink>
    </w:p>
    <w:p w14:paraId="6ACD7296" w14:textId="77777777" w:rsidR="000A314B" w:rsidRPr="002A514B" w:rsidRDefault="000A314B" w:rsidP="000A314B">
      <w:pPr>
        <w:pStyle w:val="EndNoteBibliography"/>
        <w:spacing w:after="0"/>
        <w:ind w:left="720" w:hanging="720"/>
      </w:pPr>
      <w:r w:rsidRPr="002A514B">
        <w:t xml:space="preserve">Stevens, S. S. (1946). On the Theory of Scales of Measurement. </w:t>
      </w:r>
      <w:r w:rsidRPr="002A514B">
        <w:rPr>
          <w:i/>
        </w:rPr>
        <w:t>Science, 103</w:t>
      </w:r>
      <w:r w:rsidRPr="002A514B">
        <w:t>(2684), 677-680. doi:10.1126/science.103.2684.677</w:t>
      </w:r>
    </w:p>
    <w:p w14:paraId="4AA920B0" w14:textId="77777777" w:rsidR="000A314B" w:rsidRPr="002A514B" w:rsidRDefault="000A314B" w:rsidP="000A314B">
      <w:pPr>
        <w:pStyle w:val="EndNoteBibliography"/>
        <w:spacing w:after="0"/>
        <w:ind w:left="720" w:hanging="720"/>
      </w:pPr>
      <w:r w:rsidRPr="002A514B">
        <w:t xml:space="preserve">Stockemer, D. (2019). </w:t>
      </w:r>
      <w:r w:rsidRPr="002A514B">
        <w:rPr>
          <w:i/>
        </w:rPr>
        <w:t>Quantitative Methods for the Social Sciences: A Practical Introduction with Examples in SPSS and Stata</w:t>
      </w:r>
      <w:r w:rsidRPr="002A514B">
        <w:t>. Cham: Springer International Publishing.</w:t>
      </w:r>
    </w:p>
    <w:p w14:paraId="288F1ED8" w14:textId="77777777" w:rsidR="000A314B" w:rsidRPr="002A514B" w:rsidRDefault="000A314B" w:rsidP="000A314B">
      <w:pPr>
        <w:pStyle w:val="EndNoteBibliography"/>
        <w:spacing w:after="0"/>
        <w:ind w:left="720" w:hanging="720"/>
      </w:pPr>
      <w:r w:rsidRPr="002A514B">
        <w:t xml:space="preserve">Tabachnick, B. G., &amp; Fidell, L. S. (2013). </w:t>
      </w:r>
      <w:r w:rsidRPr="002A514B">
        <w:rPr>
          <w:i/>
        </w:rPr>
        <w:t>Using Multivariate Statistics</w:t>
      </w:r>
      <w:r w:rsidRPr="002A514B">
        <w:t xml:space="preserve"> (Sixth ed.): Pearson Education Inc.</w:t>
      </w:r>
    </w:p>
    <w:p w14:paraId="24F61BB4" w14:textId="0373DE6A" w:rsidR="000A314B" w:rsidRPr="002A514B" w:rsidRDefault="000A314B" w:rsidP="000A314B">
      <w:pPr>
        <w:pStyle w:val="EndNoteBibliography"/>
        <w:spacing w:after="0"/>
        <w:ind w:left="720" w:hanging="720"/>
      </w:pPr>
      <w:r w:rsidRPr="002A514B">
        <w:lastRenderedPageBreak/>
        <w:t xml:space="preserve">von Hippel, P. T. (2005). Mean, Median, and Skew: Correcting a Textbook Rule. </w:t>
      </w:r>
      <w:r w:rsidRPr="002A514B">
        <w:rPr>
          <w:i/>
        </w:rPr>
        <w:t>Journal of Statistics Education,, 13</w:t>
      </w:r>
      <w:r w:rsidRPr="002A514B">
        <w:t>(2). doi:</w:t>
      </w:r>
      <w:hyperlink r:id="rId40" w:history="1">
        <w:r w:rsidRPr="002A514B">
          <w:rPr>
            <w:rStyle w:val="Hyperlink"/>
          </w:rPr>
          <w:t>https://doi.org/10.1080/10691898.2005.11910556</w:t>
        </w:r>
      </w:hyperlink>
    </w:p>
    <w:p w14:paraId="391B9BE1" w14:textId="7A242F69" w:rsidR="000A314B" w:rsidRPr="002A514B" w:rsidRDefault="000A314B" w:rsidP="000A314B">
      <w:pPr>
        <w:pStyle w:val="EndNoteBibliography"/>
        <w:spacing w:after="0"/>
        <w:ind w:left="720" w:hanging="720"/>
      </w:pPr>
      <w:r w:rsidRPr="002A514B">
        <w:t xml:space="preserve">WID.world. (2024). World Inequality Database.  Retrieved 04 August 2024, from The World Inequality Lab </w:t>
      </w:r>
      <w:hyperlink r:id="rId41" w:history="1">
        <w:r w:rsidRPr="002A514B">
          <w:rPr>
            <w:rStyle w:val="Hyperlink"/>
          </w:rPr>
          <w:t>https://wid.world/data/</w:t>
        </w:r>
      </w:hyperlink>
    </w:p>
    <w:p w14:paraId="4E8E2AF3" w14:textId="77777777" w:rsidR="000A314B" w:rsidRPr="002A514B" w:rsidRDefault="000A314B" w:rsidP="000A314B">
      <w:pPr>
        <w:pStyle w:val="EndNoteBibliography"/>
        <w:ind w:left="720" w:hanging="720"/>
      </w:pPr>
      <w:r w:rsidRPr="002A514B">
        <w:t xml:space="preserve">Wooldridge, J. M. (2016). </w:t>
      </w:r>
      <w:r w:rsidRPr="002A514B">
        <w:rPr>
          <w:i/>
        </w:rPr>
        <w:t>Introductory Econometrics : a modern approach</w:t>
      </w:r>
      <w:r w:rsidRPr="002A514B">
        <w:t xml:space="preserve"> (Sixth ed.). Boston, MA: Cengage Learning.</w:t>
      </w:r>
    </w:p>
    <w:p w14:paraId="418EF5F9" w14:textId="4286F5BD" w:rsidR="00176F04" w:rsidRDefault="00AE395C">
      <w:r w:rsidRPr="002A514B">
        <w:fldChar w:fldCharType="end"/>
      </w:r>
      <w:r w:rsidR="002C5008" w:rsidRPr="002A514B">
        <w:fldChar w:fldCharType="begin"/>
      </w:r>
      <w:r w:rsidR="002C5008" w:rsidRPr="002A514B">
        <w:instrText xml:space="preserve"> ADDIN </w:instrText>
      </w:r>
      <w:r w:rsidR="002C5008" w:rsidRPr="002A514B">
        <w:fldChar w:fldCharType="end"/>
      </w:r>
    </w:p>
    <w:sectPr w:rsidR="00176F04" w:rsidSect="00665571">
      <w:head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8ED93" w14:textId="77777777" w:rsidR="00F831AF" w:rsidRDefault="00F831AF" w:rsidP="00AE395C">
      <w:pPr>
        <w:spacing w:after="0" w:line="240" w:lineRule="auto"/>
      </w:pPr>
      <w:r>
        <w:separator/>
      </w:r>
    </w:p>
  </w:endnote>
  <w:endnote w:type="continuationSeparator" w:id="0">
    <w:p w14:paraId="399E3384" w14:textId="77777777" w:rsidR="00F831AF" w:rsidRDefault="00F831AF" w:rsidP="00AE3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582B7" w14:textId="77777777" w:rsidR="00F831AF" w:rsidRDefault="00F831AF" w:rsidP="00AE395C">
      <w:pPr>
        <w:spacing w:after="0" w:line="240" w:lineRule="auto"/>
      </w:pPr>
      <w:r>
        <w:separator/>
      </w:r>
    </w:p>
  </w:footnote>
  <w:footnote w:type="continuationSeparator" w:id="0">
    <w:p w14:paraId="096B2FA4" w14:textId="77777777" w:rsidR="00F831AF" w:rsidRDefault="00F831AF" w:rsidP="00AE39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826389"/>
      <w:docPartObj>
        <w:docPartGallery w:val="Page Numbers (Top of Page)"/>
        <w:docPartUnique/>
      </w:docPartObj>
    </w:sdtPr>
    <w:sdtContent>
      <w:p w14:paraId="2563A899" w14:textId="4122F2C5" w:rsidR="004D67A0" w:rsidRDefault="004D67A0">
        <w:pPr>
          <w:pStyle w:val="Header"/>
          <w:jc w:val="right"/>
        </w:pPr>
        <w:r>
          <w:t>A</w:t>
        </w:r>
        <w:r>
          <w:fldChar w:fldCharType="begin"/>
        </w:r>
        <w:r>
          <w:instrText>PAGE   \* MERGEFORMAT</w:instrText>
        </w:r>
        <w:r>
          <w:fldChar w:fldCharType="separate"/>
        </w:r>
        <w:r>
          <w:t>2</w:t>
        </w:r>
        <w:r>
          <w:fldChar w:fldCharType="end"/>
        </w:r>
      </w:p>
    </w:sdtContent>
  </w:sdt>
  <w:p w14:paraId="1098558D" w14:textId="77777777" w:rsidR="004D67A0" w:rsidRDefault="004D6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10E35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C4575E"/>
    <w:multiLevelType w:val="hybridMultilevel"/>
    <w:tmpl w:val="42B476FC"/>
    <w:lvl w:ilvl="0" w:tplc="FD681DAA">
      <w:start w:val="1"/>
      <w:numFmt w:val="decimal"/>
      <w:pStyle w:val="ListParagraph"/>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8822F00"/>
    <w:multiLevelType w:val="hybridMultilevel"/>
    <w:tmpl w:val="7C9E184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9166419"/>
    <w:multiLevelType w:val="hybridMultilevel"/>
    <w:tmpl w:val="76E015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D4E493F"/>
    <w:multiLevelType w:val="multilevel"/>
    <w:tmpl w:val="9F003052"/>
    <w:lvl w:ilvl="0">
      <w:start w:val="4"/>
      <w:numFmt w:val="decimal"/>
      <w:lvlText w:val="A%1."/>
      <w:lvlJc w:val="left"/>
      <w:pPr>
        <w:ind w:left="851" w:hanging="851"/>
      </w:pPr>
      <w:rPr>
        <w:rFonts w:hint="default"/>
      </w:rPr>
    </w:lvl>
    <w:lvl w:ilvl="1">
      <w:start w:val="1"/>
      <w:numFmt w:val="decimal"/>
      <w:pStyle w:val="Heading1"/>
      <w:lvlText w:val="A%2"/>
      <w:lvlJc w:val="left"/>
      <w:pPr>
        <w:ind w:left="851" w:hanging="851"/>
      </w:pPr>
      <w:rPr>
        <w:rFonts w:hint="default"/>
      </w:rPr>
    </w:lvl>
    <w:lvl w:ilvl="2">
      <w:start w:val="1"/>
      <w:numFmt w:val="decimal"/>
      <w:pStyle w:val="Heading2"/>
      <w:lvlText w:val="%2.%3"/>
      <w:lvlJc w:val="left"/>
      <w:pPr>
        <w:ind w:left="851" w:hanging="851"/>
      </w:pPr>
      <w:rPr>
        <w:rFonts w:hint="default"/>
        <w:i w:val="0"/>
        <w:sz w:val="22"/>
        <w:vertAlign w:val="baseline"/>
      </w:rPr>
    </w:lvl>
    <w:lvl w:ilvl="3">
      <w:start w:val="1"/>
      <w:numFmt w:val="decimal"/>
      <w:pStyle w:val="NoSpacing"/>
      <w:lvlText w:val="5.%3.%4"/>
      <w:lvlJc w:val="left"/>
      <w:pPr>
        <w:ind w:left="851" w:hanging="851"/>
      </w:pPr>
      <w:rPr>
        <w:rFonts w:hint="default"/>
        <w:b/>
        <w:i w:val="0"/>
        <w:sz w:val="22"/>
        <w:szCs w:val="22"/>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5" w15:restartNumberingAfterBreak="0">
    <w:nsid w:val="723E7CBD"/>
    <w:multiLevelType w:val="multilevel"/>
    <w:tmpl w:val="D1623392"/>
    <w:lvl w:ilvl="0">
      <w:start w:val="5"/>
      <w:numFmt w:val="decimal"/>
      <w:lvlText w:val="A%1."/>
      <w:lvlJc w:val="left"/>
      <w:pPr>
        <w:ind w:left="432" w:hanging="432"/>
      </w:pPr>
      <w:rPr>
        <w:rFonts w:hint="default"/>
        <w:sz w:val="28"/>
      </w:rPr>
    </w:lvl>
    <w:lvl w:ilvl="1">
      <w:start w:val="1"/>
      <w:numFmt w:val="decimal"/>
      <w:lvlText w:val="%1.%2"/>
      <w:lvlJc w:val="left"/>
      <w:pPr>
        <w:ind w:left="576" w:hanging="576"/>
      </w:pPr>
      <w:rPr>
        <w:rFonts w:hint="default"/>
      </w:rPr>
    </w:lvl>
    <w:lvl w:ilvl="2">
      <w:start w:val="4"/>
      <w:numFmt w:val="decimal"/>
      <w:lvlText w:val="A%3."/>
      <w:lvlJc w:val="left"/>
      <w:pPr>
        <w:ind w:left="2564" w:hanging="720"/>
      </w:pPr>
      <w:rPr>
        <w:rFonts w:hint="default"/>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656565680">
    <w:abstractNumId w:val="5"/>
  </w:num>
  <w:num w:numId="2" w16cid:durableId="1044329982">
    <w:abstractNumId w:val="4"/>
  </w:num>
  <w:num w:numId="3" w16cid:durableId="779838478">
    <w:abstractNumId w:val="2"/>
  </w:num>
  <w:num w:numId="4" w16cid:durableId="62456039">
    <w:abstractNumId w:val="1"/>
  </w:num>
  <w:num w:numId="5" w16cid:durableId="948437120">
    <w:abstractNumId w:val="4"/>
  </w:num>
  <w:num w:numId="6" w16cid:durableId="1522737536">
    <w:abstractNumId w:val="4"/>
  </w:num>
  <w:num w:numId="7" w16cid:durableId="201133702">
    <w:abstractNumId w:val="4"/>
  </w:num>
  <w:num w:numId="8" w16cid:durableId="746264447">
    <w:abstractNumId w:val="4"/>
  </w:num>
  <w:num w:numId="9" w16cid:durableId="1444762236">
    <w:abstractNumId w:val="4"/>
  </w:num>
  <w:num w:numId="10" w16cid:durableId="1273241998">
    <w:abstractNumId w:val="4"/>
  </w:num>
  <w:num w:numId="11" w16cid:durableId="838811883">
    <w:abstractNumId w:val="4"/>
  </w:num>
  <w:num w:numId="12" w16cid:durableId="32005906">
    <w:abstractNumId w:val="4"/>
  </w:num>
  <w:num w:numId="13" w16cid:durableId="885871520">
    <w:abstractNumId w:val="4"/>
  </w:num>
  <w:num w:numId="14" w16cid:durableId="1636374703">
    <w:abstractNumId w:val="4"/>
  </w:num>
  <w:num w:numId="15" w16cid:durableId="1925648875">
    <w:abstractNumId w:val="4"/>
  </w:num>
  <w:num w:numId="16" w16cid:durableId="180314777">
    <w:abstractNumId w:val="4"/>
  </w:num>
  <w:num w:numId="17" w16cid:durableId="1129084144">
    <w:abstractNumId w:val="4"/>
  </w:num>
  <w:num w:numId="18" w16cid:durableId="882132654">
    <w:abstractNumId w:val="0"/>
  </w:num>
  <w:num w:numId="19" w16cid:durableId="1992712053">
    <w:abstractNumId w:val="4"/>
  </w:num>
  <w:num w:numId="20" w16cid:durableId="717826051">
    <w:abstractNumId w:val="4"/>
  </w:num>
  <w:num w:numId="21" w16cid:durableId="1985773152">
    <w:abstractNumId w:val="3"/>
  </w:num>
  <w:num w:numId="22" w16cid:durableId="1782918368">
    <w:abstractNumId w:val="4"/>
  </w:num>
  <w:num w:numId="23" w16cid:durableId="1008675980">
    <w:abstractNumId w:val="4"/>
  </w:num>
  <w:num w:numId="24" w16cid:durableId="931282788">
    <w:abstractNumId w:val="4"/>
  </w:num>
  <w:num w:numId="25" w16cid:durableId="62576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usiness Eth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ezazf2nx9ex2ee0zo55t532f0tw90t2rf0&quot;&gt;My EndNote Library&lt;record-ids&gt;&lt;item&gt;550&lt;/item&gt;&lt;item&gt;552&lt;/item&gt;&lt;item&gt;1030&lt;/item&gt;&lt;item&gt;1031&lt;/item&gt;&lt;item&gt;1206&lt;/item&gt;&lt;item&gt;1207&lt;/item&gt;&lt;item&gt;1214&lt;/item&gt;&lt;item&gt;1215&lt;/item&gt;&lt;item&gt;1216&lt;/item&gt;&lt;item&gt;1242&lt;/item&gt;&lt;item&gt;1251&lt;/item&gt;&lt;item&gt;1267&lt;/item&gt;&lt;item&gt;1271&lt;/item&gt;&lt;item&gt;1276&lt;/item&gt;&lt;item&gt;1281&lt;/item&gt;&lt;item&gt;1314&lt;/item&gt;&lt;item&gt;1316&lt;/item&gt;&lt;item&gt;1318&lt;/item&gt;&lt;item&gt;1327&lt;/item&gt;&lt;item&gt;1336&lt;/item&gt;&lt;item&gt;1337&lt;/item&gt;&lt;item&gt;1370&lt;/item&gt;&lt;item&gt;1371&lt;/item&gt;&lt;item&gt;1372&lt;/item&gt;&lt;item&gt;1373&lt;/item&gt;&lt;item&gt;1387&lt;/item&gt;&lt;/record-ids&gt;&lt;/item&gt;&lt;/Libraries&gt;"/>
  </w:docVars>
  <w:rsids>
    <w:rsidRoot w:val="00AE395C"/>
    <w:rsid w:val="00036755"/>
    <w:rsid w:val="00082FF7"/>
    <w:rsid w:val="000A314B"/>
    <w:rsid w:val="000C0AD2"/>
    <w:rsid w:val="000D098C"/>
    <w:rsid w:val="00112A90"/>
    <w:rsid w:val="00122E5C"/>
    <w:rsid w:val="00132828"/>
    <w:rsid w:val="00137A4E"/>
    <w:rsid w:val="0014559B"/>
    <w:rsid w:val="0017216C"/>
    <w:rsid w:val="001725AE"/>
    <w:rsid w:val="00173B46"/>
    <w:rsid w:val="00176F04"/>
    <w:rsid w:val="00185A7A"/>
    <w:rsid w:val="001C0BAB"/>
    <w:rsid w:val="001D5B58"/>
    <w:rsid w:val="001E606A"/>
    <w:rsid w:val="002209E2"/>
    <w:rsid w:val="00220D8E"/>
    <w:rsid w:val="002322EC"/>
    <w:rsid w:val="00232317"/>
    <w:rsid w:val="00233E7C"/>
    <w:rsid w:val="00236168"/>
    <w:rsid w:val="00251AEF"/>
    <w:rsid w:val="00254BE1"/>
    <w:rsid w:val="0025506D"/>
    <w:rsid w:val="002A514B"/>
    <w:rsid w:val="002B69A4"/>
    <w:rsid w:val="002B7707"/>
    <w:rsid w:val="002C5008"/>
    <w:rsid w:val="002D2904"/>
    <w:rsid w:val="002F26C3"/>
    <w:rsid w:val="003050A2"/>
    <w:rsid w:val="003135EE"/>
    <w:rsid w:val="00352399"/>
    <w:rsid w:val="00363770"/>
    <w:rsid w:val="003642D4"/>
    <w:rsid w:val="00370C9F"/>
    <w:rsid w:val="003A342E"/>
    <w:rsid w:val="003B739A"/>
    <w:rsid w:val="003C4377"/>
    <w:rsid w:val="003E5AF3"/>
    <w:rsid w:val="003E688D"/>
    <w:rsid w:val="004062A6"/>
    <w:rsid w:val="0044653C"/>
    <w:rsid w:val="004672D6"/>
    <w:rsid w:val="0047270F"/>
    <w:rsid w:val="00474303"/>
    <w:rsid w:val="004D2D25"/>
    <w:rsid w:val="004D67A0"/>
    <w:rsid w:val="004E185B"/>
    <w:rsid w:val="00587A36"/>
    <w:rsid w:val="005A0685"/>
    <w:rsid w:val="005A5728"/>
    <w:rsid w:val="005A7807"/>
    <w:rsid w:val="005F5584"/>
    <w:rsid w:val="006530A3"/>
    <w:rsid w:val="006541B6"/>
    <w:rsid w:val="00657B94"/>
    <w:rsid w:val="00665571"/>
    <w:rsid w:val="006A7A96"/>
    <w:rsid w:val="006D52C5"/>
    <w:rsid w:val="007028B3"/>
    <w:rsid w:val="00710FA8"/>
    <w:rsid w:val="00745358"/>
    <w:rsid w:val="007453D6"/>
    <w:rsid w:val="00756E0B"/>
    <w:rsid w:val="007620BF"/>
    <w:rsid w:val="0076612E"/>
    <w:rsid w:val="00783AC1"/>
    <w:rsid w:val="00790B1B"/>
    <w:rsid w:val="007B498D"/>
    <w:rsid w:val="007C5A4A"/>
    <w:rsid w:val="008010E2"/>
    <w:rsid w:val="0080321E"/>
    <w:rsid w:val="0083542A"/>
    <w:rsid w:val="00884EC4"/>
    <w:rsid w:val="008B0807"/>
    <w:rsid w:val="008B1F95"/>
    <w:rsid w:val="008D4ED0"/>
    <w:rsid w:val="008F7D79"/>
    <w:rsid w:val="00936976"/>
    <w:rsid w:val="0095731D"/>
    <w:rsid w:val="00963461"/>
    <w:rsid w:val="009708C5"/>
    <w:rsid w:val="0097143F"/>
    <w:rsid w:val="00972BEB"/>
    <w:rsid w:val="00973A78"/>
    <w:rsid w:val="00975AC2"/>
    <w:rsid w:val="009A44BE"/>
    <w:rsid w:val="009F1260"/>
    <w:rsid w:val="00A12915"/>
    <w:rsid w:val="00A55201"/>
    <w:rsid w:val="00A578DC"/>
    <w:rsid w:val="00AC26C9"/>
    <w:rsid w:val="00AE0F70"/>
    <w:rsid w:val="00AE395C"/>
    <w:rsid w:val="00AF4340"/>
    <w:rsid w:val="00B01CBB"/>
    <w:rsid w:val="00B10E26"/>
    <w:rsid w:val="00B25666"/>
    <w:rsid w:val="00B26A35"/>
    <w:rsid w:val="00B338FD"/>
    <w:rsid w:val="00B47800"/>
    <w:rsid w:val="00B75285"/>
    <w:rsid w:val="00B8290D"/>
    <w:rsid w:val="00BA26A0"/>
    <w:rsid w:val="00BA3EE6"/>
    <w:rsid w:val="00BA5FD9"/>
    <w:rsid w:val="00BD0EBF"/>
    <w:rsid w:val="00BF4A39"/>
    <w:rsid w:val="00C3534E"/>
    <w:rsid w:val="00C60598"/>
    <w:rsid w:val="00C631E7"/>
    <w:rsid w:val="00C73197"/>
    <w:rsid w:val="00C74B81"/>
    <w:rsid w:val="00C91EAE"/>
    <w:rsid w:val="00C9506F"/>
    <w:rsid w:val="00CC1B3D"/>
    <w:rsid w:val="00CD4A28"/>
    <w:rsid w:val="00CE13A8"/>
    <w:rsid w:val="00CF7473"/>
    <w:rsid w:val="00D02F3C"/>
    <w:rsid w:val="00D22E29"/>
    <w:rsid w:val="00D237BA"/>
    <w:rsid w:val="00D3787E"/>
    <w:rsid w:val="00D575D8"/>
    <w:rsid w:val="00D96960"/>
    <w:rsid w:val="00E03C87"/>
    <w:rsid w:val="00E06926"/>
    <w:rsid w:val="00E92551"/>
    <w:rsid w:val="00EC36D5"/>
    <w:rsid w:val="00ED60C8"/>
    <w:rsid w:val="00EE3412"/>
    <w:rsid w:val="00F65244"/>
    <w:rsid w:val="00F7608B"/>
    <w:rsid w:val="00F83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BC864"/>
  <w15:chartTrackingRefBased/>
  <w15:docId w15:val="{8A61275F-2F4F-45AA-B3E2-08248CFD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95C"/>
    <w:pPr>
      <w:spacing w:after="120" w:line="264" w:lineRule="auto"/>
    </w:pPr>
  </w:style>
  <w:style w:type="paragraph" w:styleId="Heading1">
    <w:name w:val="heading 1"/>
    <w:basedOn w:val="Normal"/>
    <w:next w:val="Normal"/>
    <w:link w:val="Heading1Char"/>
    <w:uiPriority w:val="9"/>
    <w:qFormat/>
    <w:rsid w:val="00AE395C"/>
    <w:pPr>
      <w:keepNext/>
      <w:keepLines/>
      <w:numPr>
        <w:ilvl w:val="1"/>
        <w:numId w:val="2"/>
      </w:numPr>
      <w:spacing w:after="240"/>
      <w:outlineLvl w:val="0"/>
    </w:pPr>
    <w:rPr>
      <w:rFonts w:eastAsiaTheme="majorEastAsia" w:cstheme="minorHAnsi"/>
      <w:b/>
      <w:bCs/>
      <w:sz w:val="24"/>
    </w:rPr>
  </w:style>
  <w:style w:type="paragraph" w:styleId="Heading2">
    <w:name w:val="heading 2"/>
    <w:aliases w:val="Subheading,Sub1"/>
    <w:basedOn w:val="Normal"/>
    <w:next w:val="Normal"/>
    <w:link w:val="Heading2Char"/>
    <w:uiPriority w:val="9"/>
    <w:unhideWhenUsed/>
    <w:qFormat/>
    <w:rsid w:val="00AE395C"/>
    <w:pPr>
      <w:keepNext/>
      <w:keepLines/>
      <w:numPr>
        <w:ilvl w:val="2"/>
        <w:numId w:val="2"/>
      </w:numPr>
      <w:spacing w:after="240"/>
      <w:outlineLvl w:val="1"/>
    </w:pPr>
    <w:rPr>
      <w:rFonts w:eastAsiaTheme="majorEastAsia" w:cstheme="minorHAnsi"/>
      <w:b/>
      <w:bCs/>
    </w:rPr>
  </w:style>
  <w:style w:type="paragraph" w:styleId="Heading3">
    <w:name w:val="heading 3"/>
    <w:aliases w:val="Sub2"/>
    <w:basedOn w:val="Normal"/>
    <w:next w:val="Normal"/>
    <w:link w:val="Heading3Char"/>
    <w:uiPriority w:val="9"/>
    <w:unhideWhenUsed/>
    <w:qFormat/>
    <w:rsid w:val="00AE39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unhideWhenUsed/>
    <w:rsid w:val="00082FF7"/>
    <w:pPr>
      <w:keepNext/>
      <w:keepLines/>
      <w:spacing w:before="40" w:after="0"/>
      <w:ind w:left="1008" w:hanging="1008"/>
      <w:outlineLvl w:val="4"/>
    </w:pPr>
    <w:rPr>
      <w:rFonts w:asciiTheme="majorHAnsi" w:eastAsiaTheme="majorEastAsia" w:hAnsiTheme="majorHAnsi" w:cstheme="majorBidi"/>
      <w:bCs/>
      <w:color w:val="2E74B5" w:themeColor="accent1" w:themeShade="BF"/>
    </w:rPr>
  </w:style>
  <w:style w:type="paragraph" w:styleId="Heading6">
    <w:name w:val="heading 6"/>
    <w:basedOn w:val="Normal"/>
    <w:next w:val="Normal"/>
    <w:link w:val="Heading6Char"/>
    <w:uiPriority w:val="9"/>
    <w:unhideWhenUsed/>
    <w:qFormat/>
    <w:rsid w:val="00082FF7"/>
    <w:pPr>
      <w:keepNext/>
      <w:keepLines/>
      <w:spacing w:before="40" w:after="0"/>
      <w:ind w:left="1152" w:hanging="1152"/>
      <w:outlineLvl w:val="5"/>
    </w:pPr>
    <w:rPr>
      <w:rFonts w:asciiTheme="majorHAnsi" w:eastAsiaTheme="majorEastAsia" w:hAnsiTheme="majorHAnsi" w:cstheme="majorBidi"/>
      <w:bCs/>
      <w:color w:val="1F4D78" w:themeColor="accent1" w:themeShade="7F"/>
    </w:rPr>
  </w:style>
  <w:style w:type="paragraph" w:styleId="Heading7">
    <w:name w:val="heading 7"/>
    <w:basedOn w:val="Normal"/>
    <w:next w:val="Normal"/>
    <w:link w:val="Heading7Char"/>
    <w:uiPriority w:val="9"/>
    <w:unhideWhenUsed/>
    <w:qFormat/>
    <w:rsid w:val="00082FF7"/>
    <w:pPr>
      <w:keepNext/>
      <w:keepLines/>
      <w:spacing w:before="40" w:after="0"/>
      <w:ind w:left="1296" w:hanging="1296"/>
      <w:outlineLvl w:val="6"/>
    </w:pPr>
    <w:rPr>
      <w:rFonts w:asciiTheme="majorHAnsi" w:eastAsiaTheme="majorEastAsia" w:hAnsiTheme="majorHAnsi" w:cstheme="majorBidi"/>
      <w:bCs/>
      <w:i/>
      <w:iCs/>
      <w:color w:val="1F4D78" w:themeColor="accent1" w:themeShade="7F"/>
    </w:rPr>
  </w:style>
  <w:style w:type="paragraph" w:styleId="Heading8">
    <w:name w:val="heading 8"/>
    <w:basedOn w:val="Normal"/>
    <w:next w:val="Normal"/>
    <w:link w:val="Heading8Char"/>
    <w:uiPriority w:val="9"/>
    <w:unhideWhenUsed/>
    <w:qFormat/>
    <w:rsid w:val="00082FF7"/>
    <w:pPr>
      <w:keepNext/>
      <w:keepLines/>
      <w:spacing w:before="40" w:after="0"/>
      <w:ind w:left="1440" w:hanging="1440"/>
      <w:outlineLvl w:val="7"/>
    </w:pPr>
    <w:rPr>
      <w:rFonts w:asciiTheme="majorHAnsi" w:eastAsiaTheme="majorEastAsia" w:hAnsiTheme="majorHAnsi" w:cstheme="majorBidi"/>
      <w:bCs/>
      <w:color w:val="272727" w:themeColor="text1" w:themeTint="D8"/>
      <w:sz w:val="21"/>
      <w:szCs w:val="21"/>
    </w:rPr>
  </w:style>
  <w:style w:type="paragraph" w:styleId="Heading9">
    <w:name w:val="heading 9"/>
    <w:basedOn w:val="Normal"/>
    <w:next w:val="Normal"/>
    <w:link w:val="Heading9Char"/>
    <w:uiPriority w:val="9"/>
    <w:semiHidden/>
    <w:unhideWhenUsed/>
    <w:qFormat/>
    <w:rsid w:val="00082FF7"/>
    <w:pPr>
      <w:keepNext/>
      <w:keepLines/>
      <w:spacing w:before="40" w:after="0"/>
      <w:ind w:left="1584" w:hanging="1584"/>
      <w:outlineLvl w:val="8"/>
    </w:pPr>
    <w:rPr>
      <w:rFonts w:asciiTheme="majorHAnsi" w:eastAsiaTheme="majorEastAsia" w:hAnsiTheme="majorHAnsi" w:cstheme="majorBidi"/>
      <w:bCs/>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95C"/>
    <w:rPr>
      <w:rFonts w:eastAsiaTheme="majorEastAsia" w:cstheme="minorHAnsi"/>
      <w:b/>
      <w:bCs/>
      <w:sz w:val="24"/>
    </w:rPr>
  </w:style>
  <w:style w:type="character" w:customStyle="1" w:styleId="Heading2Char">
    <w:name w:val="Heading 2 Char"/>
    <w:aliases w:val="Subheading Char,Sub1 Char"/>
    <w:basedOn w:val="DefaultParagraphFont"/>
    <w:link w:val="Heading2"/>
    <w:uiPriority w:val="9"/>
    <w:rsid w:val="00AE395C"/>
    <w:rPr>
      <w:rFonts w:eastAsiaTheme="majorEastAsia" w:cstheme="minorHAnsi"/>
      <w:b/>
      <w:bCs/>
    </w:rPr>
  </w:style>
  <w:style w:type="paragraph" w:styleId="FootnoteText">
    <w:name w:val="footnote text"/>
    <w:basedOn w:val="Normal"/>
    <w:link w:val="FootnoteTextChar"/>
    <w:uiPriority w:val="99"/>
    <w:unhideWhenUsed/>
    <w:rsid w:val="00AE395C"/>
    <w:pPr>
      <w:spacing w:line="240" w:lineRule="auto"/>
    </w:pPr>
    <w:rPr>
      <w:sz w:val="20"/>
      <w:szCs w:val="20"/>
    </w:rPr>
  </w:style>
  <w:style w:type="character" w:customStyle="1" w:styleId="FootnoteTextChar">
    <w:name w:val="Footnote Text Char"/>
    <w:basedOn w:val="DefaultParagraphFont"/>
    <w:link w:val="FootnoteText"/>
    <w:uiPriority w:val="99"/>
    <w:rsid w:val="00AE395C"/>
    <w:rPr>
      <w:sz w:val="20"/>
      <w:szCs w:val="20"/>
    </w:rPr>
  </w:style>
  <w:style w:type="table" w:styleId="TableGrid">
    <w:name w:val="Table Grid"/>
    <w:basedOn w:val="TableNormal"/>
    <w:uiPriority w:val="39"/>
    <w:rsid w:val="00AE3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395C"/>
    <w:pPr>
      <w:tabs>
        <w:tab w:val="center" w:pos="4513"/>
        <w:tab w:val="right" w:pos="9026"/>
      </w:tabs>
      <w:spacing w:line="240" w:lineRule="auto"/>
    </w:pPr>
  </w:style>
  <w:style w:type="character" w:customStyle="1" w:styleId="FooterChar">
    <w:name w:val="Footer Char"/>
    <w:basedOn w:val="DefaultParagraphFont"/>
    <w:link w:val="Footer"/>
    <w:uiPriority w:val="99"/>
    <w:rsid w:val="00AE395C"/>
  </w:style>
  <w:style w:type="paragraph" w:styleId="NoSpacing">
    <w:name w:val="No Spacing"/>
    <w:aliases w:val="Insert,Figure heading"/>
    <w:basedOn w:val="Heading2"/>
    <w:uiPriority w:val="1"/>
    <w:qFormat/>
    <w:rsid w:val="00AE395C"/>
    <w:pPr>
      <w:numPr>
        <w:ilvl w:val="3"/>
      </w:numPr>
      <w:spacing w:before="120" w:line="240" w:lineRule="auto"/>
    </w:pPr>
  </w:style>
  <w:style w:type="paragraph" w:styleId="ListParagraph">
    <w:name w:val="List Paragraph"/>
    <w:basedOn w:val="Normal"/>
    <w:link w:val="ListParagraphChar"/>
    <w:uiPriority w:val="34"/>
    <w:qFormat/>
    <w:rsid w:val="00AE395C"/>
    <w:pPr>
      <w:numPr>
        <w:numId w:val="4"/>
      </w:numPr>
      <w:contextualSpacing/>
    </w:pPr>
    <w:rPr>
      <w:lang w:val="en-US"/>
    </w:rPr>
  </w:style>
  <w:style w:type="character" w:styleId="FootnoteReference">
    <w:name w:val="footnote reference"/>
    <w:basedOn w:val="DefaultParagraphFont"/>
    <w:uiPriority w:val="99"/>
    <w:semiHidden/>
    <w:unhideWhenUsed/>
    <w:rsid w:val="00AE395C"/>
    <w:rPr>
      <w:vertAlign w:val="superscript"/>
    </w:rPr>
  </w:style>
  <w:style w:type="paragraph" w:styleId="TOC1">
    <w:name w:val="toc 1"/>
    <w:basedOn w:val="Normal"/>
    <w:next w:val="Normal"/>
    <w:autoRedefine/>
    <w:uiPriority w:val="39"/>
    <w:unhideWhenUsed/>
    <w:rsid w:val="00AE395C"/>
    <w:pPr>
      <w:tabs>
        <w:tab w:val="left" w:pos="1134"/>
        <w:tab w:val="right" w:leader="dot" w:pos="9016"/>
      </w:tabs>
      <w:spacing w:before="120" w:line="240" w:lineRule="auto"/>
    </w:pPr>
    <w:rPr>
      <w:bCs/>
      <w:sz w:val="20"/>
    </w:rPr>
  </w:style>
  <w:style w:type="paragraph" w:styleId="Title">
    <w:name w:val="Title"/>
    <w:aliases w:val="Table"/>
    <w:basedOn w:val="Heading3"/>
    <w:next w:val="Normal"/>
    <w:link w:val="TitleChar"/>
    <w:uiPriority w:val="10"/>
    <w:qFormat/>
    <w:rsid w:val="00AE395C"/>
    <w:pPr>
      <w:keepNext w:val="0"/>
      <w:keepLines w:val="0"/>
      <w:spacing w:before="0" w:line="240" w:lineRule="auto"/>
      <w:jc w:val="center"/>
    </w:pPr>
    <w:rPr>
      <w:rFonts w:asciiTheme="minorHAnsi" w:eastAsiaTheme="minorHAnsi" w:hAnsiTheme="minorHAnsi" w:cstheme="minorHAnsi"/>
      <w:color w:val="auto"/>
      <w:sz w:val="18"/>
      <w:szCs w:val="19"/>
      <w:lang w:eastAsia="en-GB"/>
    </w:rPr>
  </w:style>
  <w:style w:type="character" w:customStyle="1" w:styleId="TitleChar">
    <w:name w:val="Title Char"/>
    <w:aliases w:val="Table Char"/>
    <w:basedOn w:val="DefaultParagraphFont"/>
    <w:link w:val="Title"/>
    <w:uiPriority w:val="10"/>
    <w:rsid w:val="00AE395C"/>
    <w:rPr>
      <w:rFonts w:cstheme="minorHAnsi"/>
      <w:sz w:val="18"/>
      <w:szCs w:val="19"/>
      <w:lang w:eastAsia="en-GB"/>
    </w:rPr>
  </w:style>
  <w:style w:type="character" w:customStyle="1" w:styleId="Heading3Char">
    <w:name w:val="Heading 3 Char"/>
    <w:aliases w:val="Sub2 Char"/>
    <w:basedOn w:val="DefaultParagraphFont"/>
    <w:link w:val="Heading3"/>
    <w:uiPriority w:val="9"/>
    <w:semiHidden/>
    <w:rsid w:val="00AE395C"/>
    <w:rPr>
      <w:rFonts w:asciiTheme="majorHAnsi" w:eastAsiaTheme="majorEastAsia" w:hAnsiTheme="majorHAnsi" w:cstheme="majorBidi"/>
      <w:color w:val="1F4D78" w:themeColor="accent1" w:themeShade="7F"/>
      <w:sz w:val="24"/>
      <w:szCs w:val="24"/>
    </w:rPr>
  </w:style>
  <w:style w:type="paragraph" w:customStyle="1" w:styleId="EndNoteBibliographyTitle">
    <w:name w:val="EndNote Bibliography Title"/>
    <w:basedOn w:val="Normal"/>
    <w:link w:val="EndNoteBibliographyTitleChar"/>
    <w:rsid w:val="00AE395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E395C"/>
    <w:rPr>
      <w:rFonts w:ascii="Calibri" w:hAnsi="Calibri" w:cs="Calibri"/>
      <w:noProof/>
      <w:lang w:val="en-US"/>
    </w:rPr>
  </w:style>
  <w:style w:type="paragraph" w:customStyle="1" w:styleId="EndNoteBibliography">
    <w:name w:val="EndNote Bibliography"/>
    <w:basedOn w:val="Normal"/>
    <w:link w:val="EndNoteBibliographyChar"/>
    <w:rsid w:val="00AE395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E395C"/>
    <w:rPr>
      <w:rFonts w:ascii="Calibri" w:hAnsi="Calibri" w:cs="Calibri"/>
      <w:noProof/>
      <w:lang w:val="en-US"/>
    </w:rPr>
  </w:style>
  <w:style w:type="paragraph" w:styleId="TOCHeading">
    <w:name w:val="TOC Heading"/>
    <w:basedOn w:val="Heading1"/>
    <w:next w:val="Normal"/>
    <w:uiPriority w:val="39"/>
    <w:unhideWhenUsed/>
    <w:qFormat/>
    <w:rsid w:val="00665571"/>
    <w:pPr>
      <w:numPr>
        <w:ilvl w:val="0"/>
        <w:numId w:val="0"/>
      </w:numPr>
      <w:spacing w:before="240" w:after="0" w:line="259" w:lineRule="auto"/>
      <w:outlineLvl w:val="9"/>
    </w:pPr>
    <w:rPr>
      <w:rFonts w:asciiTheme="majorHAnsi" w:hAnsiTheme="majorHAnsi" w:cstheme="majorBidi"/>
      <w:b w:val="0"/>
      <w:bCs w:val="0"/>
      <w:color w:val="2E74B5" w:themeColor="accent1" w:themeShade="BF"/>
      <w:sz w:val="32"/>
      <w:szCs w:val="32"/>
      <w:lang w:val="en-US"/>
    </w:rPr>
  </w:style>
  <w:style w:type="paragraph" w:styleId="TOC2">
    <w:name w:val="toc 2"/>
    <w:basedOn w:val="Normal"/>
    <w:next w:val="Normal"/>
    <w:autoRedefine/>
    <w:uiPriority w:val="39"/>
    <w:unhideWhenUsed/>
    <w:rsid w:val="00665571"/>
    <w:pPr>
      <w:spacing w:after="100"/>
      <w:ind w:left="220"/>
    </w:pPr>
  </w:style>
  <w:style w:type="character" w:styleId="Hyperlink">
    <w:name w:val="Hyperlink"/>
    <w:basedOn w:val="DefaultParagraphFont"/>
    <w:uiPriority w:val="99"/>
    <w:unhideWhenUsed/>
    <w:rsid w:val="00665571"/>
    <w:rPr>
      <w:color w:val="0563C1" w:themeColor="hyperlink"/>
      <w:u w:val="single"/>
    </w:rPr>
  </w:style>
  <w:style w:type="paragraph" w:styleId="Header">
    <w:name w:val="header"/>
    <w:basedOn w:val="Normal"/>
    <w:link w:val="HeaderChar"/>
    <w:uiPriority w:val="99"/>
    <w:unhideWhenUsed/>
    <w:rsid w:val="009F12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260"/>
  </w:style>
  <w:style w:type="character" w:customStyle="1" w:styleId="Heading5Char">
    <w:name w:val="Heading 5 Char"/>
    <w:basedOn w:val="DefaultParagraphFont"/>
    <w:link w:val="Heading5"/>
    <w:uiPriority w:val="9"/>
    <w:semiHidden/>
    <w:rsid w:val="00082FF7"/>
    <w:rPr>
      <w:rFonts w:asciiTheme="majorHAnsi" w:eastAsiaTheme="majorEastAsia" w:hAnsiTheme="majorHAnsi" w:cstheme="majorBidi"/>
      <w:bCs/>
      <w:color w:val="2E74B5" w:themeColor="accent1" w:themeShade="BF"/>
    </w:rPr>
  </w:style>
  <w:style w:type="character" w:customStyle="1" w:styleId="Heading6Char">
    <w:name w:val="Heading 6 Char"/>
    <w:basedOn w:val="DefaultParagraphFont"/>
    <w:link w:val="Heading6"/>
    <w:uiPriority w:val="9"/>
    <w:semiHidden/>
    <w:rsid w:val="00082FF7"/>
    <w:rPr>
      <w:rFonts w:asciiTheme="majorHAnsi" w:eastAsiaTheme="majorEastAsia" w:hAnsiTheme="majorHAnsi" w:cstheme="majorBidi"/>
      <w:bCs/>
      <w:color w:val="1F4D78" w:themeColor="accent1" w:themeShade="7F"/>
    </w:rPr>
  </w:style>
  <w:style w:type="character" w:customStyle="1" w:styleId="Heading7Char">
    <w:name w:val="Heading 7 Char"/>
    <w:basedOn w:val="DefaultParagraphFont"/>
    <w:link w:val="Heading7"/>
    <w:uiPriority w:val="9"/>
    <w:semiHidden/>
    <w:rsid w:val="00082FF7"/>
    <w:rPr>
      <w:rFonts w:asciiTheme="majorHAnsi" w:eastAsiaTheme="majorEastAsia" w:hAnsiTheme="majorHAnsi" w:cstheme="majorBidi"/>
      <w:bCs/>
      <w:i/>
      <w:iCs/>
      <w:color w:val="1F4D78" w:themeColor="accent1" w:themeShade="7F"/>
    </w:rPr>
  </w:style>
  <w:style w:type="character" w:customStyle="1" w:styleId="Heading8Char">
    <w:name w:val="Heading 8 Char"/>
    <w:basedOn w:val="DefaultParagraphFont"/>
    <w:link w:val="Heading8"/>
    <w:uiPriority w:val="9"/>
    <w:semiHidden/>
    <w:rsid w:val="00082FF7"/>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082FF7"/>
    <w:rPr>
      <w:rFonts w:asciiTheme="majorHAnsi" w:eastAsiaTheme="majorEastAsia" w:hAnsiTheme="majorHAnsi" w:cstheme="majorBidi"/>
      <w:bCs/>
      <w:i/>
      <w:iCs/>
      <w:color w:val="272727" w:themeColor="text1" w:themeTint="D8"/>
      <w:sz w:val="21"/>
      <w:szCs w:val="21"/>
    </w:rPr>
  </w:style>
  <w:style w:type="paragraph" w:styleId="ListBullet">
    <w:name w:val="List Bullet"/>
    <w:basedOn w:val="Normal"/>
    <w:uiPriority w:val="99"/>
    <w:unhideWhenUsed/>
    <w:rsid w:val="0080321E"/>
    <w:pPr>
      <w:numPr>
        <w:numId w:val="18"/>
      </w:numPr>
      <w:contextualSpacing/>
    </w:pPr>
    <w:rPr>
      <w:bCs/>
    </w:rPr>
  </w:style>
  <w:style w:type="character" w:customStyle="1" w:styleId="ListParagraphChar">
    <w:name w:val="List Paragraph Char"/>
    <w:basedOn w:val="DefaultParagraphFont"/>
    <w:link w:val="ListParagraph"/>
    <w:uiPriority w:val="34"/>
    <w:rsid w:val="0080321E"/>
    <w:rPr>
      <w:lang w:val="en-US"/>
    </w:rPr>
  </w:style>
  <w:style w:type="character" w:styleId="UnresolvedMention">
    <w:name w:val="Unresolved Mention"/>
    <w:basedOn w:val="DefaultParagraphFont"/>
    <w:uiPriority w:val="99"/>
    <w:semiHidden/>
    <w:unhideWhenUsed/>
    <w:rsid w:val="00232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5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hyperlink" Target="https://doi.org/10.7910/DVN/LM4OWF" TargetMode="Externa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hyperlink" Target="https://wid.world/da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hyperlink" Target="https://doi.org/10.1080/10691898.2005.11910556"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hyperlink" Target="https://www.fraserinstitute.org/studies/economic-freed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943EA-9D2B-4131-9D2E-2E7DE023F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30</Pages>
  <Words>8414</Words>
  <Characters>47960</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Boswell</dc:creator>
  <cp:keywords/>
  <dc:description/>
  <cp:lastModifiedBy>Gareth Boswell</cp:lastModifiedBy>
  <cp:revision>25</cp:revision>
  <dcterms:created xsi:type="dcterms:W3CDTF">2025-05-12T08:37:00Z</dcterms:created>
  <dcterms:modified xsi:type="dcterms:W3CDTF">2025-06-11T09:51:00Z</dcterms:modified>
</cp:coreProperties>
</file>