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CC3D4" w14:textId="77777777" w:rsidR="00F14184" w:rsidRDefault="00F14184">
      <w:pPr>
        <w:spacing w:before="0" w:after="160" w:line="278" w:lineRule="auto"/>
        <w:jc w:val="left"/>
        <w:rPr>
          <w:rFonts w:eastAsia="Times New Roman"/>
          <w:lang w:val="en-GB"/>
        </w:rPr>
      </w:pPr>
      <w:bookmarkStart w:id="0" w:name="_Toc182385867"/>
    </w:p>
    <w:p w14:paraId="00E64A92" w14:textId="77777777" w:rsidR="00F14184" w:rsidRDefault="00F14184">
      <w:pPr>
        <w:spacing w:before="0" w:after="160" w:line="278" w:lineRule="auto"/>
        <w:jc w:val="left"/>
        <w:rPr>
          <w:rFonts w:eastAsia="Times New Roman"/>
          <w:lang w:val="en-GB"/>
        </w:rPr>
      </w:pPr>
    </w:p>
    <w:p w14:paraId="098D46F2" w14:textId="77777777" w:rsidR="00F14184" w:rsidRDefault="00F14184">
      <w:pPr>
        <w:spacing w:before="0" w:after="160" w:line="278" w:lineRule="auto"/>
        <w:jc w:val="left"/>
        <w:rPr>
          <w:rFonts w:eastAsia="Times New Roman"/>
          <w:lang w:val="en-GB"/>
        </w:rPr>
      </w:pPr>
    </w:p>
    <w:p w14:paraId="49A3527C" w14:textId="77777777" w:rsidR="00F14184" w:rsidRDefault="00F14184">
      <w:pPr>
        <w:spacing w:before="0" w:after="160" w:line="278" w:lineRule="auto"/>
        <w:jc w:val="left"/>
        <w:rPr>
          <w:rFonts w:eastAsia="Times New Roman"/>
          <w:lang w:val="en-GB"/>
        </w:rPr>
      </w:pPr>
    </w:p>
    <w:p w14:paraId="318F6B3A" w14:textId="77777777" w:rsidR="00F14184" w:rsidRDefault="00F14184">
      <w:pPr>
        <w:spacing w:before="0" w:after="160" w:line="278" w:lineRule="auto"/>
        <w:jc w:val="left"/>
        <w:rPr>
          <w:rFonts w:eastAsia="Times New Roman"/>
          <w:lang w:val="en-GB"/>
        </w:rPr>
      </w:pPr>
    </w:p>
    <w:p w14:paraId="43F3AE82" w14:textId="77777777" w:rsidR="00F14184" w:rsidRDefault="00F14184">
      <w:pPr>
        <w:spacing w:before="0" w:after="160" w:line="278" w:lineRule="auto"/>
        <w:jc w:val="left"/>
        <w:rPr>
          <w:rFonts w:eastAsia="Times New Roman"/>
          <w:lang w:val="en-GB"/>
        </w:rPr>
      </w:pPr>
    </w:p>
    <w:p w14:paraId="55E56078" w14:textId="77777777" w:rsidR="00F14184" w:rsidRDefault="00F14184">
      <w:pPr>
        <w:spacing w:before="0" w:after="160" w:line="278" w:lineRule="auto"/>
        <w:jc w:val="left"/>
        <w:rPr>
          <w:rFonts w:eastAsia="Times New Roman"/>
          <w:lang w:val="en-GB"/>
        </w:rPr>
      </w:pPr>
    </w:p>
    <w:p w14:paraId="71E734FE" w14:textId="77777777" w:rsidR="00F14184" w:rsidRDefault="00F14184">
      <w:pPr>
        <w:spacing w:before="0" w:after="160" w:line="278" w:lineRule="auto"/>
        <w:jc w:val="left"/>
        <w:rPr>
          <w:rFonts w:eastAsia="Times New Roman"/>
          <w:lang w:val="en-GB"/>
        </w:rPr>
      </w:pPr>
    </w:p>
    <w:p w14:paraId="7CE67ED7" w14:textId="77777777" w:rsidR="00F14184" w:rsidRDefault="00F14184">
      <w:pPr>
        <w:spacing w:before="0" w:after="160" w:line="278" w:lineRule="auto"/>
        <w:jc w:val="left"/>
        <w:rPr>
          <w:rFonts w:eastAsia="Times New Roman"/>
          <w:lang w:val="en-GB"/>
        </w:rPr>
      </w:pPr>
    </w:p>
    <w:p w14:paraId="6DC3DAA8" w14:textId="77777777" w:rsidR="00F14184" w:rsidRDefault="00F14184">
      <w:pPr>
        <w:spacing w:before="0" w:after="160" w:line="278" w:lineRule="auto"/>
        <w:jc w:val="left"/>
        <w:rPr>
          <w:rFonts w:eastAsia="Times New Roman"/>
          <w:lang w:val="en-GB"/>
        </w:rPr>
      </w:pPr>
    </w:p>
    <w:p w14:paraId="0AB72809" w14:textId="77777777" w:rsidR="00F14184" w:rsidRDefault="00F14184">
      <w:pPr>
        <w:spacing w:before="0" w:after="160" w:line="278" w:lineRule="auto"/>
        <w:jc w:val="left"/>
        <w:rPr>
          <w:rFonts w:eastAsia="Times New Roman"/>
          <w:lang w:val="en-GB"/>
        </w:rPr>
      </w:pPr>
    </w:p>
    <w:p w14:paraId="48689ABE" w14:textId="77777777" w:rsidR="00F14184" w:rsidRDefault="00F14184" w:rsidP="00F14184">
      <w:pPr>
        <w:spacing w:before="0" w:after="160" w:line="278" w:lineRule="auto"/>
        <w:jc w:val="center"/>
        <w:rPr>
          <w:rFonts w:eastAsia="Times New Roman"/>
          <w:lang w:val="en-GB"/>
        </w:rPr>
      </w:pPr>
    </w:p>
    <w:p w14:paraId="16FB9ABB" w14:textId="5523A7E4" w:rsidR="00F14184" w:rsidRPr="00F14184" w:rsidRDefault="00F14184" w:rsidP="00F14184">
      <w:pPr>
        <w:spacing w:before="0" w:after="160" w:line="278" w:lineRule="auto"/>
        <w:jc w:val="center"/>
        <w:rPr>
          <w:rFonts w:eastAsia="Times New Roman"/>
          <w:b/>
          <w:bCs/>
          <w:lang w:val="en-GB"/>
        </w:rPr>
      </w:pPr>
      <w:r w:rsidRPr="00F14184">
        <w:rPr>
          <w:rFonts w:eastAsia="Times New Roman"/>
          <w:b/>
          <w:bCs/>
          <w:lang w:val="en-GB"/>
        </w:rPr>
        <w:t>Supplementa</w:t>
      </w:r>
      <w:r>
        <w:rPr>
          <w:rFonts w:eastAsia="Times New Roman"/>
          <w:b/>
          <w:bCs/>
          <w:lang w:val="en-GB"/>
        </w:rPr>
        <w:t>ry</w:t>
      </w:r>
      <w:r w:rsidRPr="00F14184">
        <w:rPr>
          <w:rFonts w:eastAsia="Times New Roman"/>
          <w:b/>
          <w:bCs/>
          <w:lang w:val="en-GB"/>
        </w:rPr>
        <w:t xml:space="preserve"> Material</w:t>
      </w:r>
    </w:p>
    <w:p w14:paraId="70B18B59" w14:textId="0DA8404B" w:rsidR="00F14184" w:rsidRDefault="00F14184">
      <w:pPr>
        <w:spacing w:before="0" w:after="160" w:line="278" w:lineRule="auto"/>
        <w:jc w:val="left"/>
        <w:rPr>
          <w:rFonts w:eastAsia="Times New Roman" w:cstheme="majorBidi"/>
          <w:b/>
          <w:szCs w:val="32"/>
          <w:lang w:val="en-GB"/>
        </w:rPr>
      </w:pPr>
      <w:r>
        <w:rPr>
          <w:rFonts w:eastAsia="Times New Roman"/>
          <w:lang w:val="en-GB"/>
        </w:rPr>
        <w:br w:type="page"/>
      </w:r>
    </w:p>
    <w:p w14:paraId="249B13C3" w14:textId="1E51DE62" w:rsidR="00F211F0" w:rsidRPr="00F211F0" w:rsidRDefault="00AC5FF2" w:rsidP="00F22D3A">
      <w:pPr>
        <w:pStyle w:val="Heading2"/>
        <w:numPr>
          <w:ilvl w:val="0"/>
          <w:numId w:val="1"/>
        </w:numPr>
        <w:rPr>
          <w:rFonts w:eastAsia="Times New Roman"/>
          <w:lang w:val="en-GB"/>
        </w:rPr>
      </w:pPr>
      <w:r w:rsidRPr="54D6DC3D">
        <w:rPr>
          <w:rFonts w:eastAsia="Times New Roman"/>
          <w:lang w:val="en-GB"/>
        </w:rPr>
        <w:lastRenderedPageBreak/>
        <w:t>Initial s</w:t>
      </w:r>
      <w:r w:rsidR="00F211F0" w:rsidRPr="54D6DC3D">
        <w:rPr>
          <w:rFonts w:eastAsia="Times New Roman"/>
          <w:lang w:val="en-GB"/>
        </w:rPr>
        <w:t>earch string</w:t>
      </w:r>
      <w:bookmarkEnd w:id="0"/>
      <w:r w:rsidR="00F211F0" w:rsidRPr="54D6DC3D">
        <w:rPr>
          <w:rFonts w:eastAsia="Times New Roman"/>
          <w:lang w:val="en-GB"/>
        </w:rPr>
        <w:t xml:space="preserve"> </w:t>
      </w:r>
      <w:r w:rsidR="3C2AC3A7" w:rsidRPr="54D6DC3D">
        <w:rPr>
          <w:rFonts w:eastAsia="Times New Roman"/>
          <w:lang w:val="en-GB"/>
        </w:rPr>
        <w:t>(search string for “Step 1”)</w:t>
      </w:r>
      <w:r w:rsidR="00F14184">
        <w:rPr>
          <w:rFonts w:eastAsia="Times New Roman"/>
          <w:lang w:val="en-GB"/>
        </w:rPr>
        <w:t xml:space="preserve"> [using Scopus syntax]</w:t>
      </w:r>
    </w:p>
    <w:p w14:paraId="6C51D569" w14:textId="3CEA9354" w:rsidR="00F211F0" w:rsidRPr="00F211F0" w:rsidRDefault="00F211F0" w:rsidP="00F211F0">
      <w:pPr>
        <w:rPr>
          <w:lang w:val="en-GB"/>
        </w:rPr>
      </w:pPr>
      <w:r w:rsidRPr="00F211F0">
        <w:rPr>
          <w:lang w:val="en-GB"/>
        </w:rPr>
        <w:t xml:space="preserve"> </w:t>
      </w:r>
    </w:p>
    <w:p w14:paraId="1A75187B" w14:textId="77777777" w:rsidR="00F211F0" w:rsidRPr="00F211F0" w:rsidRDefault="00F211F0" w:rsidP="00F211F0">
      <w:pPr>
        <w:rPr>
          <w:lang w:val="en-GB"/>
        </w:rPr>
      </w:pPr>
      <w:r w:rsidRPr="00F211F0">
        <w:rPr>
          <w:lang w:val="en-GB"/>
        </w:rPr>
        <w:t xml:space="preserve">KEY ( "virtual world" OR "metaverse" OR "massively multiplayer online" OR "social virtual reality" OR "social VR" OR "sandbox game" OR "sandbox video game" OR "open-world game" OR "open-world video game" OR "Animal Crossing" OR "Anyland" OR "AltspaceVR" OR "Apex Legends" OR "Axie Infinity" OR "BigScreen" OR "Call of Duty" OR "ChilloutVR" OR "Cryptovoxels" OR "Dark Souls" OR "Decentraland" OR "DeHorizon" OR "Engage VR" OR "Eve Online" OR "Facebook Horizon" OR "Facebook Spaces" OR "Final Fantasy" OR "Fortnite" OR "Grand Theft Auto" OR "Gather Town" OR "Guild Wards" OR "Habbo" OR "Habitat" OR "High Fidelity" OR "Horizon Worlds" OR "Hyperfy" OR "Hytopia" OR "Ifland" OR "League of Legends" OR "Matrix World" OR "Meta Horizon" OR "Minecraft" OR "Mirandus" OR "Mozilla Hubs" OR "Nemesis" OR "NeosVR" OR "Netvrk" OR "Next Earth" OR "Oculus Rooms" OR "Pavlov VR" OR "Pokemon GO" OR "PokerStars VR" OR "PUGB" OR "Rec Room" OR "Roblox" OR "Sansar" OR "Second Life" OR "Silentium" OR "SocialVR" OR "Somnium Space" OR "Sonoroom" OR "Spatial.io"  OR "Substrata" OR "Terrazero" OR "The Sandbox" OR "TreeVerse" OR "Upland" OR "VRChat" OR "vTime XR" OR "Warzone" OR "World of Warcraft" OR "Zepeto" ) </w:t>
      </w:r>
    </w:p>
    <w:p w14:paraId="1938D990" w14:textId="77777777" w:rsidR="00F211F0" w:rsidRPr="00F211F0" w:rsidRDefault="00F211F0" w:rsidP="00F211F0">
      <w:pPr>
        <w:rPr>
          <w:lang w:val="en-GB"/>
        </w:rPr>
      </w:pPr>
      <w:r w:rsidRPr="00F211F0">
        <w:rPr>
          <w:lang w:val="en-GB"/>
        </w:rPr>
        <w:t xml:space="preserve">AND </w:t>
      </w:r>
    </w:p>
    <w:p w14:paraId="34FF299A" w14:textId="77777777" w:rsidR="00F211F0" w:rsidRPr="00F211F0" w:rsidRDefault="00F211F0" w:rsidP="00F211F0">
      <w:pPr>
        <w:rPr>
          <w:lang w:val="en-GB"/>
        </w:rPr>
      </w:pPr>
      <w:r w:rsidRPr="00F211F0">
        <w:rPr>
          <w:lang w:val="en-GB"/>
        </w:rPr>
        <w:t>KEY ( "wellbeing" OR "well-being" OR "mental health" OR depressi* OR "anxiety" OR "eating disorder*" OR "substance abuse" OR "aggression" OR "AD/HD" OR "ADHD" OR "hedonic" OR "life satisfaction" OR  “affect" OR "emotion" OR "eudaimonic" OR "meaning" OR "authenticity" OR "mastery" OR "loneliness" OR "sleep" OR "stress" OR "self-esteem" OR "social support" OR "social capital" OR "social isolation" OR addicti* OR "cyberbullying" OR "bullying" OR "toxicity" OR "harassment" )</w:t>
      </w:r>
    </w:p>
    <w:p w14:paraId="7F717764" w14:textId="5B68425D" w:rsidR="00F14184" w:rsidRDefault="00F211F0">
      <w:pPr>
        <w:rPr>
          <w:lang w:val="en-GB"/>
        </w:rPr>
      </w:pPr>
      <w:r w:rsidRPr="00F211F0">
        <w:rPr>
          <w:lang w:val="en-GB"/>
        </w:rPr>
        <w:t>AND ( LIMIT-TO(LANGUAGE,"English"))</w:t>
      </w:r>
    </w:p>
    <w:p w14:paraId="49C6E26B" w14:textId="77777777" w:rsidR="00F14184" w:rsidRDefault="00F14184">
      <w:pPr>
        <w:spacing w:before="0" w:after="160" w:line="278" w:lineRule="auto"/>
        <w:jc w:val="left"/>
        <w:rPr>
          <w:lang w:val="en-GB"/>
        </w:rPr>
      </w:pPr>
      <w:r>
        <w:rPr>
          <w:lang w:val="en-GB"/>
        </w:rPr>
        <w:br w:type="page"/>
      </w:r>
    </w:p>
    <w:p w14:paraId="385207C6" w14:textId="43F4D186" w:rsidR="001C7219" w:rsidRDefault="001C7219" w:rsidP="00F22D3A">
      <w:pPr>
        <w:pStyle w:val="ListParagraph"/>
        <w:numPr>
          <w:ilvl w:val="0"/>
          <w:numId w:val="1"/>
        </w:numPr>
        <w:rPr>
          <w:b/>
          <w:bCs/>
          <w:lang w:val="en-US"/>
        </w:rPr>
      </w:pPr>
      <w:r>
        <w:rPr>
          <w:b/>
          <w:bCs/>
          <w:lang w:val="en-US"/>
        </w:rPr>
        <w:lastRenderedPageBreak/>
        <w:t xml:space="preserve">Stopping rule for semi-automated screening of articles </w:t>
      </w:r>
    </w:p>
    <w:p w14:paraId="2B347EDB" w14:textId="754EBB89" w:rsidR="00B66515" w:rsidRDefault="001C7219" w:rsidP="001C7219">
      <w:pPr>
        <w:rPr>
          <w:lang w:val="en-US"/>
        </w:rPr>
      </w:pPr>
      <w:r>
        <w:rPr>
          <w:lang w:val="en-US"/>
        </w:rPr>
        <w:t xml:space="preserve">A </w:t>
      </w:r>
      <w:r w:rsidRPr="001C7219">
        <w:rPr>
          <w:lang w:val="en-US"/>
        </w:rPr>
        <w:t xml:space="preserve">composite stopping rule, </w:t>
      </w:r>
      <w:proofErr w:type="gramStart"/>
      <w:r w:rsidRPr="001C7219">
        <w:rPr>
          <w:lang w:val="en-US"/>
        </w:rPr>
        <w:t>similar to</w:t>
      </w:r>
      <w:proofErr w:type="gramEnd"/>
      <w:r w:rsidRPr="001C7219">
        <w:rPr>
          <w:lang w:val="en-US"/>
        </w:rPr>
        <w:t xml:space="preserve"> the one described in </w:t>
      </w:r>
      <w:proofErr w:type="spellStart"/>
      <w:r w:rsidRPr="001C7219">
        <w:rPr>
          <w:lang w:val="en-US"/>
        </w:rPr>
        <w:t>Boetje</w:t>
      </w:r>
      <w:proofErr w:type="spellEnd"/>
      <w:r w:rsidRPr="001C7219">
        <w:rPr>
          <w:lang w:val="en-US"/>
        </w:rPr>
        <w:t xml:space="preserve"> and van de </w:t>
      </w:r>
      <w:proofErr w:type="spellStart"/>
      <w:r w:rsidRPr="001C7219">
        <w:rPr>
          <w:lang w:val="en-US"/>
        </w:rPr>
        <w:t>Schoot</w:t>
      </w:r>
      <w:proofErr w:type="spellEnd"/>
      <w:r w:rsidRPr="001C7219">
        <w:rPr>
          <w:lang w:val="en-US"/>
        </w:rPr>
        <w:t xml:space="preserve"> (2024)</w:t>
      </w:r>
      <w:r w:rsidR="00A45A96">
        <w:rPr>
          <w:rStyle w:val="FootnoteReference"/>
          <w:lang w:val="en-US"/>
        </w:rPr>
        <w:footnoteReference w:id="1"/>
      </w:r>
      <w:r w:rsidRPr="001C7219">
        <w:rPr>
          <w:lang w:val="en-US"/>
        </w:rPr>
        <w:t>, w</w:t>
      </w:r>
      <w:r>
        <w:rPr>
          <w:lang w:val="en-US"/>
        </w:rPr>
        <w:t xml:space="preserve">as </w:t>
      </w:r>
      <w:r w:rsidRPr="001C7219">
        <w:rPr>
          <w:lang w:val="en-US"/>
        </w:rPr>
        <w:t>applied</w:t>
      </w:r>
      <w:r>
        <w:rPr>
          <w:lang w:val="en-US"/>
        </w:rPr>
        <w:t xml:space="preserve"> during the semi-automated screening of articles using </w:t>
      </w:r>
      <w:proofErr w:type="spellStart"/>
      <w:r>
        <w:rPr>
          <w:lang w:val="en-US"/>
        </w:rPr>
        <w:t>ASReview</w:t>
      </w:r>
      <w:proofErr w:type="spellEnd"/>
      <w:r>
        <w:rPr>
          <w:lang w:val="en-US"/>
        </w:rPr>
        <w:t xml:space="preserve">. </w:t>
      </w:r>
      <w:r w:rsidR="00B66515">
        <w:rPr>
          <w:lang w:val="en-US"/>
        </w:rPr>
        <w:t xml:space="preserve">First, the procedure involves estimating the number of relevant records in the dataset. </w:t>
      </w:r>
      <w:r w:rsidR="00B66515" w:rsidRPr="00B66515">
        <w:rPr>
          <w:lang w:val="en-US"/>
        </w:rPr>
        <w:t xml:space="preserve">To </w:t>
      </w:r>
      <w:r w:rsidR="00B66515">
        <w:rPr>
          <w:lang w:val="en-US"/>
        </w:rPr>
        <w:t>obtain such estimate</w:t>
      </w:r>
      <w:r w:rsidR="00B66515" w:rsidRPr="00B66515">
        <w:rPr>
          <w:lang w:val="en-US"/>
        </w:rPr>
        <w:t>, we manually screened the titles and abstracts of a random 1% sample of the records identified in the original search (n = 9,354, duplicates removed), including both the oldest and most recent entries (n = 94). Of these, 5 records (5.3%) met the inclusion criteria. Based on this proportion, the estimated number of relevant records in the full dataset is approximately 496.</w:t>
      </w:r>
    </w:p>
    <w:p w14:paraId="76B450FF" w14:textId="17F372D3" w:rsidR="001C7219" w:rsidRDefault="001C7219" w:rsidP="001C7219">
      <w:pPr>
        <w:rPr>
          <w:lang w:val="en-US"/>
        </w:rPr>
      </w:pPr>
      <w:r>
        <w:rPr>
          <w:lang w:val="en-US"/>
        </w:rPr>
        <w:t xml:space="preserve">The stopping rule </w:t>
      </w:r>
      <w:r w:rsidRPr="001C7219">
        <w:rPr>
          <w:lang w:val="en-US"/>
        </w:rPr>
        <w:t>consist</w:t>
      </w:r>
      <w:r>
        <w:rPr>
          <w:lang w:val="en-US"/>
        </w:rPr>
        <w:t>ed</w:t>
      </w:r>
      <w:r w:rsidRPr="001C7219">
        <w:rPr>
          <w:lang w:val="en-US"/>
        </w:rPr>
        <w:t xml:space="preserve"> of three parts</w:t>
      </w:r>
      <w:r>
        <w:rPr>
          <w:lang w:val="en-US"/>
        </w:rPr>
        <w:t xml:space="preserve">: </w:t>
      </w:r>
    </w:p>
    <w:p w14:paraId="0D5955CC" w14:textId="2E6CB0F2" w:rsidR="001C7219" w:rsidRDefault="001C7219" w:rsidP="001C7219">
      <w:pPr>
        <w:rPr>
          <w:lang w:val="en-US"/>
        </w:rPr>
      </w:pPr>
      <w:r w:rsidRPr="001C7219">
        <w:rPr>
          <w:lang w:val="en-US"/>
        </w:rPr>
        <w:t xml:space="preserve">(1) At least twice the estimated number of relevant records </w:t>
      </w:r>
      <w:r w:rsidR="00B66515">
        <w:rPr>
          <w:lang w:val="en-US"/>
        </w:rPr>
        <w:t xml:space="preserve">(i.e., </w:t>
      </w:r>
      <w:r w:rsidR="00D938BF">
        <w:rPr>
          <w:lang w:val="en-US"/>
        </w:rPr>
        <w:t>992</w:t>
      </w:r>
      <w:r w:rsidR="00B66515">
        <w:rPr>
          <w:lang w:val="en-US"/>
        </w:rPr>
        <w:t xml:space="preserve">) </w:t>
      </w:r>
      <w:r w:rsidRPr="001C7219">
        <w:rPr>
          <w:lang w:val="en-US"/>
        </w:rPr>
        <w:t xml:space="preserve">have been </w:t>
      </w:r>
      <w:proofErr w:type="gramStart"/>
      <w:r w:rsidRPr="001C7219">
        <w:rPr>
          <w:lang w:val="en-US"/>
        </w:rPr>
        <w:t>screened;</w:t>
      </w:r>
      <w:proofErr w:type="gramEnd"/>
      <w:r w:rsidRPr="001C7219">
        <w:rPr>
          <w:lang w:val="en-US"/>
        </w:rPr>
        <w:t xml:space="preserve"> </w:t>
      </w:r>
    </w:p>
    <w:p w14:paraId="41E6C42E" w14:textId="0590F267" w:rsidR="001C7219" w:rsidRDefault="001C7219" w:rsidP="001C7219">
      <w:pPr>
        <w:rPr>
          <w:lang w:val="en-US"/>
        </w:rPr>
      </w:pPr>
      <w:r w:rsidRPr="001C7219">
        <w:rPr>
          <w:lang w:val="en-US"/>
        </w:rPr>
        <w:t xml:space="preserve">(2) At least 10% </w:t>
      </w:r>
      <w:r w:rsidR="00B66515">
        <w:rPr>
          <w:lang w:val="en-US"/>
        </w:rPr>
        <w:t xml:space="preserve">(i.e., </w:t>
      </w:r>
      <w:r w:rsidR="00D938BF">
        <w:rPr>
          <w:lang w:val="en-US"/>
        </w:rPr>
        <w:t>935</w:t>
      </w:r>
      <w:r w:rsidR="00B66515">
        <w:rPr>
          <w:lang w:val="en-US"/>
        </w:rPr>
        <w:t xml:space="preserve">) </w:t>
      </w:r>
      <w:r w:rsidRPr="001C7219">
        <w:rPr>
          <w:lang w:val="en-US"/>
        </w:rPr>
        <w:t xml:space="preserve">of the dataset has been screened; and </w:t>
      </w:r>
    </w:p>
    <w:p w14:paraId="62800885" w14:textId="13AC2A63" w:rsidR="001C7219" w:rsidRPr="001C7219" w:rsidRDefault="001C7219" w:rsidP="001C7219">
      <w:pPr>
        <w:rPr>
          <w:lang w:val="en-US"/>
        </w:rPr>
      </w:pPr>
      <w:r w:rsidRPr="001C7219">
        <w:rPr>
          <w:lang w:val="en-US"/>
        </w:rPr>
        <w:t xml:space="preserve">(3) </w:t>
      </w:r>
      <w:r w:rsidR="00D938BF">
        <w:rPr>
          <w:lang w:val="en-US"/>
        </w:rPr>
        <w:t>N</w:t>
      </w:r>
      <w:r w:rsidRPr="001C7219">
        <w:rPr>
          <w:lang w:val="en-US"/>
        </w:rPr>
        <w:t>o relevant records have been identified in the last 50 records</w:t>
      </w:r>
      <w:r w:rsidR="00A45A96">
        <w:rPr>
          <w:lang w:val="en-US"/>
        </w:rPr>
        <w:t>.</w:t>
      </w:r>
    </w:p>
    <w:p w14:paraId="4968ED30" w14:textId="77777777" w:rsidR="001C7219" w:rsidRDefault="001C7219">
      <w:pPr>
        <w:spacing w:before="0" w:after="160" w:line="278" w:lineRule="auto"/>
        <w:jc w:val="left"/>
        <w:rPr>
          <w:b/>
          <w:bCs/>
          <w:lang w:val="en-US"/>
        </w:rPr>
      </w:pPr>
      <w:r>
        <w:rPr>
          <w:b/>
          <w:bCs/>
          <w:lang w:val="en-US"/>
        </w:rPr>
        <w:br w:type="page"/>
      </w:r>
    </w:p>
    <w:p w14:paraId="2C539882" w14:textId="3E010D53" w:rsidR="00F22D3A" w:rsidRPr="00F22D3A" w:rsidRDefault="00B97EE8" w:rsidP="00F22D3A">
      <w:pPr>
        <w:pStyle w:val="ListParagraph"/>
        <w:numPr>
          <w:ilvl w:val="0"/>
          <w:numId w:val="1"/>
        </w:numPr>
        <w:rPr>
          <w:b/>
          <w:bCs/>
          <w:lang w:val="en-US"/>
        </w:rPr>
      </w:pPr>
      <w:r>
        <w:rPr>
          <w:b/>
          <w:bCs/>
          <w:lang w:val="en-GB"/>
        </w:rPr>
        <w:lastRenderedPageBreak/>
        <w:t>S</w:t>
      </w:r>
      <w:r w:rsidR="00F22D3A" w:rsidRPr="00F22D3A">
        <w:rPr>
          <w:b/>
          <w:bCs/>
          <w:lang w:val="en-GB"/>
        </w:rPr>
        <w:t>earch string u</w:t>
      </w:r>
      <w:r>
        <w:rPr>
          <w:b/>
          <w:bCs/>
          <w:lang w:val="en-GB"/>
        </w:rPr>
        <w:t>sed for the complementary search (</w:t>
      </w:r>
      <w:r w:rsidRPr="00B97EE8">
        <w:rPr>
          <w:b/>
          <w:bCs/>
          <w:lang w:val="en-GB"/>
        </w:rPr>
        <w:t xml:space="preserve">“Step </w:t>
      </w:r>
      <w:r>
        <w:rPr>
          <w:b/>
          <w:bCs/>
          <w:lang w:val="en-GB"/>
        </w:rPr>
        <w:t>2</w:t>
      </w:r>
      <w:r w:rsidRPr="00B97EE8">
        <w:rPr>
          <w:b/>
          <w:bCs/>
          <w:lang w:val="en-GB"/>
        </w:rPr>
        <w:t>”) [using Scopus syntax]</w:t>
      </w:r>
    </w:p>
    <w:p w14:paraId="69C5FD96" w14:textId="66220BBF" w:rsidR="00F22D3A" w:rsidRPr="00F22D3A" w:rsidRDefault="00B97EE8" w:rsidP="00F22D3A">
      <w:pPr>
        <w:rPr>
          <w:lang w:val="en-US"/>
        </w:rPr>
      </w:pPr>
      <w:r>
        <w:rPr>
          <w:lang w:val="en-GB"/>
        </w:rPr>
        <w:t>C</w:t>
      </w:r>
      <w:r w:rsidR="00F22D3A" w:rsidRPr="00F22D3A">
        <w:rPr>
          <w:lang w:val="en-GB"/>
        </w:rPr>
        <w:t>hanges compared to the initial search string a</w:t>
      </w:r>
      <w:r>
        <w:rPr>
          <w:lang w:val="en-GB"/>
        </w:rPr>
        <w:t xml:space="preserve">re shown in bold </w:t>
      </w:r>
      <w:r w:rsidR="00F22D3A" w:rsidRPr="00F22D3A">
        <w:rPr>
          <w:lang w:val="en-GB"/>
        </w:rPr>
        <w:t>below.</w:t>
      </w:r>
      <w:r w:rsidR="00F22D3A" w:rsidRPr="00F22D3A">
        <w:rPr>
          <w:lang w:val="en-US"/>
        </w:rPr>
        <w:t> </w:t>
      </w:r>
    </w:p>
    <w:p w14:paraId="6B9E4DD0" w14:textId="53ED7C67" w:rsidR="00F22D3A" w:rsidRPr="00F22D3A" w:rsidRDefault="00F22D3A" w:rsidP="00F22D3A">
      <w:pPr>
        <w:pStyle w:val="ListParagraph"/>
        <w:numPr>
          <w:ilvl w:val="0"/>
          <w:numId w:val="4"/>
        </w:numPr>
        <w:rPr>
          <w:lang w:val="en-US"/>
        </w:rPr>
      </w:pPr>
      <w:r w:rsidRPr="00F22D3A">
        <w:rPr>
          <w:lang w:val="en-GB"/>
        </w:rPr>
        <w:t>Updated search string with additional terms related to virtual worlds and plural forms:</w:t>
      </w:r>
      <w:r w:rsidRPr="00F22D3A">
        <w:rPr>
          <w:lang w:val="en-US"/>
        </w:rPr>
        <w:t> </w:t>
      </w:r>
    </w:p>
    <w:p w14:paraId="32921CAA" w14:textId="77777777" w:rsidR="001C7219" w:rsidRDefault="001C7219" w:rsidP="001C7219">
      <w:pPr>
        <w:rPr>
          <w:lang w:val="en-GB"/>
        </w:rPr>
      </w:pPr>
      <w:r w:rsidRPr="00F211F0">
        <w:rPr>
          <w:lang w:val="en-GB"/>
        </w:rPr>
        <w:t>KEY</w:t>
      </w:r>
      <w:r w:rsidR="00F22D3A" w:rsidRPr="00F22D3A">
        <w:rPr>
          <w:b/>
          <w:bCs/>
          <w:lang w:val="en-GB"/>
        </w:rPr>
        <w:t xml:space="preserve">(“virtual worlds” OR “metaverses” OR (“massive multiplayer online” OR “MMORPG*”)) </w:t>
      </w:r>
      <w:r w:rsidR="00F22D3A" w:rsidRPr="00F22D3A">
        <w:rPr>
          <w:lang w:val="en-GB"/>
        </w:rPr>
        <w:t xml:space="preserve">AND </w:t>
      </w:r>
      <w:r w:rsidRPr="00F211F0">
        <w:rPr>
          <w:lang w:val="en-GB"/>
        </w:rPr>
        <w:t xml:space="preserve">KEY </w:t>
      </w:r>
      <w:r w:rsidR="00F22D3A" w:rsidRPr="00F22D3A">
        <w:rPr>
          <w:lang w:val="en-GB"/>
        </w:rPr>
        <w:t>("wellbeing" OR "well-being" OR "mental health" OR depressi* OR "anxiety" OR "eating disorder*" OR "substance abuse" OR "aggression" OR "AD/HD" OR "ADHD" OR "hedonic" OR "life satisfaction" OR  “affect" OR "emotion" OR "eudaimonic" OR "meaning" OR "authenticity" OR "mastery" OR "loneliness" OR "sleep" OR "stress" OR "self-esteem" OR "social support" OR "social capital" OR "social isolation" OR addicti* OR "cyberbullying" OR "bullying" OR "toxicity" OR "harassment")</w:t>
      </w:r>
      <w:r>
        <w:rPr>
          <w:lang w:val="en-GB"/>
        </w:rPr>
        <w:t xml:space="preserve"> </w:t>
      </w:r>
      <w:r w:rsidRPr="00F211F0">
        <w:rPr>
          <w:lang w:val="en-GB"/>
        </w:rPr>
        <w:t>AND ( LIMIT-TO(</w:t>
      </w:r>
      <w:proofErr w:type="spellStart"/>
      <w:r w:rsidRPr="00F211F0">
        <w:rPr>
          <w:lang w:val="en-GB"/>
        </w:rPr>
        <w:t>LANGUAGE,"English</w:t>
      </w:r>
      <w:proofErr w:type="spellEnd"/>
      <w:r w:rsidRPr="00F211F0">
        <w:rPr>
          <w:lang w:val="en-GB"/>
        </w:rPr>
        <w:t>"))</w:t>
      </w:r>
    </w:p>
    <w:p w14:paraId="584875B5" w14:textId="2A626CDE" w:rsidR="00F22D3A" w:rsidRPr="001C7219" w:rsidRDefault="00F22D3A" w:rsidP="00F22D3A">
      <w:pPr>
        <w:rPr>
          <w:lang w:val="en-GB"/>
        </w:rPr>
      </w:pPr>
    </w:p>
    <w:p w14:paraId="6ED8829C" w14:textId="47AEED90" w:rsidR="00F22D3A" w:rsidRPr="00F22D3A" w:rsidRDefault="00F22D3A" w:rsidP="00F22D3A">
      <w:pPr>
        <w:pStyle w:val="ListParagraph"/>
        <w:numPr>
          <w:ilvl w:val="0"/>
          <w:numId w:val="4"/>
        </w:numPr>
        <w:rPr>
          <w:lang w:val="en-US"/>
        </w:rPr>
      </w:pPr>
      <w:r w:rsidRPr="00F22D3A">
        <w:rPr>
          <w:lang w:val="en-GB"/>
        </w:rPr>
        <w:t>Updat</w:t>
      </w:r>
      <w:r>
        <w:rPr>
          <w:lang w:val="en-GB"/>
        </w:rPr>
        <w:t>ed</w:t>
      </w:r>
      <w:r w:rsidRPr="00F22D3A">
        <w:rPr>
          <w:lang w:val="en-GB"/>
        </w:rPr>
        <w:t xml:space="preserve"> </w:t>
      </w:r>
      <w:r>
        <w:rPr>
          <w:lang w:val="en-GB"/>
        </w:rPr>
        <w:t xml:space="preserve">search string </w:t>
      </w:r>
      <w:r w:rsidR="00B97EE8">
        <w:rPr>
          <w:lang w:val="en-GB"/>
        </w:rPr>
        <w:t>with additional terms related to mental health and plural forms</w:t>
      </w:r>
      <w:r w:rsidRPr="00B97EE8">
        <w:rPr>
          <w:lang w:val="en-GB"/>
        </w:rPr>
        <w:t>:</w:t>
      </w:r>
      <w:r w:rsidRPr="00F22D3A">
        <w:rPr>
          <w:lang w:val="en-GB"/>
        </w:rPr>
        <w:t> </w:t>
      </w:r>
      <w:r w:rsidRPr="00F22D3A">
        <w:rPr>
          <w:lang w:val="en-US"/>
        </w:rPr>
        <w:t> </w:t>
      </w:r>
    </w:p>
    <w:p w14:paraId="7AA2B75B" w14:textId="625A5A0D" w:rsidR="001C7219" w:rsidRDefault="001C7219" w:rsidP="001C7219">
      <w:pPr>
        <w:rPr>
          <w:lang w:val="en-GB"/>
        </w:rPr>
      </w:pPr>
      <w:r w:rsidRPr="001C7219">
        <w:rPr>
          <w:lang w:val="en-GB"/>
        </w:rPr>
        <w:t>KEY</w:t>
      </w:r>
      <w:r w:rsidR="00F22D3A" w:rsidRPr="00F22D3A">
        <w:rPr>
          <w:b/>
          <w:bCs/>
          <w:lang w:val="en-GB"/>
        </w:rPr>
        <w:t xml:space="preserve">(“virtual world*” OR “metaverse*” OR (“massive* multiplayer online” OR “MMORPG*”) </w:t>
      </w:r>
      <w:r w:rsidR="00F22D3A" w:rsidRPr="00F22D3A">
        <w:rPr>
          <w:lang w:val="en-GB"/>
        </w:rPr>
        <w:t>OR "social virtual reality" OR "social VR" OR "sandbox game" OR "sandbox video game" OR "open-world game" OR "open-world video game" OR "Animal Crossing" OR "Anyland" OR "AltspaceVR" OR "Apex Legends" OR "Axie Infinity" OR "BigScreen" OR "Call of Duty" OR "ChilloutVR" OR "Cryptovoxels" OR "Dark Souls" OR "Decentraland" OR "DeHorizon" OR "Engage VR" OR "Eve Online" OR "Facebook Horizon" OR "Facebook Spaces" OR "Final Fantasy" OR "Fortnite" OR "Grand Theft Auto" OR "Gather Town" OR "Guild Wards" OR "Habbo" OR "Habitat" OR "High Fidelity" OR "Horizon Worlds" OR "Hyperfy" OR "Hytopia" OR "Ifland" OR "League of Legends" OR "Matrix World" OR "Meta Horizon" OR "Minecraft" OR "Mirandus" OR "Mozilla Hubs" OR "Nemesis" OR "NeosVR" OR "Netvrk" OR "Next Earth" OR "Oculus Rooms" OR "Pavlov VR" OR "Pokemon GO" OR "PokerStars VR" OR "PUGB" OR "Rec Room" OR "Roblox" OR "Sansar" OR "Second Life" OR "Silentium" OR "SocialVR" OR "Somnium Space" OR "Sonoroom" OR "Spatial.io"  OR "Substrata" OR "Terrazero" OR "The Sandbox" OR "TreeVerse" OR "Upland" OR "VRChat" OR "vTime XR" OR "Warzone" OR "World of Warcraft" OR "</w:t>
      </w:r>
      <w:proofErr w:type="spellStart"/>
      <w:r w:rsidR="00F22D3A" w:rsidRPr="00F22D3A">
        <w:rPr>
          <w:lang w:val="en-GB"/>
        </w:rPr>
        <w:t>Zepeto</w:t>
      </w:r>
      <w:proofErr w:type="spellEnd"/>
      <w:r w:rsidR="00F22D3A" w:rsidRPr="00F22D3A">
        <w:rPr>
          <w:lang w:val="en-GB"/>
        </w:rPr>
        <w:t xml:space="preserve">") </w:t>
      </w:r>
      <w:r w:rsidR="00F22D3A" w:rsidRPr="00F22D3A">
        <w:rPr>
          <w:b/>
          <w:bCs/>
          <w:lang w:val="en-GB"/>
        </w:rPr>
        <w:t xml:space="preserve">AND </w:t>
      </w:r>
      <w:r>
        <w:rPr>
          <w:b/>
          <w:bCs/>
          <w:lang w:val="en-GB"/>
        </w:rPr>
        <w:t>KEY</w:t>
      </w:r>
      <w:r w:rsidR="00F22D3A" w:rsidRPr="00F22D3A">
        <w:rPr>
          <w:b/>
          <w:bCs/>
          <w:lang w:val="en-GB"/>
        </w:rPr>
        <w:t>("</w:t>
      </w:r>
      <w:proofErr w:type="spellStart"/>
      <w:r w:rsidR="00F22D3A" w:rsidRPr="00F22D3A">
        <w:rPr>
          <w:b/>
          <w:bCs/>
          <w:lang w:val="en-GB"/>
        </w:rPr>
        <w:t>obsessi</w:t>
      </w:r>
      <w:proofErr w:type="spellEnd"/>
      <w:r w:rsidR="00F22D3A" w:rsidRPr="00F22D3A">
        <w:rPr>
          <w:b/>
          <w:bCs/>
          <w:lang w:val="en-GB"/>
        </w:rPr>
        <w:t>*" OR "</w:t>
      </w:r>
      <w:proofErr w:type="spellStart"/>
      <w:r w:rsidR="00F22D3A" w:rsidRPr="00F22D3A">
        <w:rPr>
          <w:b/>
          <w:bCs/>
          <w:lang w:val="en-GB"/>
        </w:rPr>
        <w:t>compulsiv</w:t>
      </w:r>
      <w:proofErr w:type="spellEnd"/>
      <w:r w:rsidR="00F22D3A" w:rsidRPr="00F22D3A">
        <w:rPr>
          <w:b/>
          <w:bCs/>
          <w:lang w:val="en-GB"/>
        </w:rPr>
        <w:t xml:space="preserve">*" OR "paranoia" OR "schizophrenia" OR “psychotic” OR "hyperactivity" OR "delinquency" OR "aggressive" OR "substance use disorder*" OR "social phobia" OR “internalizing symptom*” OR “externalizing symptom*” OR “psychological distress” OR “emotional distress” OR "body image disturbance" OR </w:t>
      </w:r>
      <w:r w:rsidR="00F22D3A" w:rsidRPr="00F22D3A">
        <w:rPr>
          <w:b/>
          <w:bCs/>
          <w:lang w:val="en-GB"/>
        </w:rPr>
        <w:lastRenderedPageBreak/>
        <w:t>"body image dissatisfaction" OR "happiness" OR "personal growth" OR "need satisfaction" OR "affective well-being" OR “emotional well-being” OR “positive affect*” OR “negative affect*” OR “positive emotion*” OR “negative emotion*” OR "meaning in life" OR "purpose in life")</w:t>
      </w:r>
      <w:r>
        <w:rPr>
          <w:lang w:val="en-GB"/>
        </w:rPr>
        <w:t xml:space="preserve"> </w:t>
      </w:r>
      <w:r w:rsidRPr="00F211F0">
        <w:rPr>
          <w:lang w:val="en-GB"/>
        </w:rPr>
        <w:t>AND ( LIMIT-TO(</w:t>
      </w:r>
      <w:proofErr w:type="spellStart"/>
      <w:r w:rsidRPr="00F211F0">
        <w:rPr>
          <w:lang w:val="en-GB"/>
        </w:rPr>
        <w:t>LANGUAGE,"English</w:t>
      </w:r>
      <w:proofErr w:type="spellEnd"/>
      <w:r w:rsidRPr="00F211F0">
        <w:rPr>
          <w:lang w:val="en-GB"/>
        </w:rPr>
        <w:t>"))</w:t>
      </w:r>
    </w:p>
    <w:p w14:paraId="03177D0F" w14:textId="4F611B0A" w:rsidR="00F22D3A" w:rsidRPr="001C7219" w:rsidRDefault="00F22D3A" w:rsidP="00F22D3A">
      <w:pPr>
        <w:rPr>
          <w:lang w:val="en-GB"/>
        </w:rPr>
      </w:pPr>
    </w:p>
    <w:p w14:paraId="50E01BDB" w14:textId="40998F61" w:rsidR="00C463EC" w:rsidRDefault="00C463EC">
      <w:pPr>
        <w:spacing w:before="0" w:after="160" w:line="278" w:lineRule="auto"/>
        <w:jc w:val="left"/>
        <w:rPr>
          <w:lang w:val="en-US"/>
        </w:rPr>
      </w:pPr>
      <w:r>
        <w:rPr>
          <w:lang w:val="en-US"/>
        </w:rPr>
        <w:br w:type="page"/>
      </w:r>
    </w:p>
    <w:p w14:paraId="5E1E4884" w14:textId="276E1016" w:rsidR="00C463EC" w:rsidRPr="00C463EC" w:rsidRDefault="00C463EC" w:rsidP="00C463EC">
      <w:pPr>
        <w:pStyle w:val="ListParagraph"/>
        <w:numPr>
          <w:ilvl w:val="0"/>
          <w:numId w:val="1"/>
        </w:numPr>
        <w:rPr>
          <w:b/>
          <w:bCs/>
          <w:lang w:val="en-US"/>
        </w:rPr>
      </w:pPr>
      <w:r w:rsidRPr="00C463EC">
        <w:rPr>
          <w:b/>
          <w:bCs/>
          <w:lang w:val="en-US"/>
        </w:rPr>
        <w:lastRenderedPageBreak/>
        <w:t>List of variables extracted and analyzed</w:t>
      </w:r>
    </w:p>
    <w:p w14:paraId="6FFC34D3" w14:textId="20E42398" w:rsidR="00C463EC" w:rsidRDefault="00C463EC" w:rsidP="00C463EC">
      <w:pPr>
        <w:rPr>
          <w:lang w:val="en-US"/>
        </w:rPr>
      </w:pPr>
      <w:r w:rsidRPr="00C463EC">
        <w:rPr>
          <w:lang w:val="en-US"/>
        </w:rPr>
        <w:t>Author(s); Year of publication</w:t>
      </w:r>
      <w:r>
        <w:rPr>
          <w:lang w:val="en-US"/>
        </w:rPr>
        <w:t xml:space="preserve">; </w:t>
      </w:r>
      <w:r w:rsidRPr="00C463EC">
        <w:rPr>
          <w:lang w:val="en-US"/>
        </w:rPr>
        <w:t>Country</w:t>
      </w:r>
      <w:r>
        <w:rPr>
          <w:lang w:val="en-US"/>
        </w:rPr>
        <w:t xml:space="preserve">; </w:t>
      </w:r>
      <w:r w:rsidRPr="00C463EC">
        <w:rPr>
          <w:lang w:val="en-US"/>
        </w:rPr>
        <w:t>Journal</w:t>
      </w:r>
      <w:r>
        <w:rPr>
          <w:lang w:val="en-US"/>
        </w:rPr>
        <w:t xml:space="preserve">; </w:t>
      </w:r>
      <w:r w:rsidRPr="00C463EC">
        <w:rPr>
          <w:lang w:val="en-US"/>
        </w:rPr>
        <w:t>Field/Discipline-Subject area</w:t>
      </w:r>
      <w:r>
        <w:rPr>
          <w:lang w:val="en-US"/>
        </w:rPr>
        <w:t>;</w:t>
      </w:r>
      <w:r w:rsidRPr="00C463EC">
        <w:rPr>
          <w:lang w:val="en-US"/>
        </w:rPr>
        <w:t xml:space="preserve"> Method/Research Design</w:t>
      </w:r>
      <w:r>
        <w:rPr>
          <w:lang w:val="en-US"/>
        </w:rPr>
        <w:t xml:space="preserve">; </w:t>
      </w:r>
      <w:r w:rsidRPr="00C463EC">
        <w:rPr>
          <w:lang w:val="en-US"/>
        </w:rPr>
        <w:t>Theoretical framework</w:t>
      </w:r>
      <w:r>
        <w:rPr>
          <w:lang w:val="en-US"/>
        </w:rPr>
        <w:t>/</w:t>
      </w:r>
      <w:r w:rsidRPr="00C463EC">
        <w:rPr>
          <w:lang w:val="en-US"/>
        </w:rPr>
        <w:t>Conceptual Model</w:t>
      </w:r>
      <w:r>
        <w:rPr>
          <w:lang w:val="en-US"/>
        </w:rPr>
        <w:t xml:space="preserve">; </w:t>
      </w:r>
      <w:r w:rsidRPr="00C463EC">
        <w:rPr>
          <w:lang w:val="en-US"/>
        </w:rPr>
        <w:t>Channel-centered approach</w:t>
      </w:r>
      <w:r>
        <w:rPr>
          <w:lang w:val="en-US"/>
        </w:rPr>
        <w:t xml:space="preserve"> [</w:t>
      </w:r>
      <w:r w:rsidRPr="00C463EC">
        <w:rPr>
          <w:lang w:val="en-US"/>
        </w:rPr>
        <w:t>Channel-centered approach: Focus on device, Which device(s), Channel-centered approach: Focus on type of application, Which type(s) of applications, Channel-centered approach: Focus on branded application(s), Which branded application(s), Channel-centered approach: Focus on feature(s), Which feature(s)</w:t>
      </w:r>
      <w:r>
        <w:rPr>
          <w:lang w:val="en-US"/>
        </w:rPr>
        <w:t>];</w:t>
      </w:r>
      <w:r w:rsidRPr="00C463EC">
        <w:rPr>
          <w:lang w:val="en-US"/>
        </w:rPr>
        <w:t xml:space="preserve"> Communication-centered approach</w:t>
      </w:r>
      <w:r>
        <w:rPr>
          <w:lang w:val="en-US"/>
        </w:rPr>
        <w:t xml:space="preserve"> [</w:t>
      </w:r>
      <w:r w:rsidRPr="00C463EC">
        <w:rPr>
          <w:lang w:val="en-US"/>
        </w:rPr>
        <w:t xml:space="preserve"> Communication-centered approach: which variables, Platform studied</w:t>
      </w:r>
      <w:r>
        <w:rPr>
          <w:lang w:val="en-US"/>
        </w:rPr>
        <w:t>];</w:t>
      </w:r>
      <w:r w:rsidRPr="00C463EC">
        <w:rPr>
          <w:lang w:val="en-US"/>
        </w:rPr>
        <w:t xml:space="preserve"> Operational approach</w:t>
      </w:r>
      <w:r>
        <w:rPr>
          <w:lang w:val="en-US"/>
        </w:rPr>
        <w:t xml:space="preserve"> [</w:t>
      </w:r>
      <w:r w:rsidRPr="00C463EC">
        <w:rPr>
          <w:lang w:val="en-US"/>
        </w:rPr>
        <w:t>Is the study technology-centered</w:t>
      </w:r>
      <w:r>
        <w:rPr>
          <w:lang w:val="en-US"/>
        </w:rPr>
        <w:t>?</w:t>
      </w:r>
      <w:r w:rsidRPr="00C463EC">
        <w:rPr>
          <w:lang w:val="en-US"/>
        </w:rPr>
        <w:t>, Which technology-centered operationalization(s), Is the study user-centered</w:t>
      </w:r>
      <w:r>
        <w:rPr>
          <w:lang w:val="en-US"/>
        </w:rPr>
        <w:t>?</w:t>
      </w:r>
      <w:r w:rsidRPr="00C463EC">
        <w:rPr>
          <w:lang w:val="en-US"/>
        </w:rPr>
        <w:t>, Which user-centered operationalization(s)</w:t>
      </w:r>
      <w:r>
        <w:rPr>
          <w:lang w:val="en-US"/>
        </w:rPr>
        <w:t>];</w:t>
      </w:r>
      <w:r w:rsidRPr="00C463EC">
        <w:rPr>
          <w:lang w:val="en-US"/>
        </w:rPr>
        <w:t xml:space="preserve"> Does the study focus on displacement of other activities</w:t>
      </w:r>
      <w:r>
        <w:rPr>
          <w:lang w:val="en-US"/>
        </w:rPr>
        <w:t>?;</w:t>
      </w:r>
      <w:r w:rsidRPr="00C463EC">
        <w:rPr>
          <w:lang w:val="en-US"/>
        </w:rPr>
        <w:t xml:space="preserve"> Virtual world used in an uncommon way</w:t>
      </w:r>
      <w:r>
        <w:rPr>
          <w:lang w:val="en-US"/>
        </w:rPr>
        <w:t xml:space="preserve"> [</w:t>
      </w:r>
      <w:r w:rsidRPr="00C463EC">
        <w:rPr>
          <w:lang w:val="en-US"/>
        </w:rPr>
        <w:t>Explain why virtual world was used in an uncommon way</w:t>
      </w:r>
      <w:r>
        <w:rPr>
          <w:lang w:val="en-US"/>
        </w:rPr>
        <w:t xml:space="preserve">]; </w:t>
      </w:r>
      <w:r w:rsidRPr="00C463EC">
        <w:rPr>
          <w:lang w:val="en-US"/>
        </w:rPr>
        <w:t>Psychopathology</w:t>
      </w:r>
      <w:r>
        <w:rPr>
          <w:lang w:val="en-US"/>
        </w:rPr>
        <w:t xml:space="preserve">; </w:t>
      </w:r>
      <w:r w:rsidRPr="00C463EC">
        <w:rPr>
          <w:lang w:val="en-US"/>
        </w:rPr>
        <w:t>Psychological well-being (Hedonic)</w:t>
      </w:r>
      <w:r>
        <w:rPr>
          <w:lang w:val="en-US"/>
        </w:rPr>
        <w:t>;</w:t>
      </w:r>
      <w:r w:rsidRPr="00C463EC">
        <w:rPr>
          <w:lang w:val="en-US"/>
        </w:rPr>
        <w:t xml:space="preserve"> Psychological well-being (Eudaimonic)</w:t>
      </w:r>
      <w:r>
        <w:rPr>
          <w:lang w:val="en-US"/>
        </w:rPr>
        <w:t>;</w:t>
      </w:r>
      <w:r w:rsidRPr="00C463EC">
        <w:rPr>
          <w:lang w:val="en-US"/>
        </w:rPr>
        <w:t xml:space="preserve"> Risk Factors</w:t>
      </w:r>
      <w:r>
        <w:rPr>
          <w:lang w:val="en-US"/>
        </w:rPr>
        <w:t>;</w:t>
      </w:r>
      <w:r w:rsidRPr="00C463EC">
        <w:rPr>
          <w:lang w:val="en-US"/>
        </w:rPr>
        <w:t xml:space="preserve"> Resilience Factors</w:t>
      </w:r>
      <w:r>
        <w:rPr>
          <w:lang w:val="en-US"/>
        </w:rPr>
        <w:t>;</w:t>
      </w:r>
      <w:r w:rsidRPr="00C463EC">
        <w:rPr>
          <w:lang w:val="en-US"/>
        </w:rPr>
        <w:t xml:space="preserve"> Virtual World-related Problematic Factors</w:t>
      </w:r>
      <w:r>
        <w:rPr>
          <w:lang w:val="en-US"/>
        </w:rPr>
        <w:t>;</w:t>
      </w:r>
      <w:r w:rsidRPr="00C463EC">
        <w:rPr>
          <w:lang w:val="en-US"/>
        </w:rPr>
        <w:t xml:space="preserve"> Study focused on a specific area of application</w:t>
      </w:r>
      <w:r>
        <w:rPr>
          <w:lang w:val="en-US"/>
        </w:rPr>
        <w:t xml:space="preserve"> [</w:t>
      </w:r>
      <w:r w:rsidRPr="00C463EC">
        <w:rPr>
          <w:lang w:val="en-US"/>
        </w:rPr>
        <w:t>Which specific area of application</w:t>
      </w:r>
      <w:r>
        <w:rPr>
          <w:lang w:val="en-US"/>
        </w:rPr>
        <w:t>];</w:t>
      </w:r>
      <w:r w:rsidRPr="00C463EC">
        <w:rPr>
          <w:lang w:val="en-US"/>
        </w:rPr>
        <w:t xml:space="preserve"> Study considered mediation variable(s)</w:t>
      </w:r>
      <w:r>
        <w:rPr>
          <w:lang w:val="en-US"/>
        </w:rPr>
        <w:t>;</w:t>
      </w:r>
      <w:r w:rsidRPr="00C463EC">
        <w:rPr>
          <w:lang w:val="en-US"/>
        </w:rPr>
        <w:t xml:space="preserve"> Study considered moderation variable(s)</w:t>
      </w:r>
      <w:r>
        <w:rPr>
          <w:lang w:val="en-US"/>
        </w:rPr>
        <w:t>;</w:t>
      </w:r>
      <w:r w:rsidRPr="00C463EC">
        <w:rPr>
          <w:lang w:val="en-US"/>
        </w:rPr>
        <w:t xml:space="preserve"> Sample size</w:t>
      </w:r>
      <w:r>
        <w:rPr>
          <w:lang w:val="en-US"/>
        </w:rPr>
        <w:t>;</w:t>
      </w:r>
      <w:r w:rsidRPr="00C463EC">
        <w:rPr>
          <w:lang w:val="en-US"/>
        </w:rPr>
        <w:t xml:space="preserve"> Mean age</w:t>
      </w:r>
      <w:r>
        <w:rPr>
          <w:lang w:val="en-US"/>
        </w:rPr>
        <w:t>;</w:t>
      </w:r>
      <w:r w:rsidRPr="00C463EC">
        <w:rPr>
          <w:lang w:val="en-US"/>
        </w:rPr>
        <w:t xml:space="preserve"> Focused on specific age group(s)</w:t>
      </w:r>
      <w:r>
        <w:rPr>
          <w:lang w:val="en-US"/>
        </w:rPr>
        <w:t xml:space="preserve"> [</w:t>
      </w:r>
      <w:r w:rsidRPr="00C463EC">
        <w:rPr>
          <w:lang w:val="en-US"/>
        </w:rPr>
        <w:t>Which age group does the study focus on</w:t>
      </w:r>
      <w:r>
        <w:rPr>
          <w:lang w:val="en-US"/>
        </w:rPr>
        <w:t>];</w:t>
      </w:r>
      <w:r w:rsidRPr="00C463EC">
        <w:rPr>
          <w:lang w:val="en-US"/>
        </w:rPr>
        <w:t xml:space="preserve"> Geographical location of the participants</w:t>
      </w:r>
      <w:r>
        <w:rPr>
          <w:lang w:val="en-US"/>
        </w:rPr>
        <w:t xml:space="preserve"> [</w:t>
      </w:r>
      <w:r w:rsidRPr="00C463EC">
        <w:rPr>
          <w:lang w:val="en-US"/>
        </w:rPr>
        <w:t>Location known, Location continent, Western countries</w:t>
      </w:r>
      <w:r>
        <w:rPr>
          <w:lang w:val="en-US"/>
        </w:rPr>
        <w:t xml:space="preserve">]; </w:t>
      </w:r>
      <w:r w:rsidRPr="00C463EC">
        <w:rPr>
          <w:lang w:val="en-US"/>
        </w:rPr>
        <w:t>Gender</w:t>
      </w:r>
      <w:r>
        <w:rPr>
          <w:lang w:val="en-US"/>
        </w:rPr>
        <w:t xml:space="preserve">; </w:t>
      </w:r>
      <w:r w:rsidRPr="00C463EC">
        <w:rPr>
          <w:lang w:val="en-US"/>
        </w:rPr>
        <w:t>Analytical approach</w:t>
      </w:r>
      <w:r>
        <w:rPr>
          <w:lang w:val="en-US"/>
        </w:rPr>
        <w:t xml:space="preserve">; </w:t>
      </w:r>
      <w:r w:rsidRPr="00C463EC">
        <w:rPr>
          <w:lang w:val="en-US"/>
        </w:rPr>
        <w:t>Summary of the main results</w:t>
      </w:r>
    </w:p>
    <w:p w14:paraId="2ED0BDE8" w14:textId="19123909" w:rsidR="00801A61" w:rsidRDefault="00801A61">
      <w:pPr>
        <w:spacing w:before="0" w:after="160" w:line="278" w:lineRule="auto"/>
        <w:jc w:val="left"/>
        <w:rPr>
          <w:lang w:val="en-US"/>
        </w:rPr>
      </w:pPr>
      <w:r>
        <w:rPr>
          <w:lang w:val="en-US"/>
        </w:rPr>
        <w:br w:type="page"/>
      </w:r>
    </w:p>
    <w:p w14:paraId="6B22DA3F" w14:textId="4121FF43" w:rsidR="00801A61" w:rsidRPr="00801A61" w:rsidRDefault="00801A61" w:rsidP="00801A61">
      <w:pPr>
        <w:pStyle w:val="ListParagraph"/>
        <w:numPr>
          <w:ilvl w:val="0"/>
          <w:numId w:val="1"/>
        </w:numPr>
        <w:rPr>
          <w:b/>
          <w:bCs/>
          <w:lang w:val="en-US"/>
        </w:rPr>
      </w:pPr>
      <w:r w:rsidRPr="00801A61">
        <w:rPr>
          <w:b/>
          <w:bCs/>
          <w:lang w:val="en-US"/>
        </w:rPr>
        <w:lastRenderedPageBreak/>
        <w:t>Additional thematic analysis</w:t>
      </w:r>
    </w:p>
    <w:p w14:paraId="428AC2D5" w14:textId="518DB76B" w:rsidR="00341C07" w:rsidRDefault="00341C07" w:rsidP="00341C07">
      <w:pPr>
        <w:rPr>
          <w:lang w:val="en-001"/>
        </w:rPr>
      </w:pPr>
      <w:r w:rsidRPr="00341C07">
        <w:rPr>
          <w:lang w:val="en-001"/>
        </w:rPr>
        <w:t>The thematic map</w:t>
      </w:r>
      <w:r w:rsidR="00A45A96">
        <w:rPr>
          <w:rStyle w:val="FootnoteReference"/>
          <w:lang w:val="en-001"/>
        </w:rPr>
        <w:footnoteReference w:id="2"/>
      </w:r>
      <w:r w:rsidRPr="00341C07">
        <w:rPr>
          <w:lang w:val="en-001"/>
        </w:rPr>
        <w:t>, built using the co-word analysis and visualized via the WALKTRAP clustering algorithm, offers a strategic overview of the conceptual structure of our corpus on virtual worlds and mental health. The map plots clusters of keywords across two dimensions: centrality (x-axis), which reflects the relevance of a theme within the overall research network; and density (y-axis), indicating the level of internal development and cohesion of each theme. In the following we describe the clusters found in each quadrant of the map.</w:t>
      </w:r>
    </w:p>
    <w:p w14:paraId="3BDAF6FB" w14:textId="77777777" w:rsidR="00341C07" w:rsidRPr="00341C07" w:rsidRDefault="00341C07" w:rsidP="00341C07">
      <w:pPr>
        <w:rPr>
          <w:lang w:val="en-001"/>
        </w:rPr>
      </w:pPr>
    </w:p>
    <w:p w14:paraId="31E77170" w14:textId="5A41C48A" w:rsidR="00341C07" w:rsidRDefault="00341C07" w:rsidP="00341C07">
      <w:pPr>
        <w:rPr>
          <w:b/>
          <w:bCs/>
          <w:lang w:val="en-001"/>
        </w:rPr>
      </w:pPr>
      <w:r>
        <w:rPr>
          <w:b/>
          <w:bCs/>
          <w:noProof/>
          <w:lang w:val="en-001"/>
        </w:rPr>
        <w:drawing>
          <wp:inline distT="0" distB="0" distL="0" distR="0" wp14:anchorId="67C85E3C" wp14:editId="0E40281D">
            <wp:extent cx="5725795" cy="3812540"/>
            <wp:effectExtent l="0" t="0" r="8255" b="0"/>
            <wp:docPr id="459817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795" cy="3812540"/>
                    </a:xfrm>
                    <a:prstGeom prst="rect">
                      <a:avLst/>
                    </a:prstGeom>
                    <a:noFill/>
                    <a:ln>
                      <a:noFill/>
                    </a:ln>
                  </pic:spPr>
                </pic:pic>
              </a:graphicData>
            </a:graphic>
          </wp:inline>
        </w:drawing>
      </w:r>
    </w:p>
    <w:p w14:paraId="1B93255E" w14:textId="3E2BD06B" w:rsidR="00341C07" w:rsidRPr="00341C07" w:rsidRDefault="00341C07" w:rsidP="00341C07">
      <w:pPr>
        <w:rPr>
          <w:b/>
          <w:bCs/>
          <w:lang w:val="en-001"/>
        </w:rPr>
      </w:pPr>
      <w:r w:rsidRPr="00341C07">
        <w:rPr>
          <w:b/>
          <w:bCs/>
          <w:lang w:val="en-001"/>
        </w:rPr>
        <w:t>Basic themes</w:t>
      </w:r>
      <w:r w:rsidRPr="00341C07">
        <w:rPr>
          <w:lang w:val="en-001"/>
        </w:rPr>
        <w:t xml:space="preserve"> (bottom-right quadrant, i.e. themes that are central but less developed, implying foundational or transversal topics that require deeper investigation):</w:t>
      </w:r>
    </w:p>
    <w:p w14:paraId="38D3ACC5" w14:textId="77777777" w:rsidR="00341C07" w:rsidRDefault="00341C07" w:rsidP="00341C07">
      <w:pPr>
        <w:pStyle w:val="ListParagraph"/>
        <w:numPr>
          <w:ilvl w:val="0"/>
          <w:numId w:val="5"/>
        </w:numPr>
        <w:rPr>
          <w:lang w:val="en-001"/>
        </w:rPr>
      </w:pPr>
      <w:r w:rsidRPr="00341C07">
        <w:rPr>
          <w:lang w:val="en-001"/>
        </w:rPr>
        <w:t xml:space="preserve">A cluster stands out as one of the most central in the field, encompassing foundational concepts such as online games, virtual worlds and social VR. These keywords represent the core platforms and environments under investigation, serving as the conceptual backbone of the field. Despite their centrality, the lower density suggests that the </w:t>
      </w:r>
      <w:r w:rsidRPr="00341C07">
        <w:rPr>
          <w:lang w:val="en-001"/>
        </w:rPr>
        <w:lastRenderedPageBreak/>
        <w:t>research around these terms is widely connected but potentially methodologically fragmented or interdisciplinary in nature.</w:t>
      </w:r>
    </w:p>
    <w:p w14:paraId="75294332" w14:textId="5825AFBC" w:rsidR="00341C07" w:rsidRPr="00341C07" w:rsidRDefault="00341C07" w:rsidP="00341C07">
      <w:pPr>
        <w:pStyle w:val="ListParagraph"/>
        <w:numPr>
          <w:ilvl w:val="0"/>
          <w:numId w:val="5"/>
        </w:numPr>
        <w:rPr>
          <w:lang w:val="en-001"/>
        </w:rPr>
      </w:pPr>
      <w:r w:rsidRPr="00341C07">
        <w:rPr>
          <w:lang w:val="en-001"/>
        </w:rPr>
        <w:t xml:space="preserve">A second cluster within this quadrant groups social capital, Second Life and social media. This cluster is located considerably lower on the centrality axis compared to the previous one, indicating that while these themes remain part of the broader conceptual network, they play a more peripheral role in shaping the field’s core structure. Their position suggests that although they were foundational in early research—particularly around early social virtual platforms and community-based interactions—they are no longer at the </w:t>
      </w:r>
      <w:proofErr w:type="spellStart"/>
      <w:r w:rsidRPr="00341C07">
        <w:rPr>
          <w:lang w:val="en-001"/>
        </w:rPr>
        <w:t>center</w:t>
      </w:r>
      <w:proofErr w:type="spellEnd"/>
      <w:r w:rsidRPr="00341C07">
        <w:rPr>
          <w:lang w:val="en-001"/>
        </w:rPr>
        <w:t xml:space="preserve"> of current scholarly focus. This may reflect either a plateau in the development of these specific lines of inquiry or their absorption into broader conceptual frameworks without further thematic deepening.</w:t>
      </w:r>
    </w:p>
    <w:p w14:paraId="6F2EA7B5" w14:textId="77777777" w:rsidR="00341C07" w:rsidRDefault="00341C07" w:rsidP="00341C07">
      <w:pPr>
        <w:rPr>
          <w:lang w:val="en-001"/>
        </w:rPr>
      </w:pPr>
      <w:r w:rsidRPr="00341C07">
        <w:rPr>
          <w:b/>
          <w:bCs/>
          <w:lang w:val="en-001"/>
        </w:rPr>
        <w:t xml:space="preserve">Motor themes </w:t>
      </w:r>
      <w:r w:rsidRPr="00341C07">
        <w:rPr>
          <w:lang w:val="en-001"/>
        </w:rPr>
        <w:t>(upper-right quadrant, i.e. topics that are both highly developed and central to the field). Two prominent clusters appear:</w:t>
      </w:r>
    </w:p>
    <w:p w14:paraId="677FBA6D" w14:textId="77777777" w:rsidR="00341C07" w:rsidRDefault="00341C07" w:rsidP="00341C07">
      <w:pPr>
        <w:pStyle w:val="ListParagraph"/>
        <w:numPr>
          <w:ilvl w:val="0"/>
          <w:numId w:val="6"/>
        </w:numPr>
        <w:rPr>
          <w:lang w:val="en-001"/>
        </w:rPr>
      </w:pPr>
      <w:r w:rsidRPr="00341C07">
        <w:rPr>
          <w:lang w:val="en-001"/>
        </w:rPr>
        <w:t xml:space="preserve">The first one groups </w:t>
      </w:r>
      <w:proofErr w:type="spellStart"/>
      <w:r w:rsidRPr="00341C07">
        <w:rPr>
          <w:lang w:val="en-001"/>
        </w:rPr>
        <w:t>Pokemon</w:t>
      </w:r>
      <w:proofErr w:type="spellEnd"/>
      <w:r w:rsidRPr="00341C07">
        <w:rPr>
          <w:lang w:val="en-001"/>
        </w:rPr>
        <w:t xml:space="preserve"> Go, well-being and augmented reality, highlighting a well-developed active line of research focused on location-based games and their psychological impacts. The strong density of this cluster suggests robust conceptual coherence, possibly driven by empirical studies that link augmented reality games to benefits like increased social interaction or outdoor activity, particularly during the COVID-19 pandemic. </w:t>
      </w:r>
    </w:p>
    <w:p w14:paraId="5650AD4D" w14:textId="09AA5B5D" w:rsidR="00341C07" w:rsidRPr="00341C07" w:rsidRDefault="00341C07" w:rsidP="00341C07">
      <w:pPr>
        <w:pStyle w:val="ListParagraph"/>
        <w:numPr>
          <w:ilvl w:val="0"/>
          <w:numId w:val="6"/>
        </w:numPr>
        <w:rPr>
          <w:lang w:val="en-001"/>
        </w:rPr>
      </w:pPr>
      <w:r w:rsidRPr="00341C07">
        <w:rPr>
          <w:lang w:val="en-001"/>
        </w:rPr>
        <w:t xml:space="preserve">The second cluster includes </w:t>
      </w:r>
      <w:proofErr w:type="spellStart"/>
      <w:r w:rsidRPr="00341C07">
        <w:rPr>
          <w:lang w:val="en-001"/>
        </w:rPr>
        <w:t>mmorpg</w:t>
      </w:r>
      <w:proofErr w:type="spellEnd"/>
      <w:r w:rsidRPr="00341C07">
        <w:rPr>
          <w:lang w:val="en-001"/>
        </w:rPr>
        <w:t xml:space="preserve">, gaming disorder and addiction. Its central and dense position suggests a well-established subfield, particularly addressing problematic gaming </w:t>
      </w:r>
      <w:proofErr w:type="spellStart"/>
      <w:r w:rsidRPr="00341C07">
        <w:rPr>
          <w:lang w:val="en-001"/>
        </w:rPr>
        <w:t>behaviors</w:t>
      </w:r>
      <w:proofErr w:type="spellEnd"/>
      <w:r w:rsidRPr="00341C07">
        <w:rPr>
          <w:lang w:val="en-001"/>
        </w:rPr>
        <w:t>, which continues to anchor much of the psychological inquiry into digital game environments.</w:t>
      </w:r>
    </w:p>
    <w:p w14:paraId="11991AAC" w14:textId="77777777" w:rsidR="00341C07" w:rsidRDefault="00341C07" w:rsidP="00341C07">
      <w:pPr>
        <w:rPr>
          <w:lang w:val="en-001"/>
        </w:rPr>
      </w:pPr>
      <w:r w:rsidRPr="00341C07">
        <w:rPr>
          <w:b/>
          <w:bCs/>
          <w:lang w:val="en-001"/>
        </w:rPr>
        <w:t xml:space="preserve">Niche themes </w:t>
      </w:r>
      <w:r w:rsidRPr="00341C07">
        <w:rPr>
          <w:lang w:val="en-001"/>
        </w:rPr>
        <w:t>(upper-left quadrant featuring cohesive but relatively isolated research topics). Two smaller clusters appear:</w:t>
      </w:r>
    </w:p>
    <w:p w14:paraId="252798DC" w14:textId="77777777" w:rsidR="00341C07" w:rsidRDefault="00341C07" w:rsidP="00341C07">
      <w:pPr>
        <w:pStyle w:val="ListParagraph"/>
        <w:numPr>
          <w:ilvl w:val="0"/>
          <w:numId w:val="7"/>
        </w:numPr>
        <w:rPr>
          <w:lang w:val="en-001"/>
        </w:rPr>
      </w:pPr>
      <w:r w:rsidRPr="00341C07">
        <w:rPr>
          <w:lang w:val="en-001"/>
        </w:rPr>
        <w:t xml:space="preserve">One cluster includes Minecraft, continuance intention and enjoyment, likely focusing on specific platforms and user behaviours. </w:t>
      </w:r>
    </w:p>
    <w:p w14:paraId="146875DA" w14:textId="19B08D40" w:rsidR="00341C07" w:rsidRPr="00341C07" w:rsidRDefault="00341C07" w:rsidP="00341C07">
      <w:pPr>
        <w:pStyle w:val="ListParagraph"/>
        <w:numPr>
          <w:ilvl w:val="0"/>
          <w:numId w:val="7"/>
        </w:numPr>
        <w:rPr>
          <w:lang w:val="en-001"/>
        </w:rPr>
      </w:pPr>
      <w:r w:rsidRPr="00341C07">
        <w:rPr>
          <w:lang w:val="en-001"/>
        </w:rPr>
        <w:t>The other one includes emotions, psychological support and sense of presence, possibly indicating focused explorations of immersive experience or therapeutic potential, albeit less integrated into the broader field.</w:t>
      </w:r>
    </w:p>
    <w:p w14:paraId="39059DB5" w14:textId="77777777" w:rsidR="00341C07" w:rsidRDefault="00341C07" w:rsidP="00341C07">
      <w:pPr>
        <w:rPr>
          <w:lang w:val="en-001"/>
        </w:rPr>
      </w:pPr>
      <w:r w:rsidRPr="00341C07">
        <w:rPr>
          <w:b/>
          <w:bCs/>
          <w:lang w:val="en-001"/>
        </w:rPr>
        <w:t>Emerging or declining themes</w:t>
      </w:r>
      <w:r w:rsidRPr="00341C07">
        <w:rPr>
          <w:lang w:val="en-001"/>
        </w:rPr>
        <w:t xml:space="preserve"> (in the bottom-left quadrant, representing themes that are currently underdeveloped and marginal within the broader discourse).</w:t>
      </w:r>
    </w:p>
    <w:p w14:paraId="20A041AE" w14:textId="77777777" w:rsidR="00341C07" w:rsidRDefault="00341C07" w:rsidP="00341C07">
      <w:pPr>
        <w:pStyle w:val="ListParagraph"/>
        <w:numPr>
          <w:ilvl w:val="0"/>
          <w:numId w:val="8"/>
        </w:numPr>
        <w:rPr>
          <w:lang w:val="en-001"/>
        </w:rPr>
      </w:pPr>
      <w:r w:rsidRPr="00341C07">
        <w:rPr>
          <w:lang w:val="en-001"/>
        </w:rPr>
        <w:lastRenderedPageBreak/>
        <w:t>Here we observe two very small clusters around health disparities and accessibility. Given current societal concerns around inclusion and equitable access to digital technologies, their presence may signal nascent or underexplored directions worth future investigation.</w:t>
      </w:r>
    </w:p>
    <w:p w14:paraId="3DAE1BAB" w14:textId="41096624" w:rsidR="00AC5FF2" w:rsidRDefault="00341C07" w:rsidP="00341C07">
      <w:pPr>
        <w:rPr>
          <w:lang w:val="en-001"/>
        </w:rPr>
      </w:pPr>
      <w:r w:rsidRPr="00341C07">
        <w:rPr>
          <w:lang w:val="en-001"/>
        </w:rPr>
        <w:t>The thematic landscape of this corpus reveals a field anchored in core platforms (online games, virtual worlds) and long-standing concerns such as gaming disorder and addiction. However, newer directions, such as the role of AR in promoting well-being, are gaining conceptual maturity and centrality. At the same time, the peripheral position of themes like accessibility and health disparities suggests that socially impactful angles remain underexplored.</w:t>
      </w:r>
    </w:p>
    <w:p w14:paraId="16C13CA4" w14:textId="3549A206" w:rsidR="0031272D" w:rsidRDefault="0031272D">
      <w:pPr>
        <w:spacing w:before="0" w:after="160" w:line="278" w:lineRule="auto"/>
        <w:jc w:val="left"/>
        <w:rPr>
          <w:lang w:val="en-001"/>
        </w:rPr>
      </w:pPr>
      <w:r>
        <w:rPr>
          <w:lang w:val="en-001"/>
        </w:rPr>
        <w:br w:type="page"/>
      </w:r>
    </w:p>
    <w:p w14:paraId="60F76990" w14:textId="77777777" w:rsidR="00A45A96" w:rsidRDefault="00A45A96" w:rsidP="00341C07">
      <w:pPr>
        <w:rPr>
          <w:lang w:val="en-001"/>
        </w:rPr>
        <w:sectPr w:rsidR="00A45A9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cols w:space="720"/>
          <w:docGrid w:linePitch="360"/>
        </w:sectPr>
      </w:pPr>
    </w:p>
    <w:p w14:paraId="6F9196B9" w14:textId="27D1083D" w:rsidR="00A45A96" w:rsidRPr="00C363A9" w:rsidRDefault="00A45A96" w:rsidP="00A45A96">
      <w:pPr>
        <w:pStyle w:val="ListParagraph"/>
        <w:numPr>
          <w:ilvl w:val="0"/>
          <w:numId w:val="1"/>
        </w:numPr>
        <w:spacing w:before="0"/>
        <w:rPr>
          <w:b/>
          <w:bCs/>
          <w:lang w:val="en-US"/>
        </w:rPr>
      </w:pPr>
      <w:r w:rsidRPr="00C363A9">
        <w:rPr>
          <w:b/>
          <w:bCs/>
          <w:lang w:val="en-US"/>
        </w:rPr>
        <w:lastRenderedPageBreak/>
        <w:t xml:space="preserve">Experimental, longitudinal, and quasi-experimental studies potentially informing on causal association between Virtual Worlds (VW) use and mental health. </w:t>
      </w:r>
    </w:p>
    <w:tbl>
      <w:tblPr>
        <w:tblStyle w:val="TableGrid"/>
        <w:tblW w:w="1612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350"/>
        <w:gridCol w:w="900"/>
        <w:gridCol w:w="1080"/>
        <w:gridCol w:w="990"/>
        <w:gridCol w:w="810"/>
        <w:gridCol w:w="630"/>
        <w:gridCol w:w="1080"/>
        <w:gridCol w:w="900"/>
        <w:gridCol w:w="1890"/>
        <w:gridCol w:w="1080"/>
        <w:gridCol w:w="2070"/>
        <w:gridCol w:w="2266"/>
      </w:tblGrid>
      <w:tr w:rsidR="00A45A96" w:rsidRPr="00C1491B" w14:paraId="2CE6A1DD" w14:textId="77777777" w:rsidTr="00830371">
        <w:trPr>
          <w:trHeight w:val="288"/>
          <w:jc w:val="center"/>
        </w:trPr>
        <w:tc>
          <w:tcPr>
            <w:tcW w:w="1080" w:type="dxa"/>
            <w:tcBorders>
              <w:top w:val="single" w:sz="4" w:space="0" w:color="auto"/>
              <w:bottom w:val="single" w:sz="4" w:space="0" w:color="auto"/>
            </w:tcBorders>
            <w:noWrap/>
            <w:hideMark/>
          </w:tcPr>
          <w:p w14:paraId="3F503AB5"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Authors</w:t>
            </w:r>
          </w:p>
        </w:tc>
        <w:tc>
          <w:tcPr>
            <w:tcW w:w="1350" w:type="dxa"/>
            <w:tcBorders>
              <w:top w:val="single" w:sz="4" w:space="0" w:color="auto"/>
              <w:bottom w:val="single" w:sz="4" w:space="0" w:color="auto"/>
            </w:tcBorders>
            <w:noWrap/>
            <w:hideMark/>
          </w:tcPr>
          <w:p w14:paraId="03E90334"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Purpose</w:t>
            </w:r>
          </w:p>
        </w:tc>
        <w:tc>
          <w:tcPr>
            <w:tcW w:w="900" w:type="dxa"/>
            <w:tcBorders>
              <w:top w:val="single" w:sz="4" w:space="0" w:color="auto"/>
              <w:bottom w:val="single" w:sz="4" w:space="0" w:color="auto"/>
            </w:tcBorders>
            <w:noWrap/>
            <w:hideMark/>
          </w:tcPr>
          <w:p w14:paraId="1D2CA661"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Origin</w:t>
            </w:r>
          </w:p>
        </w:tc>
        <w:tc>
          <w:tcPr>
            <w:tcW w:w="1080" w:type="dxa"/>
            <w:tcBorders>
              <w:top w:val="single" w:sz="4" w:space="0" w:color="auto"/>
              <w:bottom w:val="single" w:sz="4" w:space="0" w:color="auto"/>
            </w:tcBorders>
            <w:noWrap/>
            <w:hideMark/>
          </w:tcPr>
          <w:p w14:paraId="54F78B76"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Research design</w:t>
            </w:r>
          </w:p>
        </w:tc>
        <w:tc>
          <w:tcPr>
            <w:tcW w:w="990" w:type="dxa"/>
            <w:tcBorders>
              <w:top w:val="single" w:sz="4" w:space="0" w:color="auto"/>
              <w:bottom w:val="single" w:sz="4" w:space="0" w:color="auto"/>
            </w:tcBorders>
            <w:noWrap/>
            <w:hideMark/>
          </w:tcPr>
          <w:p w14:paraId="37AE1EDC"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Target population</w:t>
            </w:r>
          </w:p>
        </w:tc>
        <w:tc>
          <w:tcPr>
            <w:tcW w:w="810" w:type="dxa"/>
            <w:tcBorders>
              <w:top w:val="single" w:sz="4" w:space="0" w:color="auto"/>
              <w:bottom w:val="single" w:sz="4" w:space="0" w:color="auto"/>
            </w:tcBorders>
            <w:noWrap/>
            <w:hideMark/>
          </w:tcPr>
          <w:p w14:paraId="2DE2B477"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Sample size</w:t>
            </w:r>
          </w:p>
        </w:tc>
        <w:tc>
          <w:tcPr>
            <w:tcW w:w="630" w:type="dxa"/>
            <w:tcBorders>
              <w:top w:val="single" w:sz="4" w:space="0" w:color="auto"/>
              <w:bottom w:val="single" w:sz="4" w:space="0" w:color="auto"/>
            </w:tcBorders>
            <w:noWrap/>
            <w:hideMark/>
          </w:tcPr>
          <w:p w14:paraId="6D320B33"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Mean age</w:t>
            </w:r>
          </w:p>
        </w:tc>
        <w:tc>
          <w:tcPr>
            <w:tcW w:w="1080" w:type="dxa"/>
            <w:tcBorders>
              <w:top w:val="single" w:sz="4" w:space="0" w:color="auto"/>
              <w:bottom w:val="single" w:sz="4" w:space="0" w:color="auto"/>
            </w:tcBorders>
            <w:noWrap/>
            <w:hideMark/>
          </w:tcPr>
          <w:p w14:paraId="33E498CB"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Conceptual/ theoretical framework</w:t>
            </w:r>
          </w:p>
        </w:tc>
        <w:tc>
          <w:tcPr>
            <w:tcW w:w="900" w:type="dxa"/>
            <w:tcBorders>
              <w:top w:val="single" w:sz="4" w:space="0" w:color="auto"/>
              <w:bottom w:val="single" w:sz="4" w:space="0" w:color="auto"/>
            </w:tcBorders>
            <w:noWrap/>
            <w:hideMark/>
          </w:tcPr>
          <w:p w14:paraId="63C6618F"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VW platform</w:t>
            </w:r>
          </w:p>
        </w:tc>
        <w:tc>
          <w:tcPr>
            <w:tcW w:w="1890" w:type="dxa"/>
            <w:tcBorders>
              <w:top w:val="single" w:sz="4" w:space="0" w:color="auto"/>
              <w:bottom w:val="single" w:sz="4" w:space="0" w:color="auto"/>
            </w:tcBorders>
            <w:noWrap/>
            <w:hideMark/>
          </w:tcPr>
          <w:p w14:paraId="4C99A588"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VW variable</w:t>
            </w:r>
          </w:p>
        </w:tc>
        <w:tc>
          <w:tcPr>
            <w:tcW w:w="1080" w:type="dxa"/>
            <w:tcBorders>
              <w:top w:val="single" w:sz="4" w:space="0" w:color="auto"/>
              <w:bottom w:val="single" w:sz="4" w:space="0" w:color="auto"/>
            </w:tcBorders>
            <w:noWrap/>
            <w:hideMark/>
          </w:tcPr>
          <w:p w14:paraId="3D70328A"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Mental health variable</w:t>
            </w:r>
          </w:p>
        </w:tc>
        <w:tc>
          <w:tcPr>
            <w:tcW w:w="2070" w:type="dxa"/>
            <w:tcBorders>
              <w:top w:val="single" w:sz="4" w:space="0" w:color="auto"/>
              <w:bottom w:val="single" w:sz="4" w:space="0" w:color="auto"/>
            </w:tcBorders>
            <w:noWrap/>
            <w:hideMark/>
          </w:tcPr>
          <w:p w14:paraId="144FB3B3"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Results</w:t>
            </w:r>
          </w:p>
        </w:tc>
        <w:tc>
          <w:tcPr>
            <w:tcW w:w="2266" w:type="dxa"/>
            <w:tcBorders>
              <w:top w:val="single" w:sz="4" w:space="0" w:color="auto"/>
              <w:bottom w:val="single" w:sz="4" w:space="0" w:color="auto"/>
            </w:tcBorders>
            <w:noWrap/>
            <w:hideMark/>
          </w:tcPr>
          <w:p w14:paraId="50AD8C27" w14:textId="77777777" w:rsidR="00A45A96" w:rsidRPr="00C1491B" w:rsidRDefault="00A45A96" w:rsidP="00830371">
            <w:pPr>
              <w:spacing w:before="0" w:line="240" w:lineRule="auto"/>
              <w:jc w:val="left"/>
              <w:rPr>
                <w:rFonts w:cs="Times New Roman"/>
                <w:b/>
                <w:bCs/>
                <w:sz w:val="16"/>
                <w:szCs w:val="16"/>
                <w:lang w:val="en-US"/>
              </w:rPr>
            </w:pPr>
            <w:r w:rsidRPr="00C1491B">
              <w:rPr>
                <w:rFonts w:cs="Times New Roman"/>
                <w:b/>
                <w:bCs/>
                <w:sz w:val="16"/>
                <w:szCs w:val="16"/>
                <w:lang w:val="en-US"/>
              </w:rPr>
              <w:t>Critics/appraisal</w:t>
            </w:r>
          </w:p>
        </w:tc>
      </w:tr>
      <w:tr w:rsidR="00A45A96" w:rsidRPr="00981244" w14:paraId="14595FF8" w14:textId="77777777" w:rsidTr="00830371">
        <w:trPr>
          <w:trHeight w:val="288"/>
          <w:jc w:val="center"/>
        </w:trPr>
        <w:tc>
          <w:tcPr>
            <w:tcW w:w="1080" w:type="dxa"/>
            <w:tcBorders>
              <w:top w:val="single" w:sz="4" w:space="0" w:color="auto"/>
            </w:tcBorders>
            <w:noWrap/>
            <w:hideMark/>
          </w:tcPr>
          <w:p w14:paraId="26DC7221"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t>Smyth 2007</w:t>
            </w:r>
          </w:p>
        </w:tc>
        <w:tc>
          <w:tcPr>
            <w:tcW w:w="1350" w:type="dxa"/>
            <w:tcBorders>
              <w:top w:val="single" w:sz="4" w:space="0" w:color="auto"/>
            </w:tcBorders>
            <w:noWrap/>
            <w:hideMark/>
          </w:tcPr>
          <w:p w14:paraId="7213237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Examine the effects of being assigned to play different video game types on game usage, health, well-being, sleep, socializing, and academics</w:t>
            </w:r>
          </w:p>
        </w:tc>
        <w:tc>
          <w:tcPr>
            <w:tcW w:w="900" w:type="dxa"/>
            <w:tcBorders>
              <w:top w:val="single" w:sz="4" w:space="0" w:color="auto"/>
            </w:tcBorders>
            <w:noWrap/>
            <w:hideMark/>
          </w:tcPr>
          <w:p w14:paraId="6344975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United States</w:t>
            </w:r>
          </w:p>
        </w:tc>
        <w:tc>
          <w:tcPr>
            <w:tcW w:w="1080" w:type="dxa"/>
            <w:tcBorders>
              <w:top w:val="single" w:sz="4" w:space="0" w:color="auto"/>
            </w:tcBorders>
            <w:noWrap/>
            <w:hideMark/>
          </w:tcPr>
          <w:p w14:paraId="596FFD3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Experimental</w:t>
            </w:r>
          </w:p>
        </w:tc>
        <w:tc>
          <w:tcPr>
            <w:tcW w:w="990" w:type="dxa"/>
            <w:tcBorders>
              <w:top w:val="single" w:sz="4" w:space="0" w:color="auto"/>
            </w:tcBorders>
            <w:noWrap/>
            <w:hideMark/>
          </w:tcPr>
          <w:p w14:paraId="385106E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University students</w:t>
            </w:r>
          </w:p>
        </w:tc>
        <w:tc>
          <w:tcPr>
            <w:tcW w:w="810" w:type="dxa"/>
            <w:tcBorders>
              <w:top w:val="single" w:sz="4" w:space="0" w:color="auto"/>
            </w:tcBorders>
            <w:noWrap/>
            <w:hideMark/>
          </w:tcPr>
          <w:p w14:paraId="1783D94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100</w:t>
            </w:r>
          </w:p>
        </w:tc>
        <w:tc>
          <w:tcPr>
            <w:tcW w:w="630" w:type="dxa"/>
            <w:tcBorders>
              <w:top w:val="single" w:sz="4" w:space="0" w:color="auto"/>
            </w:tcBorders>
            <w:noWrap/>
            <w:hideMark/>
          </w:tcPr>
          <w:p w14:paraId="3832C265"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19.2</w:t>
            </w:r>
          </w:p>
        </w:tc>
        <w:tc>
          <w:tcPr>
            <w:tcW w:w="1080" w:type="dxa"/>
            <w:tcBorders>
              <w:top w:val="single" w:sz="4" w:space="0" w:color="auto"/>
            </w:tcBorders>
            <w:noWrap/>
            <w:hideMark/>
          </w:tcPr>
          <w:p w14:paraId="0E587B7B"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900" w:type="dxa"/>
            <w:tcBorders>
              <w:top w:val="single" w:sz="4" w:space="0" w:color="auto"/>
            </w:tcBorders>
            <w:noWrap/>
            <w:hideMark/>
          </w:tcPr>
          <w:p w14:paraId="7385C88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Dark Age of Camelot</w:t>
            </w:r>
          </w:p>
        </w:tc>
        <w:tc>
          <w:tcPr>
            <w:tcW w:w="1890" w:type="dxa"/>
            <w:tcBorders>
              <w:top w:val="single" w:sz="4" w:space="0" w:color="auto"/>
            </w:tcBorders>
            <w:noWrap/>
            <w:hideMark/>
          </w:tcPr>
          <w:p w14:paraId="6E6B527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Types of game play: arcade vs. console vs. computer vs. MMORPG (Dark Age of Camelot); hours played last week; enjoying gaming; gaming-related pleasure; intention to continue gaming</w:t>
            </w:r>
          </w:p>
        </w:tc>
        <w:tc>
          <w:tcPr>
            <w:tcW w:w="1080" w:type="dxa"/>
            <w:tcBorders>
              <w:top w:val="single" w:sz="4" w:space="0" w:color="auto"/>
            </w:tcBorders>
            <w:noWrap/>
            <w:hideMark/>
          </w:tcPr>
          <w:p w14:paraId="264679B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Well-being; quality of life; sleep quality (i.e. poor sleep)</w:t>
            </w:r>
          </w:p>
        </w:tc>
        <w:tc>
          <w:tcPr>
            <w:tcW w:w="2070" w:type="dxa"/>
            <w:tcBorders>
              <w:top w:val="single" w:sz="4" w:space="0" w:color="auto"/>
            </w:tcBorders>
            <w:noWrap/>
            <w:hideMark/>
          </w:tcPr>
          <w:p w14:paraId="78B83206"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MMORPG group differed significantly from other groups after 1 month, reporting more hours spent playing, worse health, worse sleep quality, and greater interference in “real-life” socializing and academic work. In contrast, this group also reported greater enjoyment in playing, greater interest in continuing to play, and greater acquisition of new online friendships.</w:t>
            </w:r>
          </w:p>
        </w:tc>
        <w:tc>
          <w:tcPr>
            <w:tcW w:w="2266" w:type="dxa"/>
            <w:tcBorders>
              <w:top w:val="single" w:sz="4" w:space="0" w:color="auto"/>
            </w:tcBorders>
            <w:noWrap/>
            <w:hideMark/>
          </w:tcPr>
          <w:p w14:paraId="4D641A7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Randomized longitudinal study of good quality except for a few aspects, such as, not examining baseline differences between groups and exclusive use of single item measures.</w:t>
            </w:r>
          </w:p>
        </w:tc>
      </w:tr>
      <w:tr w:rsidR="00A45A96" w:rsidRPr="00C1491B" w14:paraId="62DB7453" w14:textId="77777777" w:rsidTr="00830371">
        <w:trPr>
          <w:trHeight w:val="288"/>
          <w:jc w:val="center"/>
        </w:trPr>
        <w:tc>
          <w:tcPr>
            <w:tcW w:w="1080" w:type="dxa"/>
            <w:shd w:val="clear" w:color="auto" w:fill="DAE9F7" w:themeFill="text2" w:themeFillTint="1A"/>
            <w:noWrap/>
            <w:hideMark/>
          </w:tcPr>
          <w:p w14:paraId="43C35ACD"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t>Gabriels et al. 2014</w:t>
            </w:r>
          </w:p>
        </w:tc>
        <w:tc>
          <w:tcPr>
            <w:tcW w:w="1350" w:type="dxa"/>
            <w:shd w:val="clear" w:color="auto" w:fill="DAE9F7" w:themeFill="text2" w:themeFillTint="1A"/>
            <w:noWrap/>
            <w:hideMark/>
          </w:tcPr>
          <w:p w14:paraId="387F3CA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Test whether, for SL residents, the intensity of moral emotions to an emotion-evoking situation in SL depend on their involvement with this virtual medium</w:t>
            </w:r>
          </w:p>
        </w:tc>
        <w:tc>
          <w:tcPr>
            <w:tcW w:w="900" w:type="dxa"/>
            <w:shd w:val="clear" w:color="auto" w:fill="DAE9F7" w:themeFill="text2" w:themeFillTint="1A"/>
            <w:noWrap/>
            <w:hideMark/>
          </w:tcPr>
          <w:p w14:paraId="04474FE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Belgium</w:t>
            </w:r>
          </w:p>
        </w:tc>
        <w:tc>
          <w:tcPr>
            <w:tcW w:w="1080" w:type="dxa"/>
            <w:shd w:val="clear" w:color="auto" w:fill="DAE9F7" w:themeFill="text2" w:themeFillTint="1A"/>
            <w:noWrap/>
            <w:hideMark/>
          </w:tcPr>
          <w:p w14:paraId="3ED20ED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Experimental</w:t>
            </w:r>
          </w:p>
        </w:tc>
        <w:tc>
          <w:tcPr>
            <w:tcW w:w="990" w:type="dxa"/>
            <w:shd w:val="clear" w:color="auto" w:fill="DAE9F7" w:themeFill="text2" w:themeFillTint="1A"/>
            <w:noWrap/>
            <w:hideMark/>
          </w:tcPr>
          <w:p w14:paraId="1B901C7C"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Adults (in general)</w:t>
            </w:r>
          </w:p>
        </w:tc>
        <w:tc>
          <w:tcPr>
            <w:tcW w:w="810" w:type="dxa"/>
            <w:shd w:val="clear" w:color="auto" w:fill="DAE9F7" w:themeFill="text2" w:themeFillTint="1A"/>
            <w:noWrap/>
            <w:hideMark/>
          </w:tcPr>
          <w:p w14:paraId="02A1746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80</w:t>
            </w:r>
          </w:p>
        </w:tc>
        <w:tc>
          <w:tcPr>
            <w:tcW w:w="630" w:type="dxa"/>
            <w:shd w:val="clear" w:color="auto" w:fill="DAE9F7" w:themeFill="text2" w:themeFillTint="1A"/>
            <w:noWrap/>
            <w:hideMark/>
          </w:tcPr>
          <w:p w14:paraId="06FA4A9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50.8</w:t>
            </w:r>
          </w:p>
        </w:tc>
        <w:tc>
          <w:tcPr>
            <w:tcW w:w="1080" w:type="dxa"/>
            <w:shd w:val="clear" w:color="auto" w:fill="DAE9F7" w:themeFill="text2" w:themeFillTint="1A"/>
            <w:noWrap/>
            <w:hideMark/>
          </w:tcPr>
          <w:p w14:paraId="4B0D244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Media equation theory</w:t>
            </w:r>
          </w:p>
        </w:tc>
        <w:tc>
          <w:tcPr>
            <w:tcW w:w="900" w:type="dxa"/>
            <w:shd w:val="clear" w:color="auto" w:fill="DAE9F7" w:themeFill="text2" w:themeFillTint="1A"/>
            <w:noWrap/>
            <w:hideMark/>
          </w:tcPr>
          <w:p w14:paraId="5236A8C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Second Life</w:t>
            </w:r>
          </w:p>
        </w:tc>
        <w:tc>
          <w:tcPr>
            <w:tcW w:w="1890" w:type="dxa"/>
            <w:shd w:val="clear" w:color="auto" w:fill="DAE9F7" w:themeFill="text2" w:themeFillTint="1A"/>
            <w:noWrap/>
            <w:hideMark/>
          </w:tcPr>
          <w:p w14:paraId="15F6C7A5"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Being cheated in SL (experimental scenario) vs. being cheated in real life (control scenario); time spent in SL; money spent in SL; personal (emotional) involvement in SL</w:t>
            </w:r>
          </w:p>
        </w:tc>
        <w:tc>
          <w:tcPr>
            <w:tcW w:w="1080" w:type="dxa"/>
            <w:shd w:val="clear" w:color="auto" w:fill="DAE9F7" w:themeFill="text2" w:themeFillTint="1A"/>
            <w:noWrap/>
            <w:hideMark/>
          </w:tcPr>
          <w:p w14:paraId="3755D27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Affect / emotions</w:t>
            </w:r>
          </w:p>
        </w:tc>
        <w:tc>
          <w:tcPr>
            <w:tcW w:w="2070" w:type="dxa"/>
            <w:shd w:val="clear" w:color="auto" w:fill="DAE9F7" w:themeFill="text2" w:themeFillTint="1A"/>
            <w:noWrap/>
            <w:hideMark/>
          </w:tcPr>
          <w:p w14:paraId="7279058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For SL residents, the two scenarios did not differ in terms of moral emotions evoked. The level of involvement in SL (but not time or money invested in SL) had a significant impact on the moral emotions in response to a SL situation.</w:t>
            </w:r>
          </w:p>
        </w:tc>
        <w:tc>
          <w:tcPr>
            <w:tcW w:w="2266" w:type="dxa"/>
            <w:shd w:val="clear" w:color="auto" w:fill="DAE9F7" w:themeFill="text2" w:themeFillTint="1A"/>
            <w:noWrap/>
            <w:hideMark/>
          </w:tcPr>
          <w:p w14:paraId="27D649D7" w14:textId="77777777" w:rsidR="00A45A96" w:rsidRPr="00C1491B" w:rsidRDefault="00A45A96" w:rsidP="00830371">
            <w:pPr>
              <w:spacing w:before="0" w:line="240" w:lineRule="auto"/>
              <w:jc w:val="left"/>
              <w:rPr>
                <w:rFonts w:cs="Times New Roman"/>
                <w:sz w:val="16"/>
                <w:szCs w:val="16"/>
                <w:lang w:val="en-US"/>
              </w:rPr>
            </w:pPr>
            <w:r>
              <w:rPr>
                <w:rFonts w:cs="Times New Roman"/>
                <w:sz w:val="16"/>
                <w:szCs w:val="16"/>
                <w:lang w:val="en-US"/>
              </w:rPr>
              <w:t>--</w:t>
            </w:r>
          </w:p>
        </w:tc>
      </w:tr>
      <w:tr w:rsidR="00A45A96" w:rsidRPr="00981244" w14:paraId="77ED2C0D" w14:textId="77777777" w:rsidTr="00830371">
        <w:trPr>
          <w:trHeight w:val="288"/>
          <w:jc w:val="center"/>
        </w:trPr>
        <w:tc>
          <w:tcPr>
            <w:tcW w:w="1080" w:type="dxa"/>
            <w:noWrap/>
            <w:hideMark/>
          </w:tcPr>
          <w:p w14:paraId="180A8F56"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t>Hsieh and Chen 2019</w:t>
            </w:r>
          </w:p>
        </w:tc>
        <w:tc>
          <w:tcPr>
            <w:tcW w:w="1350" w:type="dxa"/>
            <w:noWrap/>
            <w:hideMark/>
          </w:tcPr>
          <w:p w14:paraId="6829A165"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Analyze the effects of using Pokémon GO on cognitive performance and emotional intelligence</w:t>
            </w:r>
          </w:p>
        </w:tc>
        <w:tc>
          <w:tcPr>
            <w:tcW w:w="900" w:type="dxa"/>
            <w:noWrap/>
            <w:hideMark/>
          </w:tcPr>
          <w:p w14:paraId="202180A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Taiwan</w:t>
            </w:r>
          </w:p>
        </w:tc>
        <w:tc>
          <w:tcPr>
            <w:tcW w:w="1080" w:type="dxa"/>
            <w:noWrap/>
            <w:hideMark/>
          </w:tcPr>
          <w:p w14:paraId="40513BC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Experimental</w:t>
            </w:r>
          </w:p>
        </w:tc>
        <w:tc>
          <w:tcPr>
            <w:tcW w:w="990" w:type="dxa"/>
            <w:noWrap/>
            <w:hideMark/>
          </w:tcPr>
          <w:p w14:paraId="076FAC46"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Primary students</w:t>
            </w:r>
          </w:p>
        </w:tc>
        <w:tc>
          <w:tcPr>
            <w:tcW w:w="810" w:type="dxa"/>
            <w:noWrap/>
            <w:hideMark/>
          </w:tcPr>
          <w:p w14:paraId="62309E8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123</w:t>
            </w:r>
          </w:p>
        </w:tc>
        <w:tc>
          <w:tcPr>
            <w:tcW w:w="630" w:type="dxa"/>
            <w:noWrap/>
            <w:hideMark/>
          </w:tcPr>
          <w:p w14:paraId="7E3E2AC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12.5</w:t>
            </w:r>
          </w:p>
        </w:tc>
        <w:tc>
          <w:tcPr>
            <w:tcW w:w="1080" w:type="dxa"/>
            <w:noWrap/>
            <w:hideMark/>
          </w:tcPr>
          <w:p w14:paraId="31FC2C06"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900" w:type="dxa"/>
            <w:noWrap/>
            <w:hideMark/>
          </w:tcPr>
          <w:p w14:paraId="3231B54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Pokémon Go</w:t>
            </w:r>
          </w:p>
        </w:tc>
        <w:tc>
          <w:tcPr>
            <w:tcW w:w="1890" w:type="dxa"/>
            <w:noWrap/>
            <w:hideMark/>
          </w:tcPr>
          <w:p w14:paraId="3804292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Using Pokémon Go (experimental) vs. not using </w:t>
            </w:r>
            <w:proofErr w:type="gramStart"/>
            <w:r w:rsidRPr="00C1491B">
              <w:rPr>
                <w:rFonts w:cs="Times New Roman"/>
                <w:sz w:val="16"/>
                <w:szCs w:val="16"/>
                <w:lang w:val="en-US"/>
              </w:rPr>
              <w:t>it  (</w:t>
            </w:r>
            <w:proofErr w:type="gramEnd"/>
            <w:r w:rsidRPr="00C1491B">
              <w:rPr>
                <w:rFonts w:cs="Times New Roman"/>
                <w:sz w:val="16"/>
                <w:szCs w:val="16"/>
                <w:lang w:val="en-US"/>
              </w:rPr>
              <w:t>control group)</w:t>
            </w:r>
          </w:p>
        </w:tc>
        <w:tc>
          <w:tcPr>
            <w:tcW w:w="1080" w:type="dxa"/>
            <w:noWrap/>
            <w:hideMark/>
          </w:tcPr>
          <w:p w14:paraId="12AAA3A5"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Well-being (generic)</w:t>
            </w:r>
          </w:p>
        </w:tc>
        <w:tc>
          <w:tcPr>
            <w:tcW w:w="2070" w:type="dxa"/>
            <w:noWrap/>
            <w:hideMark/>
          </w:tcPr>
          <w:p w14:paraId="37549D73"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Students playing </w:t>
            </w:r>
            <w:proofErr w:type="spellStart"/>
            <w:r w:rsidRPr="00C1491B">
              <w:rPr>
                <w:rFonts w:cs="Times New Roman"/>
                <w:sz w:val="16"/>
                <w:szCs w:val="16"/>
                <w:lang w:val="en-US"/>
              </w:rPr>
              <w:t>Pokemon</w:t>
            </w:r>
            <w:proofErr w:type="spellEnd"/>
            <w:r w:rsidRPr="00C1491B">
              <w:rPr>
                <w:rFonts w:cs="Times New Roman"/>
                <w:sz w:val="16"/>
                <w:szCs w:val="16"/>
                <w:lang w:val="en-US"/>
              </w:rPr>
              <w:t xml:space="preserve"> GO for 10 weeks showed a significant increase in emotionality and sociability levels - but not well-being and self-control - compared to their peers.</w:t>
            </w:r>
          </w:p>
        </w:tc>
        <w:tc>
          <w:tcPr>
            <w:tcW w:w="2266" w:type="dxa"/>
            <w:noWrap/>
            <w:hideMark/>
          </w:tcPr>
          <w:p w14:paraId="44291A9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study methodology and findings seem robust, even though participants were not randomly chosen within the same population (but from different schools) and the group difference in gender distribution was not considered as a confounder.</w:t>
            </w:r>
          </w:p>
        </w:tc>
      </w:tr>
      <w:tr w:rsidR="00A45A96" w:rsidRPr="00981244" w14:paraId="1B8EE986" w14:textId="77777777" w:rsidTr="00830371">
        <w:trPr>
          <w:trHeight w:val="288"/>
          <w:jc w:val="center"/>
        </w:trPr>
        <w:tc>
          <w:tcPr>
            <w:tcW w:w="1080" w:type="dxa"/>
            <w:shd w:val="clear" w:color="auto" w:fill="auto"/>
            <w:noWrap/>
            <w:hideMark/>
          </w:tcPr>
          <w:p w14:paraId="60BFE6D5" w14:textId="77777777" w:rsidR="00A45A96" w:rsidRPr="00C1491B" w:rsidRDefault="00A45A96" w:rsidP="00830371">
            <w:pPr>
              <w:spacing w:before="0" w:line="240" w:lineRule="auto"/>
              <w:jc w:val="left"/>
              <w:rPr>
                <w:rFonts w:cs="Times New Roman"/>
                <w:i/>
                <w:iCs/>
                <w:sz w:val="16"/>
                <w:szCs w:val="16"/>
                <w:lang w:val="en-US"/>
              </w:rPr>
            </w:pPr>
            <w:proofErr w:type="spellStart"/>
            <w:r w:rsidRPr="00C1491B">
              <w:rPr>
                <w:rFonts w:cs="Times New Roman"/>
                <w:i/>
                <w:iCs/>
                <w:sz w:val="16"/>
                <w:szCs w:val="16"/>
                <w:lang w:val="en-US"/>
              </w:rPr>
              <w:t>Packiam</w:t>
            </w:r>
            <w:proofErr w:type="spellEnd"/>
            <w:r w:rsidRPr="00C1491B">
              <w:rPr>
                <w:rFonts w:cs="Times New Roman"/>
                <w:i/>
                <w:iCs/>
                <w:sz w:val="16"/>
                <w:szCs w:val="16"/>
                <w:lang w:val="en-US"/>
              </w:rPr>
              <w:t xml:space="preserve"> Alloway and </w:t>
            </w:r>
            <w:r w:rsidRPr="00C1491B">
              <w:rPr>
                <w:rFonts w:cs="Times New Roman"/>
                <w:i/>
                <w:iCs/>
                <w:sz w:val="16"/>
                <w:szCs w:val="16"/>
                <w:lang w:val="en-US"/>
              </w:rPr>
              <w:lastRenderedPageBreak/>
              <w:t>Carpenter 2020</w:t>
            </w:r>
          </w:p>
        </w:tc>
        <w:tc>
          <w:tcPr>
            <w:tcW w:w="1350" w:type="dxa"/>
            <w:shd w:val="clear" w:color="auto" w:fill="auto"/>
            <w:noWrap/>
            <w:hideMark/>
          </w:tcPr>
          <w:p w14:paraId="3D0759D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lastRenderedPageBreak/>
              <w:t xml:space="preserve">Explore whether playing Pokémon Go outdoors yield </w:t>
            </w:r>
            <w:r w:rsidRPr="00C1491B">
              <w:rPr>
                <w:rFonts w:cs="Times New Roman"/>
                <w:sz w:val="16"/>
                <w:szCs w:val="16"/>
                <w:lang w:val="en-US"/>
              </w:rPr>
              <w:lastRenderedPageBreak/>
              <w:t>improvements in (working memory, attention) affect and empathy compared with only walking outdoors</w:t>
            </w:r>
          </w:p>
        </w:tc>
        <w:tc>
          <w:tcPr>
            <w:tcW w:w="900" w:type="dxa"/>
            <w:shd w:val="clear" w:color="auto" w:fill="auto"/>
            <w:noWrap/>
            <w:hideMark/>
          </w:tcPr>
          <w:p w14:paraId="5E0D51A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lastRenderedPageBreak/>
              <w:t>United States</w:t>
            </w:r>
          </w:p>
        </w:tc>
        <w:tc>
          <w:tcPr>
            <w:tcW w:w="1080" w:type="dxa"/>
            <w:shd w:val="clear" w:color="auto" w:fill="auto"/>
            <w:noWrap/>
            <w:hideMark/>
          </w:tcPr>
          <w:p w14:paraId="4001A23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Experimental</w:t>
            </w:r>
          </w:p>
        </w:tc>
        <w:tc>
          <w:tcPr>
            <w:tcW w:w="990" w:type="dxa"/>
            <w:shd w:val="clear" w:color="auto" w:fill="auto"/>
            <w:noWrap/>
            <w:hideMark/>
          </w:tcPr>
          <w:p w14:paraId="19B92D8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University students</w:t>
            </w:r>
          </w:p>
        </w:tc>
        <w:tc>
          <w:tcPr>
            <w:tcW w:w="810" w:type="dxa"/>
            <w:shd w:val="clear" w:color="auto" w:fill="auto"/>
            <w:noWrap/>
            <w:hideMark/>
          </w:tcPr>
          <w:p w14:paraId="7014CFE3"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59</w:t>
            </w:r>
          </w:p>
        </w:tc>
        <w:tc>
          <w:tcPr>
            <w:tcW w:w="630" w:type="dxa"/>
            <w:shd w:val="clear" w:color="auto" w:fill="auto"/>
            <w:noWrap/>
            <w:hideMark/>
          </w:tcPr>
          <w:p w14:paraId="69781F9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23.3</w:t>
            </w:r>
          </w:p>
        </w:tc>
        <w:tc>
          <w:tcPr>
            <w:tcW w:w="1080" w:type="dxa"/>
            <w:shd w:val="clear" w:color="auto" w:fill="auto"/>
            <w:noWrap/>
            <w:hideMark/>
          </w:tcPr>
          <w:p w14:paraId="4061B675"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Uses and gratifications theory</w:t>
            </w:r>
          </w:p>
        </w:tc>
        <w:tc>
          <w:tcPr>
            <w:tcW w:w="900" w:type="dxa"/>
            <w:shd w:val="clear" w:color="auto" w:fill="auto"/>
            <w:noWrap/>
            <w:hideMark/>
          </w:tcPr>
          <w:p w14:paraId="7FA179F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Pokémon Go</w:t>
            </w:r>
          </w:p>
        </w:tc>
        <w:tc>
          <w:tcPr>
            <w:tcW w:w="1890" w:type="dxa"/>
            <w:shd w:val="clear" w:color="auto" w:fill="auto"/>
            <w:noWrap/>
            <w:hideMark/>
          </w:tcPr>
          <w:p w14:paraId="70D12CA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Playing Pokémon GO (experimental) vs. going for a walk (control)</w:t>
            </w:r>
          </w:p>
        </w:tc>
        <w:tc>
          <w:tcPr>
            <w:tcW w:w="1080" w:type="dxa"/>
            <w:shd w:val="clear" w:color="auto" w:fill="auto"/>
            <w:noWrap/>
            <w:hideMark/>
          </w:tcPr>
          <w:p w14:paraId="23AA215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Affect / emotions</w:t>
            </w:r>
          </w:p>
        </w:tc>
        <w:tc>
          <w:tcPr>
            <w:tcW w:w="2070" w:type="dxa"/>
            <w:shd w:val="clear" w:color="auto" w:fill="auto"/>
            <w:noWrap/>
            <w:hideMark/>
          </w:tcPr>
          <w:p w14:paraId="50CDBC0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There was a decrease in negative affect after participants played </w:t>
            </w:r>
            <w:r w:rsidRPr="00C1491B">
              <w:rPr>
                <w:rFonts w:cs="Times New Roman"/>
                <w:sz w:val="16"/>
                <w:szCs w:val="16"/>
                <w:lang w:val="en-US"/>
              </w:rPr>
              <w:lastRenderedPageBreak/>
              <w:t>Pokémon Go but not in the control condition.</w:t>
            </w:r>
          </w:p>
        </w:tc>
        <w:tc>
          <w:tcPr>
            <w:tcW w:w="2266" w:type="dxa"/>
            <w:shd w:val="clear" w:color="auto" w:fill="auto"/>
            <w:noWrap/>
            <w:hideMark/>
          </w:tcPr>
          <w:p w14:paraId="7FB345E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lastRenderedPageBreak/>
              <w:t xml:space="preserve">Contrary to what </w:t>
            </w:r>
            <w:r>
              <w:rPr>
                <w:rFonts w:cs="Times New Roman"/>
                <w:sz w:val="16"/>
                <w:szCs w:val="16"/>
                <w:lang w:val="en-US"/>
              </w:rPr>
              <w:t>it is</w:t>
            </w:r>
            <w:r w:rsidRPr="00C1491B">
              <w:rPr>
                <w:rFonts w:cs="Times New Roman"/>
                <w:sz w:val="16"/>
                <w:szCs w:val="16"/>
                <w:lang w:val="en-US"/>
              </w:rPr>
              <w:t xml:space="preserve"> mention</w:t>
            </w:r>
            <w:r>
              <w:rPr>
                <w:rFonts w:cs="Times New Roman"/>
                <w:sz w:val="16"/>
                <w:szCs w:val="16"/>
                <w:lang w:val="en-US"/>
              </w:rPr>
              <w:t>ed</w:t>
            </w:r>
            <w:r w:rsidRPr="00C1491B">
              <w:rPr>
                <w:rFonts w:cs="Times New Roman"/>
                <w:sz w:val="16"/>
                <w:szCs w:val="16"/>
                <w:lang w:val="en-US"/>
              </w:rPr>
              <w:t xml:space="preserve"> in the abstract and discussion, in the results section, the authors reported </w:t>
            </w:r>
            <w:r w:rsidRPr="00C1491B">
              <w:rPr>
                <w:rFonts w:cs="Times New Roman"/>
                <w:sz w:val="16"/>
                <w:szCs w:val="16"/>
                <w:lang w:val="en-US"/>
              </w:rPr>
              <w:lastRenderedPageBreak/>
              <w:t xml:space="preserve">that the interaction between condition and time was not significant for positive/negative affect scores. The authors probably misinterpreted the significance of time in predicting negative affect scores, pointing out that scores decreased in both conditions. To note, "in the control condition, participants left their phones in the testing lab and walked outside for 1 </w:t>
            </w:r>
            <w:proofErr w:type="spellStart"/>
            <w:r w:rsidRPr="00C1491B">
              <w:rPr>
                <w:rFonts w:cs="Times New Roman"/>
                <w:sz w:val="16"/>
                <w:szCs w:val="16"/>
                <w:lang w:val="en-US"/>
              </w:rPr>
              <w:t>hr</w:t>
            </w:r>
            <w:proofErr w:type="spellEnd"/>
            <w:r w:rsidRPr="00C1491B">
              <w:rPr>
                <w:rFonts w:cs="Times New Roman"/>
                <w:sz w:val="16"/>
                <w:szCs w:val="16"/>
                <w:lang w:val="en-US"/>
              </w:rPr>
              <w:t xml:space="preserve"> without looking at their phones." (p.180). As also noted in the discussion, this might have biased the results as participants not only walked outside but also left their phones in the laboratory (this was not specified for the Pokémon Go condition).</w:t>
            </w:r>
          </w:p>
        </w:tc>
      </w:tr>
      <w:tr w:rsidR="00A45A96" w:rsidRPr="00981244" w14:paraId="585C06C0" w14:textId="77777777" w:rsidTr="00830371">
        <w:trPr>
          <w:trHeight w:val="288"/>
          <w:jc w:val="center"/>
        </w:trPr>
        <w:tc>
          <w:tcPr>
            <w:tcW w:w="1080" w:type="dxa"/>
            <w:shd w:val="clear" w:color="auto" w:fill="DAE9F7" w:themeFill="text2" w:themeFillTint="1A"/>
            <w:noWrap/>
            <w:hideMark/>
          </w:tcPr>
          <w:p w14:paraId="54A16B5B"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lastRenderedPageBreak/>
              <w:t>Shoshani et al. 2021</w:t>
            </w:r>
          </w:p>
        </w:tc>
        <w:tc>
          <w:tcPr>
            <w:tcW w:w="1350" w:type="dxa"/>
            <w:shd w:val="clear" w:color="auto" w:fill="DAE9F7" w:themeFill="text2" w:themeFillTint="1A"/>
            <w:noWrap/>
            <w:hideMark/>
          </w:tcPr>
          <w:p w14:paraId="4FA06C4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Examine the differential impact of playing a violent (vs. neutral) multiplayer online game in the co-player (vs. single player) mode on children’s subsequent prosocial behavior</w:t>
            </w:r>
          </w:p>
        </w:tc>
        <w:tc>
          <w:tcPr>
            <w:tcW w:w="900" w:type="dxa"/>
            <w:shd w:val="clear" w:color="auto" w:fill="DAE9F7" w:themeFill="text2" w:themeFillTint="1A"/>
            <w:noWrap/>
            <w:hideMark/>
          </w:tcPr>
          <w:p w14:paraId="5867DBE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Israel</w:t>
            </w:r>
          </w:p>
        </w:tc>
        <w:tc>
          <w:tcPr>
            <w:tcW w:w="1080" w:type="dxa"/>
            <w:shd w:val="clear" w:color="auto" w:fill="DAE9F7" w:themeFill="text2" w:themeFillTint="1A"/>
            <w:noWrap/>
            <w:hideMark/>
          </w:tcPr>
          <w:p w14:paraId="236C188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Experimental</w:t>
            </w:r>
          </w:p>
        </w:tc>
        <w:tc>
          <w:tcPr>
            <w:tcW w:w="990" w:type="dxa"/>
            <w:shd w:val="clear" w:color="auto" w:fill="DAE9F7" w:themeFill="text2" w:themeFillTint="1A"/>
            <w:noWrap/>
            <w:hideMark/>
          </w:tcPr>
          <w:p w14:paraId="04F5538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Children</w:t>
            </w:r>
          </w:p>
        </w:tc>
        <w:tc>
          <w:tcPr>
            <w:tcW w:w="810" w:type="dxa"/>
            <w:shd w:val="clear" w:color="auto" w:fill="DAE9F7" w:themeFill="text2" w:themeFillTint="1A"/>
            <w:noWrap/>
            <w:hideMark/>
          </w:tcPr>
          <w:p w14:paraId="52911D4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838</w:t>
            </w:r>
          </w:p>
        </w:tc>
        <w:tc>
          <w:tcPr>
            <w:tcW w:w="630" w:type="dxa"/>
            <w:shd w:val="clear" w:color="auto" w:fill="DAE9F7" w:themeFill="text2" w:themeFillTint="1A"/>
            <w:noWrap/>
            <w:hideMark/>
          </w:tcPr>
          <w:p w14:paraId="241D2D7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10.5</w:t>
            </w:r>
          </w:p>
        </w:tc>
        <w:tc>
          <w:tcPr>
            <w:tcW w:w="1080" w:type="dxa"/>
            <w:shd w:val="clear" w:color="auto" w:fill="DAE9F7" w:themeFill="text2" w:themeFillTint="1A"/>
            <w:noWrap/>
            <w:hideMark/>
          </w:tcPr>
          <w:p w14:paraId="0E65438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Self-Determination Theory; Broaden-and-Build Theory of positive emotions</w:t>
            </w:r>
          </w:p>
        </w:tc>
        <w:tc>
          <w:tcPr>
            <w:tcW w:w="900" w:type="dxa"/>
            <w:shd w:val="clear" w:color="auto" w:fill="DAE9F7" w:themeFill="text2" w:themeFillTint="1A"/>
            <w:noWrap/>
            <w:hideMark/>
          </w:tcPr>
          <w:p w14:paraId="5DDC9F6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Fortnite Battle Royale</w:t>
            </w:r>
          </w:p>
        </w:tc>
        <w:tc>
          <w:tcPr>
            <w:tcW w:w="1890" w:type="dxa"/>
            <w:shd w:val="clear" w:color="auto" w:fill="DAE9F7" w:themeFill="text2" w:themeFillTint="1A"/>
            <w:noWrap/>
            <w:hideMark/>
          </w:tcPr>
          <w:p w14:paraId="73DD35C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Game content: Fortnite vs. playing another game; game mode: single- vs. co-player; game enjoyment; positive emotions; feelings of competence while playing; feelings of relatedness with the other player</w:t>
            </w:r>
          </w:p>
        </w:tc>
        <w:tc>
          <w:tcPr>
            <w:tcW w:w="1080" w:type="dxa"/>
            <w:shd w:val="clear" w:color="auto" w:fill="DAE9F7" w:themeFill="text2" w:themeFillTint="1A"/>
            <w:noWrap/>
            <w:hideMark/>
          </w:tcPr>
          <w:p w14:paraId="0865B019" w14:textId="77777777" w:rsidR="00A45A96" w:rsidRPr="00C1491B" w:rsidRDefault="00A45A96" w:rsidP="00830371">
            <w:pPr>
              <w:spacing w:before="0" w:line="240" w:lineRule="auto"/>
              <w:jc w:val="left"/>
              <w:rPr>
                <w:rFonts w:cs="Times New Roman"/>
                <w:sz w:val="16"/>
                <w:szCs w:val="16"/>
                <w:lang w:val="en-US"/>
              </w:rPr>
            </w:pPr>
            <w:proofErr w:type="gramStart"/>
            <w:r w:rsidRPr="00C1491B">
              <w:rPr>
                <w:rFonts w:cs="Times New Roman"/>
                <w:sz w:val="16"/>
                <w:szCs w:val="16"/>
                <w:lang w:val="en-US"/>
              </w:rPr>
              <w:t>Mastery;</w:t>
            </w:r>
            <w:proofErr w:type="gramEnd"/>
            <w:r w:rsidRPr="00C1491B">
              <w:rPr>
                <w:rFonts w:cs="Times New Roman"/>
                <w:sz w:val="16"/>
                <w:szCs w:val="16"/>
                <w:lang w:val="en-US"/>
              </w:rPr>
              <w:t xml:space="preserve"> self-determination needs: competence (mastery) and relatedness</w:t>
            </w:r>
          </w:p>
        </w:tc>
        <w:tc>
          <w:tcPr>
            <w:tcW w:w="2070" w:type="dxa"/>
            <w:shd w:val="clear" w:color="auto" w:fill="DAE9F7" w:themeFill="text2" w:themeFillTint="1A"/>
            <w:noWrap/>
            <w:hideMark/>
          </w:tcPr>
          <w:p w14:paraId="4021729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violent co-player condition [Fortnite] was associated with more helping behaviors than the neutral co-player condition [Pinball game], but also more relatedness and competence. Increased satisfaction of psychological needs was shown to act as a mediator. The social context and the psychological experience influenced the participants' prosocial behavior more than the formal content of the game.</w:t>
            </w:r>
          </w:p>
        </w:tc>
        <w:tc>
          <w:tcPr>
            <w:tcW w:w="2266" w:type="dxa"/>
            <w:shd w:val="clear" w:color="auto" w:fill="DAE9F7" w:themeFill="text2" w:themeFillTint="1A"/>
            <w:noWrap/>
            <w:hideMark/>
          </w:tcPr>
          <w:p w14:paraId="5E35FDF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This study examined immediate effects of gaming experience rather than long term effect.</w:t>
            </w:r>
          </w:p>
        </w:tc>
      </w:tr>
      <w:tr w:rsidR="00A45A96" w:rsidRPr="00981244" w14:paraId="5C27BF77" w14:textId="77777777" w:rsidTr="00830371">
        <w:trPr>
          <w:trHeight w:val="288"/>
          <w:jc w:val="center"/>
        </w:trPr>
        <w:tc>
          <w:tcPr>
            <w:tcW w:w="1080" w:type="dxa"/>
            <w:shd w:val="clear" w:color="auto" w:fill="auto"/>
            <w:noWrap/>
            <w:hideMark/>
          </w:tcPr>
          <w:p w14:paraId="5D7BEBC9" w14:textId="77777777" w:rsidR="00A45A96" w:rsidRPr="00C1491B" w:rsidRDefault="00A45A96" w:rsidP="00830371">
            <w:pPr>
              <w:spacing w:before="0" w:line="240" w:lineRule="auto"/>
              <w:jc w:val="left"/>
              <w:rPr>
                <w:rFonts w:cs="Times New Roman"/>
                <w:i/>
                <w:iCs/>
                <w:sz w:val="16"/>
                <w:szCs w:val="16"/>
                <w:lang w:val="en-US"/>
              </w:rPr>
            </w:pPr>
            <w:proofErr w:type="spellStart"/>
            <w:r w:rsidRPr="00C1491B">
              <w:rPr>
                <w:rFonts w:cs="Times New Roman"/>
                <w:i/>
                <w:iCs/>
                <w:sz w:val="16"/>
                <w:szCs w:val="16"/>
                <w:lang w:val="en-US"/>
              </w:rPr>
              <w:t>Gehricke</w:t>
            </w:r>
            <w:proofErr w:type="spellEnd"/>
            <w:r w:rsidRPr="00C1491B">
              <w:rPr>
                <w:rFonts w:cs="Times New Roman"/>
                <w:i/>
                <w:iCs/>
                <w:sz w:val="16"/>
                <w:szCs w:val="16"/>
                <w:lang w:val="en-US"/>
              </w:rPr>
              <w:t xml:space="preserve"> et al. 2022</w:t>
            </w:r>
          </w:p>
        </w:tc>
        <w:tc>
          <w:tcPr>
            <w:tcW w:w="1350" w:type="dxa"/>
            <w:shd w:val="clear" w:color="auto" w:fill="auto"/>
            <w:noWrap/>
            <w:hideMark/>
          </w:tcPr>
          <w:p w14:paraId="7611576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Test a physical exercise intervention to reduce anxiety in undeserved children with autism spectrum disorder (ASD)</w:t>
            </w:r>
          </w:p>
        </w:tc>
        <w:tc>
          <w:tcPr>
            <w:tcW w:w="900" w:type="dxa"/>
            <w:shd w:val="clear" w:color="auto" w:fill="auto"/>
            <w:noWrap/>
            <w:hideMark/>
          </w:tcPr>
          <w:p w14:paraId="1253255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United States</w:t>
            </w:r>
          </w:p>
        </w:tc>
        <w:tc>
          <w:tcPr>
            <w:tcW w:w="1080" w:type="dxa"/>
            <w:shd w:val="clear" w:color="auto" w:fill="auto"/>
            <w:noWrap/>
            <w:hideMark/>
          </w:tcPr>
          <w:p w14:paraId="1ACD794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Experimental</w:t>
            </w:r>
          </w:p>
        </w:tc>
        <w:tc>
          <w:tcPr>
            <w:tcW w:w="990" w:type="dxa"/>
            <w:shd w:val="clear" w:color="auto" w:fill="auto"/>
            <w:noWrap/>
            <w:hideMark/>
          </w:tcPr>
          <w:p w14:paraId="57B1F1A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Children with ASD </w:t>
            </w:r>
            <w:proofErr w:type="gramStart"/>
            <w:r w:rsidRPr="00C1491B">
              <w:rPr>
                <w:rFonts w:cs="Times New Roman"/>
                <w:sz w:val="16"/>
                <w:szCs w:val="16"/>
                <w:lang w:val="en-US"/>
              </w:rPr>
              <w:t>from  Latino</w:t>
            </w:r>
            <w:proofErr w:type="gramEnd"/>
            <w:r w:rsidRPr="00C1491B">
              <w:rPr>
                <w:rFonts w:cs="Times New Roman"/>
                <w:sz w:val="16"/>
                <w:szCs w:val="16"/>
                <w:lang w:val="en-US"/>
              </w:rPr>
              <w:t xml:space="preserve"> and rural families identified as underserve</w:t>
            </w:r>
            <w:r w:rsidRPr="00C1491B">
              <w:rPr>
                <w:rFonts w:cs="Times New Roman"/>
                <w:sz w:val="16"/>
                <w:szCs w:val="16"/>
                <w:lang w:val="en-US"/>
              </w:rPr>
              <w:lastRenderedPageBreak/>
              <w:t>d populations</w:t>
            </w:r>
          </w:p>
        </w:tc>
        <w:tc>
          <w:tcPr>
            <w:tcW w:w="810" w:type="dxa"/>
            <w:shd w:val="clear" w:color="auto" w:fill="auto"/>
            <w:noWrap/>
            <w:hideMark/>
          </w:tcPr>
          <w:p w14:paraId="6091811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lastRenderedPageBreak/>
              <w:t>148</w:t>
            </w:r>
          </w:p>
        </w:tc>
        <w:tc>
          <w:tcPr>
            <w:tcW w:w="630" w:type="dxa"/>
            <w:shd w:val="clear" w:color="auto" w:fill="auto"/>
            <w:noWrap/>
            <w:hideMark/>
          </w:tcPr>
          <w:p w14:paraId="49124A3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9.4</w:t>
            </w:r>
          </w:p>
        </w:tc>
        <w:tc>
          <w:tcPr>
            <w:tcW w:w="1080" w:type="dxa"/>
            <w:shd w:val="clear" w:color="auto" w:fill="auto"/>
            <w:noWrap/>
            <w:hideMark/>
          </w:tcPr>
          <w:p w14:paraId="5DB6DBCD"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900" w:type="dxa"/>
            <w:shd w:val="clear" w:color="auto" w:fill="auto"/>
            <w:noWrap/>
            <w:hideMark/>
          </w:tcPr>
          <w:p w14:paraId="4B1B38E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Minecraft</w:t>
            </w:r>
          </w:p>
        </w:tc>
        <w:tc>
          <w:tcPr>
            <w:tcW w:w="1890" w:type="dxa"/>
            <w:shd w:val="clear" w:color="auto" w:fill="auto"/>
            <w:noWrap/>
            <w:hideMark/>
          </w:tcPr>
          <w:p w14:paraId="6E6342F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Exercise intervention group vs. sedentary activity (Lego/Minecraft) control group</w:t>
            </w:r>
          </w:p>
        </w:tc>
        <w:tc>
          <w:tcPr>
            <w:tcW w:w="1080" w:type="dxa"/>
            <w:shd w:val="clear" w:color="auto" w:fill="auto"/>
            <w:noWrap/>
            <w:hideMark/>
          </w:tcPr>
          <w:p w14:paraId="710E103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Anxiety; sleep quality (i.e. good sleep)</w:t>
            </w:r>
          </w:p>
        </w:tc>
        <w:tc>
          <w:tcPr>
            <w:tcW w:w="2070" w:type="dxa"/>
            <w:shd w:val="clear" w:color="auto" w:fill="auto"/>
            <w:noWrap/>
            <w:hideMark/>
          </w:tcPr>
          <w:p w14:paraId="4392120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Parent-rated and self-reported anxiety scores showed improvements at weeks 3, 6 and 8 in both groups with no significant differences between the physical exercise and sedentary activity (LEGO/Minecraft) groups. </w:t>
            </w:r>
            <w:r w:rsidRPr="00C1491B">
              <w:rPr>
                <w:rFonts w:cs="Times New Roman"/>
                <w:sz w:val="16"/>
                <w:szCs w:val="16"/>
                <w:lang w:val="en-US"/>
              </w:rPr>
              <w:lastRenderedPageBreak/>
              <w:t>Sleep also showed improvements during weeks 6 and 8 in the physical exercise group but not in the LEGO/Minecraft group with no significant differences between the groups.</w:t>
            </w:r>
          </w:p>
        </w:tc>
        <w:tc>
          <w:tcPr>
            <w:tcW w:w="2266" w:type="dxa"/>
            <w:shd w:val="clear" w:color="auto" w:fill="auto"/>
            <w:noWrap/>
            <w:hideMark/>
          </w:tcPr>
          <w:p w14:paraId="55CAB25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lastRenderedPageBreak/>
              <w:t xml:space="preserve">Sessions from both conditions involved trained staff who took part in the activities (e.g., providing instructions, playing). Therefore, the effects on anxiety symptoms may not be due to the specific activity performed but rather to the social interactions and </w:t>
            </w:r>
            <w:r w:rsidRPr="00C1491B">
              <w:rPr>
                <w:rFonts w:cs="Times New Roman"/>
                <w:sz w:val="16"/>
                <w:szCs w:val="16"/>
                <w:lang w:val="en-US"/>
              </w:rPr>
              <w:lastRenderedPageBreak/>
              <w:t>relationships that the interventions entailed.</w:t>
            </w:r>
          </w:p>
        </w:tc>
      </w:tr>
      <w:tr w:rsidR="00A45A96" w:rsidRPr="00981244" w14:paraId="7F3DF7F1" w14:textId="77777777" w:rsidTr="00830371">
        <w:trPr>
          <w:trHeight w:val="288"/>
          <w:jc w:val="center"/>
        </w:trPr>
        <w:tc>
          <w:tcPr>
            <w:tcW w:w="1080" w:type="dxa"/>
            <w:shd w:val="clear" w:color="auto" w:fill="DAE9F7" w:themeFill="text2" w:themeFillTint="1A"/>
            <w:noWrap/>
            <w:hideMark/>
          </w:tcPr>
          <w:p w14:paraId="7BE92399"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lastRenderedPageBreak/>
              <w:t>Yokotani et al. 2024</w:t>
            </w:r>
          </w:p>
        </w:tc>
        <w:tc>
          <w:tcPr>
            <w:tcW w:w="1350" w:type="dxa"/>
            <w:shd w:val="clear" w:color="auto" w:fill="DAE9F7" w:themeFill="text2" w:themeFillTint="1A"/>
            <w:noWrap/>
            <w:hideMark/>
          </w:tcPr>
          <w:p w14:paraId="3A07AFF3"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Examine the causal effects of an avatar’s “likes” on its user’s depressive/manic levels</w:t>
            </w:r>
          </w:p>
        </w:tc>
        <w:tc>
          <w:tcPr>
            <w:tcW w:w="900" w:type="dxa"/>
            <w:shd w:val="clear" w:color="auto" w:fill="DAE9F7" w:themeFill="text2" w:themeFillTint="1A"/>
            <w:noWrap/>
            <w:hideMark/>
          </w:tcPr>
          <w:p w14:paraId="53F5D16C"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Japan</w:t>
            </w:r>
          </w:p>
        </w:tc>
        <w:tc>
          <w:tcPr>
            <w:tcW w:w="1080" w:type="dxa"/>
            <w:shd w:val="clear" w:color="auto" w:fill="DAE9F7" w:themeFill="text2" w:themeFillTint="1A"/>
            <w:noWrap/>
            <w:hideMark/>
          </w:tcPr>
          <w:p w14:paraId="186FF56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Experimental</w:t>
            </w:r>
          </w:p>
        </w:tc>
        <w:tc>
          <w:tcPr>
            <w:tcW w:w="990" w:type="dxa"/>
            <w:shd w:val="clear" w:color="auto" w:fill="DAE9F7" w:themeFill="text2" w:themeFillTint="1A"/>
            <w:noWrap/>
            <w:hideMark/>
          </w:tcPr>
          <w:p w14:paraId="1A2629BE"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810" w:type="dxa"/>
            <w:shd w:val="clear" w:color="auto" w:fill="DAE9F7" w:themeFill="text2" w:themeFillTint="1A"/>
            <w:noWrap/>
            <w:hideMark/>
          </w:tcPr>
          <w:p w14:paraId="451C0FC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416</w:t>
            </w:r>
          </w:p>
        </w:tc>
        <w:tc>
          <w:tcPr>
            <w:tcW w:w="630" w:type="dxa"/>
            <w:shd w:val="clear" w:color="auto" w:fill="DAE9F7" w:themeFill="text2" w:themeFillTint="1A"/>
            <w:noWrap/>
            <w:hideMark/>
          </w:tcPr>
          <w:p w14:paraId="60961025"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25.6</w:t>
            </w:r>
          </w:p>
        </w:tc>
        <w:tc>
          <w:tcPr>
            <w:tcW w:w="1080" w:type="dxa"/>
            <w:shd w:val="clear" w:color="auto" w:fill="DAE9F7" w:themeFill="text2" w:themeFillTint="1A"/>
            <w:noWrap/>
            <w:hideMark/>
          </w:tcPr>
          <w:p w14:paraId="77F646E3"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Interpersonal and social rhythm therapy</w:t>
            </w:r>
          </w:p>
        </w:tc>
        <w:tc>
          <w:tcPr>
            <w:tcW w:w="900" w:type="dxa"/>
            <w:shd w:val="clear" w:color="auto" w:fill="DAE9F7" w:themeFill="text2" w:themeFillTint="1A"/>
            <w:noWrap/>
            <w:hideMark/>
          </w:tcPr>
          <w:p w14:paraId="3E0A5E7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Pigg Party</w:t>
            </w:r>
          </w:p>
        </w:tc>
        <w:tc>
          <w:tcPr>
            <w:tcW w:w="1890" w:type="dxa"/>
            <w:shd w:val="clear" w:color="auto" w:fill="DAE9F7" w:themeFill="text2" w:themeFillTint="1A"/>
            <w:noWrap/>
            <w:hideMark/>
          </w:tcPr>
          <w:p w14:paraId="2ED5BEC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Different groups asked to send likes to their peers: morning vs. evening vs. all-day vs. waitlist</w:t>
            </w:r>
          </w:p>
        </w:tc>
        <w:tc>
          <w:tcPr>
            <w:tcW w:w="1080" w:type="dxa"/>
            <w:shd w:val="clear" w:color="auto" w:fill="DAE9F7" w:themeFill="text2" w:themeFillTint="1A"/>
            <w:noWrap/>
            <w:hideMark/>
          </w:tcPr>
          <w:p w14:paraId="5905058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Depression / depressive symptoms; manic symptoms;</w:t>
            </w:r>
          </w:p>
        </w:tc>
        <w:tc>
          <w:tcPr>
            <w:tcW w:w="2070" w:type="dxa"/>
            <w:shd w:val="clear" w:color="auto" w:fill="DAE9F7" w:themeFill="text2" w:themeFillTint="1A"/>
            <w:noWrap/>
            <w:hideMark/>
          </w:tcPr>
          <w:p w14:paraId="30B1E416"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Group allocation did not improve users’ depression or manic levels. Overall, frequency of likes returned from peers within a day significantly and negatively predicted depression (but not manic) levels. In the all-day group, after sending a like to a peer, the frequency of receiving a like back from that peer was slightly higher, and its frequency was significantly negatively correlated with the level of depression.</w:t>
            </w:r>
          </w:p>
        </w:tc>
        <w:tc>
          <w:tcPr>
            <w:tcW w:w="2266" w:type="dxa"/>
            <w:shd w:val="clear" w:color="auto" w:fill="DAE9F7" w:themeFill="text2" w:themeFillTint="1A"/>
            <w:noWrap/>
            <w:hideMark/>
          </w:tcPr>
          <w:p w14:paraId="3387E3E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Allocating participants to sending likes to their peers during different moments of a day did not affect their depressive and manic symptoms. However, the higher the number of likes received the lower the symptoms of depression.</w:t>
            </w:r>
          </w:p>
        </w:tc>
      </w:tr>
      <w:tr w:rsidR="00A45A96" w:rsidRPr="00C1491B" w14:paraId="222F7DF7" w14:textId="77777777" w:rsidTr="00830371">
        <w:trPr>
          <w:trHeight w:val="288"/>
          <w:jc w:val="center"/>
        </w:trPr>
        <w:tc>
          <w:tcPr>
            <w:tcW w:w="1080" w:type="dxa"/>
            <w:shd w:val="clear" w:color="auto" w:fill="auto"/>
            <w:noWrap/>
            <w:hideMark/>
          </w:tcPr>
          <w:p w14:paraId="075DC427" w14:textId="77777777" w:rsidR="00A45A96" w:rsidRPr="00C1491B" w:rsidRDefault="00A45A96" w:rsidP="00830371">
            <w:pPr>
              <w:spacing w:before="0" w:line="240" w:lineRule="auto"/>
              <w:jc w:val="left"/>
              <w:rPr>
                <w:rFonts w:cs="Times New Roman"/>
                <w:i/>
                <w:iCs/>
                <w:sz w:val="16"/>
                <w:szCs w:val="16"/>
                <w:lang w:val="en-US"/>
              </w:rPr>
            </w:pPr>
            <w:proofErr w:type="spellStart"/>
            <w:r w:rsidRPr="00C1491B">
              <w:rPr>
                <w:rFonts w:cs="Times New Roman"/>
                <w:i/>
                <w:iCs/>
                <w:sz w:val="16"/>
                <w:szCs w:val="16"/>
                <w:lang w:val="en-US"/>
              </w:rPr>
              <w:t>Billieux</w:t>
            </w:r>
            <w:proofErr w:type="spellEnd"/>
            <w:r w:rsidRPr="00C1491B">
              <w:rPr>
                <w:rFonts w:cs="Times New Roman"/>
                <w:i/>
                <w:iCs/>
                <w:sz w:val="16"/>
                <w:szCs w:val="16"/>
                <w:lang w:val="en-US"/>
              </w:rPr>
              <w:t xml:space="preserve"> et al. 2013</w:t>
            </w:r>
          </w:p>
        </w:tc>
        <w:tc>
          <w:tcPr>
            <w:tcW w:w="1350" w:type="dxa"/>
            <w:shd w:val="clear" w:color="auto" w:fill="auto"/>
            <w:noWrap/>
            <w:hideMark/>
          </w:tcPr>
          <w:p w14:paraId="333AB95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Investigate the relationships between self-reported motives and actual in-game </w:t>
            </w:r>
            <w:proofErr w:type="spellStart"/>
            <w:r w:rsidRPr="00C1491B">
              <w:rPr>
                <w:rFonts w:cs="Times New Roman"/>
                <w:sz w:val="16"/>
                <w:szCs w:val="16"/>
                <w:lang w:val="en-US"/>
              </w:rPr>
              <w:t>behaviours</w:t>
            </w:r>
            <w:proofErr w:type="spellEnd"/>
          </w:p>
        </w:tc>
        <w:tc>
          <w:tcPr>
            <w:tcW w:w="900" w:type="dxa"/>
            <w:shd w:val="clear" w:color="auto" w:fill="auto"/>
            <w:noWrap/>
            <w:hideMark/>
          </w:tcPr>
          <w:p w14:paraId="6EE5797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Belgium</w:t>
            </w:r>
          </w:p>
        </w:tc>
        <w:tc>
          <w:tcPr>
            <w:tcW w:w="1080" w:type="dxa"/>
            <w:shd w:val="clear" w:color="auto" w:fill="auto"/>
            <w:noWrap/>
            <w:hideMark/>
          </w:tcPr>
          <w:p w14:paraId="7472179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Longitudinal survey</w:t>
            </w:r>
          </w:p>
        </w:tc>
        <w:tc>
          <w:tcPr>
            <w:tcW w:w="990" w:type="dxa"/>
            <w:shd w:val="clear" w:color="auto" w:fill="auto"/>
            <w:noWrap/>
            <w:hideMark/>
          </w:tcPr>
          <w:p w14:paraId="580090D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Adults (in general)</w:t>
            </w:r>
          </w:p>
        </w:tc>
        <w:tc>
          <w:tcPr>
            <w:tcW w:w="810" w:type="dxa"/>
            <w:shd w:val="clear" w:color="auto" w:fill="auto"/>
            <w:noWrap/>
            <w:hideMark/>
          </w:tcPr>
          <w:p w14:paraId="28C25C5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690</w:t>
            </w:r>
          </w:p>
        </w:tc>
        <w:tc>
          <w:tcPr>
            <w:tcW w:w="630" w:type="dxa"/>
            <w:shd w:val="clear" w:color="auto" w:fill="auto"/>
            <w:noWrap/>
            <w:hideMark/>
          </w:tcPr>
          <w:p w14:paraId="435DE26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26.2</w:t>
            </w:r>
          </w:p>
        </w:tc>
        <w:tc>
          <w:tcPr>
            <w:tcW w:w="1080" w:type="dxa"/>
            <w:shd w:val="clear" w:color="auto" w:fill="auto"/>
            <w:noWrap/>
            <w:hideMark/>
          </w:tcPr>
          <w:p w14:paraId="03C27C7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Yee's framework for motivations to play online games</w:t>
            </w:r>
          </w:p>
        </w:tc>
        <w:tc>
          <w:tcPr>
            <w:tcW w:w="900" w:type="dxa"/>
            <w:shd w:val="clear" w:color="auto" w:fill="auto"/>
            <w:noWrap/>
            <w:hideMark/>
          </w:tcPr>
          <w:p w14:paraId="572E3AF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World of Warcraft</w:t>
            </w:r>
          </w:p>
        </w:tc>
        <w:tc>
          <w:tcPr>
            <w:tcW w:w="1890" w:type="dxa"/>
            <w:shd w:val="clear" w:color="auto" w:fill="auto"/>
            <w:noWrap/>
            <w:hideMark/>
          </w:tcPr>
          <w:p w14:paraId="2399367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Weekly hours spent playing World of Warcraft (WoW); avatars data about achievement (total progression, miscellaneous, quests, explorations, players vs players, dungeons and raids) and progression (indexes); server chosen in WoW; motivations to play WoW</w:t>
            </w:r>
          </w:p>
        </w:tc>
        <w:tc>
          <w:tcPr>
            <w:tcW w:w="1080" w:type="dxa"/>
            <w:shd w:val="clear" w:color="auto" w:fill="auto"/>
            <w:noWrap/>
            <w:hideMark/>
          </w:tcPr>
          <w:p w14:paraId="47CACB5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Addiction</w:t>
            </w:r>
          </w:p>
        </w:tc>
        <w:tc>
          <w:tcPr>
            <w:tcW w:w="2070" w:type="dxa"/>
            <w:shd w:val="clear" w:color="auto" w:fill="auto"/>
            <w:noWrap/>
            <w:hideMark/>
          </w:tcPr>
          <w:p w14:paraId="49E8BD13"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Results showed specific associations between motives and in-game </w:t>
            </w:r>
            <w:proofErr w:type="spellStart"/>
            <w:r w:rsidRPr="00C1491B">
              <w:rPr>
                <w:rFonts w:cs="Times New Roman"/>
                <w:sz w:val="16"/>
                <w:szCs w:val="16"/>
                <w:lang w:val="en-US"/>
              </w:rPr>
              <w:t>behaviours</w:t>
            </w:r>
            <w:proofErr w:type="spellEnd"/>
            <w:r w:rsidRPr="00C1491B">
              <w:rPr>
                <w:rFonts w:cs="Times New Roman"/>
                <w:sz w:val="16"/>
                <w:szCs w:val="16"/>
                <w:lang w:val="en-US"/>
              </w:rPr>
              <w:t>. Longitudinal analyses revealed that teamwork- and competition-oriented motives are the most accurate predictors of fast progression in the game. Specific associations exist between problematic use and certain motives (e.g. advancement, escapism) but problematic use was not associated with progression in the game in the longitudinal analyses.</w:t>
            </w:r>
          </w:p>
        </w:tc>
        <w:tc>
          <w:tcPr>
            <w:tcW w:w="2266" w:type="dxa"/>
            <w:shd w:val="clear" w:color="auto" w:fill="auto"/>
            <w:noWrap/>
            <w:hideMark/>
          </w:tcPr>
          <w:p w14:paraId="00AA5946" w14:textId="77777777" w:rsidR="00A45A96" w:rsidRPr="00C1491B" w:rsidRDefault="00A45A96" w:rsidP="00830371">
            <w:pPr>
              <w:spacing w:before="0" w:line="240" w:lineRule="auto"/>
              <w:jc w:val="left"/>
              <w:rPr>
                <w:rFonts w:cs="Times New Roman"/>
                <w:sz w:val="16"/>
                <w:szCs w:val="16"/>
                <w:lang w:val="en-US"/>
              </w:rPr>
            </w:pPr>
            <w:r>
              <w:rPr>
                <w:rFonts w:cs="Times New Roman"/>
                <w:sz w:val="16"/>
                <w:szCs w:val="16"/>
                <w:lang w:val="en-US"/>
              </w:rPr>
              <w:t>--</w:t>
            </w:r>
          </w:p>
        </w:tc>
      </w:tr>
      <w:tr w:rsidR="00A45A96" w:rsidRPr="00981244" w14:paraId="05E81385" w14:textId="77777777" w:rsidTr="00830371">
        <w:trPr>
          <w:trHeight w:val="288"/>
          <w:jc w:val="center"/>
        </w:trPr>
        <w:tc>
          <w:tcPr>
            <w:tcW w:w="1080" w:type="dxa"/>
            <w:shd w:val="clear" w:color="auto" w:fill="DAE9F7" w:themeFill="text2" w:themeFillTint="1A"/>
            <w:noWrap/>
            <w:hideMark/>
          </w:tcPr>
          <w:p w14:paraId="130034AA"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t>Gilbert et al. 2013</w:t>
            </w:r>
          </w:p>
        </w:tc>
        <w:tc>
          <w:tcPr>
            <w:tcW w:w="1350" w:type="dxa"/>
            <w:shd w:val="clear" w:color="auto" w:fill="DAE9F7" w:themeFill="text2" w:themeFillTint="1A"/>
            <w:noWrap/>
            <w:hideMark/>
          </w:tcPr>
          <w:p w14:paraId="09F12B2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Examine possible psychological and social benefits of </w:t>
            </w:r>
            <w:proofErr w:type="gramStart"/>
            <w:r w:rsidRPr="00C1491B">
              <w:rPr>
                <w:rFonts w:cs="Times New Roman"/>
                <w:sz w:val="16"/>
                <w:szCs w:val="16"/>
                <w:lang w:val="en-US"/>
              </w:rPr>
              <w:t>virtual-world</w:t>
            </w:r>
            <w:proofErr w:type="gramEnd"/>
            <w:r w:rsidRPr="00C1491B">
              <w:rPr>
                <w:rFonts w:cs="Times New Roman"/>
                <w:sz w:val="16"/>
                <w:szCs w:val="16"/>
                <w:lang w:val="en-US"/>
              </w:rPr>
              <w:t xml:space="preserve"> experienced by </w:t>
            </w:r>
            <w:r w:rsidRPr="00C1491B">
              <w:rPr>
                <w:rFonts w:cs="Times New Roman"/>
                <w:sz w:val="16"/>
                <w:szCs w:val="16"/>
                <w:lang w:val="en-US"/>
              </w:rPr>
              <w:lastRenderedPageBreak/>
              <w:t>people with real-world disabilities</w:t>
            </w:r>
          </w:p>
        </w:tc>
        <w:tc>
          <w:tcPr>
            <w:tcW w:w="900" w:type="dxa"/>
            <w:shd w:val="clear" w:color="auto" w:fill="DAE9F7" w:themeFill="text2" w:themeFillTint="1A"/>
            <w:noWrap/>
            <w:hideMark/>
          </w:tcPr>
          <w:p w14:paraId="04101FC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lastRenderedPageBreak/>
              <w:t>United States</w:t>
            </w:r>
          </w:p>
        </w:tc>
        <w:tc>
          <w:tcPr>
            <w:tcW w:w="1080" w:type="dxa"/>
            <w:shd w:val="clear" w:color="auto" w:fill="DAE9F7" w:themeFill="text2" w:themeFillTint="1A"/>
            <w:noWrap/>
            <w:hideMark/>
          </w:tcPr>
          <w:p w14:paraId="79A04A3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Longitudinal survey</w:t>
            </w:r>
          </w:p>
        </w:tc>
        <w:tc>
          <w:tcPr>
            <w:tcW w:w="990" w:type="dxa"/>
            <w:shd w:val="clear" w:color="auto" w:fill="DAE9F7" w:themeFill="text2" w:themeFillTint="1A"/>
            <w:noWrap/>
            <w:hideMark/>
          </w:tcPr>
          <w:p w14:paraId="154BAFD5"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Early adopters with disabilities</w:t>
            </w:r>
          </w:p>
        </w:tc>
        <w:tc>
          <w:tcPr>
            <w:tcW w:w="810" w:type="dxa"/>
            <w:shd w:val="clear" w:color="auto" w:fill="DAE9F7" w:themeFill="text2" w:themeFillTint="1A"/>
            <w:noWrap/>
            <w:hideMark/>
          </w:tcPr>
          <w:p w14:paraId="13A52EB6"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61</w:t>
            </w:r>
          </w:p>
        </w:tc>
        <w:tc>
          <w:tcPr>
            <w:tcW w:w="630" w:type="dxa"/>
            <w:shd w:val="clear" w:color="auto" w:fill="DAE9F7" w:themeFill="text2" w:themeFillTint="1A"/>
            <w:noWrap/>
            <w:hideMark/>
          </w:tcPr>
          <w:p w14:paraId="42FDB5A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39.2</w:t>
            </w:r>
          </w:p>
        </w:tc>
        <w:tc>
          <w:tcPr>
            <w:tcW w:w="1080" w:type="dxa"/>
            <w:shd w:val="clear" w:color="auto" w:fill="DAE9F7" w:themeFill="text2" w:themeFillTint="1A"/>
            <w:noWrap/>
            <w:hideMark/>
          </w:tcPr>
          <w:p w14:paraId="1A2F016B"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900" w:type="dxa"/>
            <w:shd w:val="clear" w:color="auto" w:fill="DAE9F7" w:themeFill="text2" w:themeFillTint="1A"/>
            <w:noWrap/>
            <w:hideMark/>
          </w:tcPr>
          <w:p w14:paraId="1856245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Second Life</w:t>
            </w:r>
          </w:p>
        </w:tc>
        <w:tc>
          <w:tcPr>
            <w:tcW w:w="1890" w:type="dxa"/>
            <w:shd w:val="clear" w:color="auto" w:fill="DAE9F7" w:themeFill="text2" w:themeFillTint="1A"/>
            <w:noWrap/>
            <w:hideMark/>
          </w:tcPr>
          <w:p w14:paraId="3BBDC9F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Frequency of use, typical duration of a session</w:t>
            </w:r>
          </w:p>
        </w:tc>
        <w:tc>
          <w:tcPr>
            <w:tcW w:w="1080" w:type="dxa"/>
            <w:shd w:val="clear" w:color="auto" w:fill="DAE9F7" w:themeFill="text2" w:themeFillTint="1A"/>
            <w:noWrap/>
            <w:hideMark/>
          </w:tcPr>
          <w:p w14:paraId="7AFAF6A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Depression / depressive symptoms; anxiety; affects / emotions; </w:t>
            </w:r>
            <w:r w:rsidRPr="00C1491B">
              <w:rPr>
                <w:rFonts w:cs="Times New Roman"/>
                <w:sz w:val="16"/>
                <w:szCs w:val="16"/>
                <w:lang w:val="en-US"/>
              </w:rPr>
              <w:lastRenderedPageBreak/>
              <w:t>life satisfaction; loneliness; social support; self-esteem</w:t>
            </w:r>
          </w:p>
        </w:tc>
        <w:tc>
          <w:tcPr>
            <w:tcW w:w="2070" w:type="dxa"/>
            <w:shd w:val="clear" w:color="auto" w:fill="DAE9F7" w:themeFill="text2" w:themeFillTint="1A"/>
            <w:noWrap/>
            <w:hideMark/>
          </w:tcPr>
          <w:p w14:paraId="08D65026"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lastRenderedPageBreak/>
              <w:t xml:space="preserve">After three months, participants’ scores significantly improved on measures of affective states (depression, anxiety, positive emotion, life </w:t>
            </w:r>
            <w:r w:rsidRPr="00C1491B">
              <w:rPr>
                <w:rFonts w:cs="Times New Roman"/>
                <w:sz w:val="16"/>
                <w:szCs w:val="16"/>
                <w:lang w:val="en-US"/>
              </w:rPr>
              <w:lastRenderedPageBreak/>
              <w:t xml:space="preserve">satisfaction, and feelings of loneliness) and self-evaluation (self-esteem). An index of overall change was associated with the number of virtual friends and group affiliations in Second Life, as well as feelings about the self </w:t>
            </w:r>
            <w:proofErr w:type="gramStart"/>
            <w:r w:rsidRPr="00C1491B">
              <w:rPr>
                <w:rFonts w:cs="Times New Roman"/>
                <w:sz w:val="16"/>
                <w:szCs w:val="16"/>
                <w:lang w:val="en-US"/>
              </w:rPr>
              <w:t>as a result of</w:t>
            </w:r>
            <w:proofErr w:type="gramEnd"/>
            <w:r w:rsidRPr="00C1491B">
              <w:rPr>
                <w:rFonts w:cs="Times New Roman"/>
                <w:sz w:val="16"/>
                <w:szCs w:val="16"/>
                <w:lang w:val="en-US"/>
              </w:rPr>
              <w:t xml:space="preserve"> involvement in the virtual world.</w:t>
            </w:r>
          </w:p>
        </w:tc>
        <w:tc>
          <w:tcPr>
            <w:tcW w:w="2266" w:type="dxa"/>
            <w:shd w:val="clear" w:color="auto" w:fill="DAE9F7" w:themeFill="text2" w:themeFillTint="1A"/>
            <w:noWrap/>
            <w:hideMark/>
          </w:tcPr>
          <w:p w14:paraId="20CD7AA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lastRenderedPageBreak/>
              <w:t xml:space="preserve">Despite the lack of controlled conditions and the confounding effect of time, the study findings represent promising initial evidence on the potential benefits of VW for mental </w:t>
            </w:r>
            <w:r w:rsidRPr="00C1491B">
              <w:rPr>
                <w:rFonts w:cs="Times New Roman"/>
                <w:sz w:val="16"/>
                <w:szCs w:val="16"/>
                <w:lang w:val="en-US"/>
              </w:rPr>
              <w:lastRenderedPageBreak/>
              <w:t>health of persons with disabilities.</w:t>
            </w:r>
          </w:p>
        </w:tc>
      </w:tr>
      <w:tr w:rsidR="00A45A96" w:rsidRPr="00981244" w14:paraId="22A51DEE" w14:textId="77777777" w:rsidTr="00830371">
        <w:trPr>
          <w:trHeight w:val="288"/>
          <w:jc w:val="center"/>
        </w:trPr>
        <w:tc>
          <w:tcPr>
            <w:tcW w:w="1080" w:type="dxa"/>
            <w:shd w:val="clear" w:color="auto" w:fill="auto"/>
            <w:noWrap/>
            <w:hideMark/>
          </w:tcPr>
          <w:p w14:paraId="33419289"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lastRenderedPageBreak/>
              <w:t>Watanabe et al. 2017</w:t>
            </w:r>
          </w:p>
        </w:tc>
        <w:tc>
          <w:tcPr>
            <w:tcW w:w="1350" w:type="dxa"/>
            <w:shd w:val="clear" w:color="auto" w:fill="auto"/>
            <w:noWrap/>
            <w:hideMark/>
          </w:tcPr>
          <w:p w14:paraId="759F549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Investigate the relationships between Pokémon GO and psychological distress</w:t>
            </w:r>
          </w:p>
        </w:tc>
        <w:tc>
          <w:tcPr>
            <w:tcW w:w="900" w:type="dxa"/>
            <w:shd w:val="clear" w:color="auto" w:fill="auto"/>
            <w:noWrap/>
            <w:hideMark/>
          </w:tcPr>
          <w:p w14:paraId="7C7D990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Japan</w:t>
            </w:r>
          </w:p>
        </w:tc>
        <w:tc>
          <w:tcPr>
            <w:tcW w:w="1080" w:type="dxa"/>
            <w:shd w:val="clear" w:color="auto" w:fill="auto"/>
            <w:noWrap/>
            <w:hideMark/>
          </w:tcPr>
          <w:p w14:paraId="796539F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Longitudinal survey</w:t>
            </w:r>
          </w:p>
        </w:tc>
        <w:tc>
          <w:tcPr>
            <w:tcW w:w="990" w:type="dxa"/>
            <w:shd w:val="clear" w:color="auto" w:fill="auto"/>
            <w:noWrap/>
            <w:hideMark/>
          </w:tcPr>
          <w:p w14:paraId="3B6EE75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Workers</w:t>
            </w:r>
          </w:p>
        </w:tc>
        <w:tc>
          <w:tcPr>
            <w:tcW w:w="810" w:type="dxa"/>
            <w:shd w:val="clear" w:color="auto" w:fill="auto"/>
            <w:noWrap/>
            <w:hideMark/>
          </w:tcPr>
          <w:p w14:paraId="28ADF09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2530</w:t>
            </w:r>
          </w:p>
        </w:tc>
        <w:tc>
          <w:tcPr>
            <w:tcW w:w="630" w:type="dxa"/>
            <w:shd w:val="clear" w:color="auto" w:fill="auto"/>
            <w:noWrap/>
            <w:hideMark/>
          </w:tcPr>
          <w:p w14:paraId="33F4821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42.1</w:t>
            </w:r>
          </w:p>
        </w:tc>
        <w:tc>
          <w:tcPr>
            <w:tcW w:w="1080" w:type="dxa"/>
            <w:shd w:val="clear" w:color="auto" w:fill="auto"/>
            <w:noWrap/>
            <w:hideMark/>
          </w:tcPr>
          <w:p w14:paraId="46306C86"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900" w:type="dxa"/>
            <w:shd w:val="clear" w:color="auto" w:fill="auto"/>
            <w:noWrap/>
            <w:hideMark/>
          </w:tcPr>
          <w:p w14:paraId="4AC0304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Pokémon Go</w:t>
            </w:r>
          </w:p>
        </w:tc>
        <w:tc>
          <w:tcPr>
            <w:tcW w:w="1890" w:type="dxa"/>
            <w:shd w:val="clear" w:color="auto" w:fill="auto"/>
            <w:noWrap/>
            <w:hideMark/>
          </w:tcPr>
          <w:p w14:paraId="4A09580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Pokémon Go players vs. non-players</w:t>
            </w:r>
          </w:p>
        </w:tc>
        <w:tc>
          <w:tcPr>
            <w:tcW w:w="1080" w:type="dxa"/>
            <w:shd w:val="clear" w:color="auto" w:fill="auto"/>
            <w:noWrap/>
            <w:hideMark/>
          </w:tcPr>
          <w:p w14:paraId="6382F9E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Work-related stress</w:t>
            </w:r>
          </w:p>
        </w:tc>
        <w:tc>
          <w:tcPr>
            <w:tcW w:w="2070" w:type="dxa"/>
            <w:shd w:val="clear" w:color="auto" w:fill="auto"/>
            <w:noWrap/>
            <w:hideMark/>
          </w:tcPr>
          <w:p w14:paraId="32B917D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Improvement in work-related stress was significantly greater among Pokémon GO players than among non-players.</w:t>
            </w:r>
          </w:p>
        </w:tc>
        <w:tc>
          <w:tcPr>
            <w:tcW w:w="2266" w:type="dxa"/>
            <w:shd w:val="clear" w:color="auto" w:fill="auto"/>
            <w:noWrap/>
            <w:hideMark/>
          </w:tcPr>
          <w:p w14:paraId="01D34FB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study was retrospective in nature and Pokémon Go was released between the two surveys for data collection. Thus, the improvement in work-related stress may have preceded the use of Pokémon Go. It is difficult to say more about the potential causal relationship between the variables analyzed.</w:t>
            </w:r>
          </w:p>
        </w:tc>
      </w:tr>
      <w:tr w:rsidR="00A45A96" w:rsidRPr="00981244" w14:paraId="65FE18F5" w14:textId="77777777" w:rsidTr="00830371">
        <w:trPr>
          <w:trHeight w:val="288"/>
          <w:jc w:val="center"/>
        </w:trPr>
        <w:tc>
          <w:tcPr>
            <w:tcW w:w="1080" w:type="dxa"/>
            <w:shd w:val="clear" w:color="auto" w:fill="DAE9F7" w:themeFill="text2" w:themeFillTint="1A"/>
            <w:noWrap/>
            <w:hideMark/>
          </w:tcPr>
          <w:p w14:paraId="337A0B21"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t>Khalis et al. 2022</w:t>
            </w:r>
          </w:p>
        </w:tc>
        <w:tc>
          <w:tcPr>
            <w:tcW w:w="1350" w:type="dxa"/>
            <w:shd w:val="clear" w:color="auto" w:fill="DAE9F7" w:themeFill="text2" w:themeFillTint="1A"/>
            <w:noWrap/>
            <w:hideMark/>
          </w:tcPr>
          <w:p w14:paraId="6C09CF65"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Investigate how participants’ social interactions while playing Pokémon GO relate to their positivity after gameplay</w:t>
            </w:r>
          </w:p>
        </w:tc>
        <w:tc>
          <w:tcPr>
            <w:tcW w:w="900" w:type="dxa"/>
            <w:shd w:val="clear" w:color="auto" w:fill="DAE9F7" w:themeFill="text2" w:themeFillTint="1A"/>
            <w:noWrap/>
            <w:hideMark/>
          </w:tcPr>
          <w:p w14:paraId="4F6650CC"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Canada</w:t>
            </w:r>
          </w:p>
        </w:tc>
        <w:tc>
          <w:tcPr>
            <w:tcW w:w="1080" w:type="dxa"/>
            <w:shd w:val="clear" w:color="auto" w:fill="DAE9F7" w:themeFill="text2" w:themeFillTint="1A"/>
            <w:noWrap/>
            <w:hideMark/>
          </w:tcPr>
          <w:p w14:paraId="23368CBC"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Longitudinal survey</w:t>
            </w:r>
          </w:p>
        </w:tc>
        <w:tc>
          <w:tcPr>
            <w:tcW w:w="990" w:type="dxa"/>
            <w:shd w:val="clear" w:color="auto" w:fill="DAE9F7" w:themeFill="text2" w:themeFillTint="1A"/>
            <w:noWrap/>
            <w:hideMark/>
          </w:tcPr>
          <w:p w14:paraId="7EC1CDF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University students</w:t>
            </w:r>
          </w:p>
        </w:tc>
        <w:tc>
          <w:tcPr>
            <w:tcW w:w="810" w:type="dxa"/>
            <w:shd w:val="clear" w:color="auto" w:fill="DAE9F7" w:themeFill="text2" w:themeFillTint="1A"/>
            <w:noWrap/>
            <w:hideMark/>
          </w:tcPr>
          <w:p w14:paraId="6C07ED2C"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108</w:t>
            </w:r>
          </w:p>
        </w:tc>
        <w:tc>
          <w:tcPr>
            <w:tcW w:w="630" w:type="dxa"/>
            <w:shd w:val="clear" w:color="auto" w:fill="DAE9F7" w:themeFill="text2" w:themeFillTint="1A"/>
            <w:noWrap/>
            <w:hideMark/>
          </w:tcPr>
          <w:p w14:paraId="0722ACD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19.5</w:t>
            </w:r>
          </w:p>
        </w:tc>
        <w:tc>
          <w:tcPr>
            <w:tcW w:w="1080" w:type="dxa"/>
            <w:shd w:val="clear" w:color="auto" w:fill="DAE9F7" w:themeFill="text2" w:themeFillTint="1A"/>
            <w:noWrap/>
            <w:hideMark/>
          </w:tcPr>
          <w:p w14:paraId="584D97AF"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900" w:type="dxa"/>
            <w:shd w:val="clear" w:color="auto" w:fill="DAE9F7" w:themeFill="text2" w:themeFillTint="1A"/>
            <w:noWrap/>
            <w:hideMark/>
          </w:tcPr>
          <w:p w14:paraId="33C0FDC6"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Pokémon Go</w:t>
            </w:r>
          </w:p>
        </w:tc>
        <w:tc>
          <w:tcPr>
            <w:tcW w:w="1890" w:type="dxa"/>
            <w:shd w:val="clear" w:color="auto" w:fill="DAE9F7" w:themeFill="text2" w:themeFillTint="1A"/>
            <w:noWrap/>
            <w:hideMark/>
          </w:tcPr>
          <w:p w14:paraId="0DD46FAC"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In-game positive social interactions</w:t>
            </w:r>
          </w:p>
        </w:tc>
        <w:tc>
          <w:tcPr>
            <w:tcW w:w="1080" w:type="dxa"/>
            <w:shd w:val="clear" w:color="auto" w:fill="DAE9F7" w:themeFill="text2" w:themeFillTint="1A"/>
            <w:noWrap/>
            <w:hideMark/>
          </w:tcPr>
          <w:p w14:paraId="29CCCBB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Depression / depressive symptoms; social anxiety; affects / emotions</w:t>
            </w:r>
          </w:p>
        </w:tc>
        <w:tc>
          <w:tcPr>
            <w:tcW w:w="2070" w:type="dxa"/>
            <w:shd w:val="clear" w:color="auto" w:fill="DAE9F7" w:themeFill="text2" w:themeFillTint="1A"/>
            <w:noWrap/>
            <w:hideMark/>
          </w:tcPr>
          <w:p w14:paraId="30AEED3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More positive social interactions with their gameplay partner incrementally predicted participants’ greater positivity post gameplay. The association between positive social interactions and greater positivity was accentuated for participants who reported more frequent noxious mood states (depressive symptoms) at the start of the study.</w:t>
            </w:r>
          </w:p>
        </w:tc>
        <w:tc>
          <w:tcPr>
            <w:tcW w:w="2266" w:type="dxa"/>
            <w:shd w:val="clear" w:color="auto" w:fill="DAE9F7" w:themeFill="text2" w:themeFillTint="1A"/>
            <w:noWrap/>
            <w:hideMark/>
          </w:tcPr>
          <w:p w14:paraId="41D00FE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findings of this study are in line with what is also expected for real/physical life interactions, i.e., positive social interactions increasing positive affect. However, it is not possible to generalize the study findings to Pokémon Go users in general (concluding for example that playing Pokémon Go increases positive affect) because this study included participants playing in dyads, i.e., with someone already known to them. It follows that the observed effect may be better explained by the pre-existing relationship quality which would predict both positive social interactions while playing and subsequent positive affect and may thus point to a spurious observed association.</w:t>
            </w:r>
          </w:p>
        </w:tc>
      </w:tr>
      <w:tr w:rsidR="00A45A96" w:rsidRPr="00981244" w14:paraId="71F80621" w14:textId="77777777" w:rsidTr="00830371">
        <w:trPr>
          <w:trHeight w:val="288"/>
          <w:jc w:val="center"/>
        </w:trPr>
        <w:tc>
          <w:tcPr>
            <w:tcW w:w="1080" w:type="dxa"/>
            <w:shd w:val="clear" w:color="auto" w:fill="auto"/>
            <w:noWrap/>
            <w:hideMark/>
          </w:tcPr>
          <w:p w14:paraId="60105042"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lastRenderedPageBreak/>
              <w:t>Yang et al. 2024</w:t>
            </w:r>
          </w:p>
        </w:tc>
        <w:tc>
          <w:tcPr>
            <w:tcW w:w="1350" w:type="dxa"/>
            <w:shd w:val="clear" w:color="auto" w:fill="auto"/>
            <w:noWrap/>
            <w:hideMark/>
          </w:tcPr>
          <w:p w14:paraId="6CE3EB56"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Research the impact of self-expansion experiences in the Metaverse on users’ identity perception, self-esteem, and life satisfaction</w:t>
            </w:r>
          </w:p>
        </w:tc>
        <w:tc>
          <w:tcPr>
            <w:tcW w:w="900" w:type="dxa"/>
            <w:shd w:val="clear" w:color="auto" w:fill="auto"/>
            <w:noWrap/>
            <w:hideMark/>
          </w:tcPr>
          <w:p w14:paraId="7EC829A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South Korea</w:t>
            </w:r>
          </w:p>
        </w:tc>
        <w:tc>
          <w:tcPr>
            <w:tcW w:w="1080" w:type="dxa"/>
            <w:shd w:val="clear" w:color="auto" w:fill="auto"/>
            <w:noWrap/>
            <w:hideMark/>
          </w:tcPr>
          <w:p w14:paraId="5FF26BE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Longitudinal survey</w:t>
            </w:r>
          </w:p>
        </w:tc>
        <w:tc>
          <w:tcPr>
            <w:tcW w:w="990" w:type="dxa"/>
            <w:shd w:val="clear" w:color="auto" w:fill="auto"/>
            <w:noWrap/>
            <w:hideMark/>
          </w:tcPr>
          <w:p w14:paraId="7221F8A5" w14:textId="77777777" w:rsidR="00A45A96" w:rsidRPr="00C1491B" w:rsidRDefault="00A45A96" w:rsidP="00830371">
            <w:pPr>
              <w:spacing w:before="0" w:line="240" w:lineRule="auto"/>
              <w:jc w:val="left"/>
              <w:rPr>
                <w:rFonts w:cs="Times New Roman"/>
                <w:sz w:val="16"/>
                <w:szCs w:val="16"/>
                <w:lang w:val="en-US"/>
              </w:rPr>
            </w:pPr>
            <w:proofErr w:type="gramStart"/>
            <w:r w:rsidRPr="00C1491B">
              <w:rPr>
                <w:rFonts w:cs="Times New Roman"/>
                <w:sz w:val="16"/>
                <w:szCs w:val="16"/>
                <w:lang w:val="en-US"/>
              </w:rPr>
              <w:t>Adults</w:t>
            </w:r>
            <w:proofErr w:type="gramEnd"/>
            <w:r w:rsidRPr="00C1491B">
              <w:rPr>
                <w:rFonts w:cs="Times New Roman"/>
                <w:sz w:val="16"/>
                <w:szCs w:val="16"/>
                <w:lang w:val="en-US"/>
              </w:rPr>
              <w:t xml:space="preserve"> users of </w:t>
            </w:r>
            <w:proofErr w:type="spellStart"/>
            <w:r w:rsidRPr="00C1491B">
              <w:rPr>
                <w:rFonts w:cs="Times New Roman"/>
                <w:sz w:val="16"/>
                <w:szCs w:val="16"/>
                <w:lang w:val="en-US"/>
              </w:rPr>
              <w:t>VRChat</w:t>
            </w:r>
            <w:proofErr w:type="spellEnd"/>
          </w:p>
        </w:tc>
        <w:tc>
          <w:tcPr>
            <w:tcW w:w="810" w:type="dxa"/>
            <w:shd w:val="clear" w:color="auto" w:fill="auto"/>
            <w:noWrap/>
            <w:hideMark/>
          </w:tcPr>
          <w:p w14:paraId="1C4CC496"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486</w:t>
            </w:r>
          </w:p>
        </w:tc>
        <w:tc>
          <w:tcPr>
            <w:tcW w:w="630" w:type="dxa"/>
            <w:shd w:val="clear" w:color="auto" w:fill="auto"/>
            <w:noWrap/>
            <w:hideMark/>
          </w:tcPr>
          <w:p w14:paraId="481E5EAC"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1080" w:type="dxa"/>
            <w:shd w:val="clear" w:color="auto" w:fill="auto"/>
            <w:noWrap/>
            <w:hideMark/>
          </w:tcPr>
          <w:p w14:paraId="5022BE75"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Temporarily Expanding the Boundaries of the Self Framework (TEBOST)</w:t>
            </w:r>
          </w:p>
        </w:tc>
        <w:tc>
          <w:tcPr>
            <w:tcW w:w="900" w:type="dxa"/>
            <w:shd w:val="clear" w:color="auto" w:fill="auto"/>
            <w:noWrap/>
            <w:hideMark/>
          </w:tcPr>
          <w:p w14:paraId="5FF15D67"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VRChat</w:t>
            </w:r>
            <w:proofErr w:type="spellEnd"/>
          </w:p>
        </w:tc>
        <w:tc>
          <w:tcPr>
            <w:tcW w:w="1890" w:type="dxa"/>
            <w:shd w:val="clear" w:color="auto" w:fill="auto"/>
            <w:noWrap/>
            <w:hideMark/>
          </w:tcPr>
          <w:p w14:paraId="49991C86"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Self-perception in </w:t>
            </w:r>
            <w:proofErr w:type="spellStart"/>
            <w:r w:rsidRPr="00C1491B">
              <w:rPr>
                <w:rFonts w:cs="Times New Roman"/>
                <w:sz w:val="16"/>
                <w:szCs w:val="16"/>
                <w:lang w:val="en-US"/>
              </w:rPr>
              <w:t>VRChat</w:t>
            </w:r>
            <w:proofErr w:type="spellEnd"/>
            <w:r w:rsidRPr="00C1491B">
              <w:rPr>
                <w:rFonts w:cs="Times New Roman"/>
                <w:sz w:val="16"/>
                <w:szCs w:val="16"/>
                <w:lang w:val="en-US"/>
              </w:rPr>
              <w:t xml:space="preserve"> (i.e., self-expansion, identity </w:t>
            </w:r>
            <w:proofErr w:type="spellStart"/>
            <w:r w:rsidRPr="00C1491B">
              <w:rPr>
                <w:rFonts w:cs="Times New Roman"/>
                <w:sz w:val="16"/>
                <w:szCs w:val="16"/>
                <w:lang w:val="en-US"/>
              </w:rPr>
              <w:t>dsjunction</w:t>
            </w:r>
            <w:proofErr w:type="spellEnd"/>
            <w:r w:rsidRPr="00C1491B">
              <w:rPr>
                <w:rFonts w:cs="Times New Roman"/>
                <w:sz w:val="16"/>
                <w:szCs w:val="16"/>
                <w:lang w:val="en-US"/>
              </w:rPr>
              <w:t>, and self-discrepancy)</w:t>
            </w:r>
          </w:p>
        </w:tc>
        <w:tc>
          <w:tcPr>
            <w:tcW w:w="1080" w:type="dxa"/>
            <w:shd w:val="clear" w:color="auto" w:fill="auto"/>
            <w:noWrap/>
            <w:hideMark/>
          </w:tcPr>
          <w:p w14:paraId="11E80DE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Life satisfaction; self-esteem</w:t>
            </w:r>
          </w:p>
        </w:tc>
        <w:tc>
          <w:tcPr>
            <w:tcW w:w="2070" w:type="dxa"/>
            <w:shd w:val="clear" w:color="auto" w:fill="auto"/>
            <w:noWrap/>
            <w:hideMark/>
          </w:tcPr>
          <w:p w14:paraId="0E6B47B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increase in self-expansion experience in VR environments positively predicted users’ self-esteem and life satisfaction. However, when self-expansion led to a loss of coherency in the self-concept by causing identity disjunction and self-discrepancy, it damaged self-esteem and life satisfaction.</w:t>
            </w:r>
          </w:p>
        </w:tc>
        <w:tc>
          <w:tcPr>
            <w:tcW w:w="2266" w:type="dxa"/>
            <w:shd w:val="clear" w:color="auto" w:fill="auto"/>
            <w:noWrap/>
            <w:hideMark/>
          </w:tcPr>
          <w:p w14:paraId="44AB12A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This was a longitudinal study, but the analysis employed did not test longitudinal associations, rather correlations.</w:t>
            </w:r>
          </w:p>
        </w:tc>
      </w:tr>
      <w:tr w:rsidR="00A45A96" w:rsidRPr="00981244" w14:paraId="61EC95D8" w14:textId="77777777" w:rsidTr="00830371">
        <w:trPr>
          <w:trHeight w:val="288"/>
          <w:jc w:val="center"/>
        </w:trPr>
        <w:tc>
          <w:tcPr>
            <w:tcW w:w="1080" w:type="dxa"/>
            <w:shd w:val="clear" w:color="auto" w:fill="DAE9F7" w:themeFill="text2" w:themeFillTint="1A"/>
            <w:noWrap/>
            <w:hideMark/>
          </w:tcPr>
          <w:p w14:paraId="5310224A"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t>Zhang et al. 2023</w:t>
            </w:r>
          </w:p>
        </w:tc>
        <w:tc>
          <w:tcPr>
            <w:tcW w:w="1350" w:type="dxa"/>
            <w:shd w:val="clear" w:color="auto" w:fill="DAE9F7" w:themeFill="text2" w:themeFillTint="1A"/>
            <w:noWrap/>
            <w:hideMark/>
          </w:tcPr>
          <w:p w14:paraId="2D0045E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 xml:space="preserve">Compare experiences in </w:t>
            </w:r>
            <w:proofErr w:type="spellStart"/>
            <w:r w:rsidRPr="00C1491B">
              <w:rPr>
                <w:rFonts w:cs="Times New Roman"/>
                <w:sz w:val="16"/>
                <w:szCs w:val="16"/>
                <w:lang w:val="en-US"/>
              </w:rPr>
              <w:t>VRChat</w:t>
            </w:r>
            <w:proofErr w:type="spellEnd"/>
            <w:r w:rsidRPr="00C1491B">
              <w:rPr>
                <w:rFonts w:cs="Times New Roman"/>
                <w:sz w:val="16"/>
                <w:szCs w:val="16"/>
                <w:lang w:val="en-US"/>
              </w:rPr>
              <w:t xml:space="preserve"> between using regular avatars and avatars with disability </w:t>
            </w:r>
            <w:proofErr w:type="spellStart"/>
            <w:r w:rsidRPr="00C1491B">
              <w:rPr>
                <w:rFonts w:cs="Times New Roman"/>
                <w:sz w:val="16"/>
                <w:szCs w:val="16"/>
                <w:lang w:val="en-US"/>
              </w:rPr>
              <w:t>signifers</w:t>
            </w:r>
            <w:proofErr w:type="spellEnd"/>
            <w:r w:rsidRPr="00C1491B">
              <w:rPr>
                <w:rFonts w:cs="Times New Roman"/>
                <w:sz w:val="16"/>
                <w:szCs w:val="16"/>
                <w:lang w:val="en-US"/>
              </w:rPr>
              <w:t xml:space="preserve"> (i.e., avatar features that indicate the user’s disability in real life)</w:t>
            </w:r>
          </w:p>
        </w:tc>
        <w:tc>
          <w:tcPr>
            <w:tcW w:w="900" w:type="dxa"/>
            <w:shd w:val="clear" w:color="auto" w:fill="DAE9F7" w:themeFill="text2" w:themeFillTint="1A"/>
            <w:noWrap/>
            <w:hideMark/>
          </w:tcPr>
          <w:p w14:paraId="7E87752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United States</w:t>
            </w:r>
          </w:p>
        </w:tc>
        <w:tc>
          <w:tcPr>
            <w:tcW w:w="1080" w:type="dxa"/>
            <w:shd w:val="clear" w:color="auto" w:fill="DAE9F7" w:themeFill="text2" w:themeFillTint="1A"/>
            <w:noWrap/>
            <w:hideMark/>
          </w:tcPr>
          <w:p w14:paraId="2DA6542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Mixed: quasi-experimental with a mixed methodology (diary study and participant observation)</w:t>
            </w:r>
          </w:p>
        </w:tc>
        <w:tc>
          <w:tcPr>
            <w:tcW w:w="990" w:type="dxa"/>
            <w:shd w:val="clear" w:color="auto" w:fill="DAE9F7" w:themeFill="text2" w:themeFillTint="1A"/>
            <w:noWrap/>
            <w:hideMark/>
          </w:tcPr>
          <w:p w14:paraId="60F62C4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Individuals with a self-reported disability</w:t>
            </w:r>
          </w:p>
        </w:tc>
        <w:tc>
          <w:tcPr>
            <w:tcW w:w="810" w:type="dxa"/>
            <w:shd w:val="clear" w:color="auto" w:fill="DAE9F7" w:themeFill="text2" w:themeFillTint="1A"/>
            <w:noWrap/>
            <w:hideMark/>
          </w:tcPr>
          <w:p w14:paraId="5F0EC6F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10</w:t>
            </w:r>
          </w:p>
        </w:tc>
        <w:tc>
          <w:tcPr>
            <w:tcW w:w="630" w:type="dxa"/>
            <w:shd w:val="clear" w:color="auto" w:fill="DAE9F7" w:themeFill="text2" w:themeFillTint="1A"/>
            <w:noWrap/>
            <w:hideMark/>
          </w:tcPr>
          <w:p w14:paraId="54F4AE2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34.1</w:t>
            </w:r>
          </w:p>
        </w:tc>
        <w:tc>
          <w:tcPr>
            <w:tcW w:w="1080" w:type="dxa"/>
            <w:shd w:val="clear" w:color="auto" w:fill="DAE9F7" w:themeFill="text2" w:themeFillTint="1A"/>
            <w:noWrap/>
            <w:hideMark/>
          </w:tcPr>
          <w:p w14:paraId="49C9EAA1"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900" w:type="dxa"/>
            <w:shd w:val="clear" w:color="auto" w:fill="DAE9F7" w:themeFill="text2" w:themeFillTint="1A"/>
            <w:noWrap/>
            <w:hideMark/>
          </w:tcPr>
          <w:p w14:paraId="623B01DF"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VRChat</w:t>
            </w:r>
            <w:proofErr w:type="spellEnd"/>
          </w:p>
        </w:tc>
        <w:tc>
          <w:tcPr>
            <w:tcW w:w="1890" w:type="dxa"/>
            <w:shd w:val="clear" w:color="auto" w:fill="DAE9F7" w:themeFill="text2" w:themeFillTint="1A"/>
            <w:noWrap/>
            <w:hideMark/>
          </w:tcPr>
          <w:p w14:paraId="0CC3AA9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Avatar design (with and without disability signifier)</w:t>
            </w:r>
          </w:p>
        </w:tc>
        <w:tc>
          <w:tcPr>
            <w:tcW w:w="1080" w:type="dxa"/>
            <w:shd w:val="clear" w:color="auto" w:fill="DAE9F7" w:themeFill="text2" w:themeFillTint="1A"/>
            <w:noWrap/>
            <w:hideMark/>
          </w:tcPr>
          <w:p w14:paraId="49754ABC"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Affect / emotions; cyberbullying / harassment</w:t>
            </w:r>
          </w:p>
        </w:tc>
        <w:tc>
          <w:tcPr>
            <w:tcW w:w="2070" w:type="dxa"/>
            <w:shd w:val="clear" w:color="auto" w:fill="DAE9F7" w:themeFill="text2" w:themeFillTint="1A"/>
            <w:noWrap/>
            <w:hideMark/>
          </w:tcPr>
          <w:p w14:paraId="33C0F83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Persons with disabilities (PWD) preferred using avatars with disability signifiers (DS) and wanted to further enhance their aesthetics and interactivity. However, such avatars also caused embodied, explicit harassment targeting PWD. Six participants experienced harassment when using avatars with DS, while no participant experienced harassment when using avatars without DS.</w:t>
            </w:r>
          </w:p>
        </w:tc>
        <w:tc>
          <w:tcPr>
            <w:tcW w:w="2266" w:type="dxa"/>
            <w:shd w:val="clear" w:color="auto" w:fill="DAE9F7" w:themeFill="text2" w:themeFillTint="1A"/>
            <w:noWrap/>
            <w:hideMark/>
          </w:tcPr>
          <w:p w14:paraId="0D005C96"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Promising initial evidence which needs to be replicated with a larger sample size</w:t>
            </w:r>
            <w:r>
              <w:rPr>
                <w:rFonts w:cs="Times New Roman"/>
                <w:sz w:val="16"/>
                <w:szCs w:val="16"/>
                <w:lang w:val="en-US"/>
              </w:rPr>
              <w:t>.</w:t>
            </w:r>
          </w:p>
        </w:tc>
      </w:tr>
      <w:tr w:rsidR="00A45A96" w:rsidRPr="00981244" w14:paraId="4AE17624" w14:textId="77777777" w:rsidTr="00830371">
        <w:trPr>
          <w:trHeight w:val="288"/>
          <w:jc w:val="center"/>
        </w:trPr>
        <w:tc>
          <w:tcPr>
            <w:tcW w:w="1080" w:type="dxa"/>
            <w:shd w:val="clear" w:color="auto" w:fill="auto"/>
            <w:noWrap/>
            <w:hideMark/>
          </w:tcPr>
          <w:p w14:paraId="4C3D77E1"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t>Gabriels et al. 2014</w:t>
            </w:r>
          </w:p>
        </w:tc>
        <w:tc>
          <w:tcPr>
            <w:tcW w:w="1350" w:type="dxa"/>
            <w:shd w:val="clear" w:color="auto" w:fill="auto"/>
            <w:noWrap/>
            <w:hideMark/>
          </w:tcPr>
          <w:p w14:paraId="6D2CC89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Test to what extent moral emotions felt when being cheated on by a love partner are comparable in intensity when this happens in Second Life versus Real Life</w:t>
            </w:r>
          </w:p>
        </w:tc>
        <w:tc>
          <w:tcPr>
            <w:tcW w:w="900" w:type="dxa"/>
            <w:shd w:val="clear" w:color="auto" w:fill="auto"/>
            <w:noWrap/>
            <w:hideMark/>
          </w:tcPr>
          <w:p w14:paraId="6A18C24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Belgium</w:t>
            </w:r>
          </w:p>
        </w:tc>
        <w:tc>
          <w:tcPr>
            <w:tcW w:w="1080" w:type="dxa"/>
            <w:shd w:val="clear" w:color="auto" w:fill="auto"/>
            <w:noWrap/>
            <w:hideMark/>
          </w:tcPr>
          <w:p w14:paraId="52E284F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Quasi-experimental</w:t>
            </w:r>
          </w:p>
        </w:tc>
        <w:tc>
          <w:tcPr>
            <w:tcW w:w="990" w:type="dxa"/>
            <w:shd w:val="clear" w:color="auto" w:fill="auto"/>
            <w:noWrap/>
            <w:hideMark/>
          </w:tcPr>
          <w:p w14:paraId="57131F9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Adults (in general)</w:t>
            </w:r>
          </w:p>
        </w:tc>
        <w:tc>
          <w:tcPr>
            <w:tcW w:w="810" w:type="dxa"/>
            <w:shd w:val="clear" w:color="auto" w:fill="auto"/>
            <w:noWrap/>
            <w:hideMark/>
          </w:tcPr>
          <w:p w14:paraId="13B0B2D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330</w:t>
            </w:r>
          </w:p>
        </w:tc>
        <w:tc>
          <w:tcPr>
            <w:tcW w:w="630" w:type="dxa"/>
            <w:shd w:val="clear" w:color="auto" w:fill="auto"/>
            <w:noWrap/>
            <w:hideMark/>
          </w:tcPr>
          <w:p w14:paraId="7CCA802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36</w:t>
            </w:r>
          </w:p>
        </w:tc>
        <w:tc>
          <w:tcPr>
            <w:tcW w:w="1080" w:type="dxa"/>
            <w:shd w:val="clear" w:color="auto" w:fill="auto"/>
            <w:noWrap/>
            <w:hideMark/>
          </w:tcPr>
          <w:p w14:paraId="7FA451E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Media equation theory</w:t>
            </w:r>
          </w:p>
        </w:tc>
        <w:tc>
          <w:tcPr>
            <w:tcW w:w="900" w:type="dxa"/>
            <w:shd w:val="clear" w:color="auto" w:fill="auto"/>
            <w:noWrap/>
            <w:hideMark/>
          </w:tcPr>
          <w:p w14:paraId="5DE6179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Second Life</w:t>
            </w:r>
          </w:p>
        </w:tc>
        <w:tc>
          <w:tcPr>
            <w:tcW w:w="1890" w:type="dxa"/>
            <w:shd w:val="clear" w:color="auto" w:fill="auto"/>
            <w:noWrap/>
            <w:hideMark/>
          </w:tcPr>
          <w:p w14:paraId="5F245A5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SL residents (experimental) vs. non-SL residents (control); being cheated in SL (experimental scenario) vs. being cheated in real life (control scenario); daily time spent using SL; motivations to use SL; positive feelings about SL</w:t>
            </w:r>
          </w:p>
        </w:tc>
        <w:tc>
          <w:tcPr>
            <w:tcW w:w="1080" w:type="dxa"/>
            <w:shd w:val="clear" w:color="auto" w:fill="auto"/>
            <w:noWrap/>
            <w:hideMark/>
          </w:tcPr>
          <w:p w14:paraId="10A9BA6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Affect / emotions</w:t>
            </w:r>
          </w:p>
        </w:tc>
        <w:tc>
          <w:tcPr>
            <w:tcW w:w="2070" w:type="dxa"/>
            <w:shd w:val="clear" w:color="auto" w:fill="auto"/>
            <w:noWrap/>
            <w:hideMark/>
          </w:tcPr>
          <w:p w14:paraId="5A61E21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For SL residents the intensity of moral emotions did not differ between SL versus RL situations, whereas for non-residents a SL situation triggered less intense emotions</w:t>
            </w:r>
          </w:p>
        </w:tc>
        <w:tc>
          <w:tcPr>
            <w:tcW w:w="2266" w:type="dxa"/>
            <w:shd w:val="clear" w:color="auto" w:fill="auto"/>
            <w:noWrap/>
            <w:hideMark/>
          </w:tcPr>
          <w:p w14:paraId="782BFEF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It should be noted that the authors test and report the significance of the interaction between Group and Scenario of the overall model but not the specific results for each outcome. Therefore, it is not possible to conclude on which specific emotion was differently affected by each scenario across the two groups.</w:t>
            </w:r>
          </w:p>
        </w:tc>
      </w:tr>
      <w:tr w:rsidR="00A45A96" w:rsidRPr="00981244" w14:paraId="6A79FBF3" w14:textId="77777777" w:rsidTr="00830371">
        <w:trPr>
          <w:trHeight w:val="288"/>
          <w:jc w:val="center"/>
        </w:trPr>
        <w:tc>
          <w:tcPr>
            <w:tcW w:w="1080" w:type="dxa"/>
            <w:shd w:val="clear" w:color="auto" w:fill="DAE9F7" w:themeFill="text2" w:themeFillTint="1A"/>
            <w:noWrap/>
            <w:hideMark/>
          </w:tcPr>
          <w:p w14:paraId="467E1B45" w14:textId="77777777" w:rsidR="00A45A96" w:rsidRPr="00C1491B" w:rsidRDefault="00A45A96" w:rsidP="00830371">
            <w:pPr>
              <w:spacing w:before="0" w:line="240" w:lineRule="auto"/>
              <w:jc w:val="left"/>
              <w:rPr>
                <w:rFonts w:cs="Times New Roman"/>
                <w:i/>
                <w:iCs/>
                <w:sz w:val="16"/>
                <w:szCs w:val="16"/>
                <w:lang w:val="en-US"/>
              </w:rPr>
            </w:pPr>
            <w:proofErr w:type="spellStart"/>
            <w:r w:rsidRPr="00C1491B">
              <w:rPr>
                <w:rFonts w:cs="Times New Roman"/>
                <w:i/>
                <w:iCs/>
                <w:sz w:val="16"/>
                <w:szCs w:val="16"/>
                <w:lang w:val="en-US"/>
              </w:rPr>
              <w:t>Photiadis</w:t>
            </w:r>
            <w:proofErr w:type="spellEnd"/>
            <w:r w:rsidRPr="00C1491B">
              <w:rPr>
                <w:rFonts w:cs="Times New Roman"/>
                <w:i/>
                <w:iCs/>
                <w:sz w:val="16"/>
                <w:szCs w:val="16"/>
                <w:lang w:val="en-US"/>
              </w:rPr>
              <w:t xml:space="preserve"> and </w:t>
            </w:r>
            <w:proofErr w:type="spellStart"/>
            <w:r w:rsidRPr="00C1491B">
              <w:rPr>
                <w:rFonts w:cs="Times New Roman"/>
                <w:i/>
                <w:iCs/>
                <w:sz w:val="16"/>
                <w:szCs w:val="16"/>
                <w:lang w:val="en-US"/>
              </w:rPr>
              <w:t>Zaphiris</w:t>
            </w:r>
            <w:proofErr w:type="spellEnd"/>
            <w:r w:rsidRPr="00C1491B">
              <w:rPr>
                <w:rFonts w:cs="Times New Roman"/>
                <w:i/>
                <w:iCs/>
                <w:sz w:val="16"/>
                <w:szCs w:val="16"/>
                <w:lang w:val="en-US"/>
              </w:rPr>
              <w:t xml:space="preserve"> 2016</w:t>
            </w:r>
          </w:p>
        </w:tc>
        <w:tc>
          <w:tcPr>
            <w:tcW w:w="1350" w:type="dxa"/>
            <w:shd w:val="clear" w:color="auto" w:fill="DAE9F7" w:themeFill="text2" w:themeFillTint="1A"/>
            <w:noWrap/>
            <w:hideMark/>
          </w:tcPr>
          <w:p w14:paraId="6EE8F7E3"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Determine users’ emotional profiles, pre and post Second life experience</w:t>
            </w:r>
          </w:p>
        </w:tc>
        <w:tc>
          <w:tcPr>
            <w:tcW w:w="900" w:type="dxa"/>
            <w:shd w:val="clear" w:color="auto" w:fill="DAE9F7" w:themeFill="text2" w:themeFillTint="1A"/>
            <w:noWrap/>
            <w:hideMark/>
          </w:tcPr>
          <w:p w14:paraId="7A7AA6C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Cyprus</w:t>
            </w:r>
          </w:p>
        </w:tc>
        <w:tc>
          <w:tcPr>
            <w:tcW w:w="1080" w:type="dxa"/>
            <w:shd w:val="clear" w:color="auto" w:fill="DAE9F7" w:themeFill="text2" w:themeFillTint="1A"/>
            <w:noWrap/>
            <w:hideMark/>
          </w:tcPr>
          <w:p w14:paraId="4E5D7FC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Quasi-experimental</w:t>
            </w:r>
          </w:p>
        </w:tc>
        <w:tc>
          <w:tcPr>
            <w:tcW w:w="990" w:type="dxa"/>
            <w:shd w:val="clear" w:color="auto" w:fill="DAE9F7" w:themeFill="text2" w:themeFillTint="1A"/>
            <w:noWrap/>
            <w:hideMark/>
          </w:tcPr>
          <w:p w14:paraId="73FCD56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Young adults</w:t>
            </w:r>
          </w:p>
        </w:tc>
        <w:tc>
          <w:tcPr>
            <w:tcW w:w="810" w:type="dxa"/>
            <w:shd w:val="clear" w:color="auto" w:fill="DAE9F7" w:themeFill="text2" w:themeFillTint="1A"/>
            <w:noWrap/>
            <w:hideMark/>
          </w:tcPr>
          <w:p w14:paraId="4592D86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30</w:t>
            </w:r>
          </w:p>
        </w:tc>
        <w:tc>
          <w:tcPr>
            <w:tcW w:w="630" w:type="dxa"/>
            <w:shd w:val="clear" w:color="auto" w:fill="DAE9F7" w:themeFill="text2" w:themeFillTint="1A"/>
            <w:noWrap/>
            <w:hideMark/>
          </w:tcPr>
          <w:p w14:paraId="2D84020B"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r w:rsidRPr="00C1491B">
              <w:rPr>
                <w:rFonts w:cs="Times New Roman"/>
                <w:sz w:val="16"/>
                <w:szCs w:val="16"/>
                <w:lang w:val="en-US"/>
              </w:rPr>
              <w:t xml:space="preserve"> (age range: 18-35)</w:t>
            </w:r>
          </w:p>
        </w:tc>
        <w:tc>
          <w:tcPr>
            <w:tcW w:w="1080" w:type="dxa"/>
            <w:shd w:val="clear" w:color="auto" w:fill="DAE9F7" w:themeFill="text2" w:themeFillTint="1A"/>
            <w:noWrap/>
            <w:hideMark/>
          </w:tcPr>
          <w:p w14:paraId="3C4F1CB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Appraisal theories</w:t>
            </w:r>
          </w:p>
        </w:tc>
        <w:tc>
          <w:tcPr>
            <w:tcW w:w="900" w:type="dxa"/>
            <w:shd w:val="clear" w:color="auto" w:fill="DAE9F7" w:themeFill="text2" w:themeFillTint="1A"/>
            <w:noWrap/>
            <w:hideMark/>
          </w:tcPr>
          <w:p w14:paraId="420C6AB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Second Life</w:t>
            </w:r>
          </w:p>
        </w:tc>
        <w:tc>
          <w:tcPr>
            <w:tcW w:w="1890" w:type="dxa"/>
            <w:shd w:val="clear" w:color="auto" w:fill="DAE9F7" w:themeFill="text2" w:themeFillTint="1A"/>
            <w:noWrap/>
            <w:hideMark/>
          </w:tcPr>
          <w:p w14:paraId="71670C6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Needs (motivations/perception)</w:t>
            </w:r>
          </w:p>
        </w:tc>
        <w:tc>
          <w:tcPr>
            <w:tcW w:w="1080" w:type="dxa"/>
            <w:shd w:val="clear" w:color="auto" w:fill="DAE9F7" w:themeFill="text2" w:themeFillTint="1A"/>
            <w:noWrap/>
            <w:hideMark/>
          </w:tcPr>
          <w:p w14:paraId="1954ADE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Affect / emotions</w:t>
            </w:r>
          </w:p>
        </w:tc>
        <w:tc>
          <w:tcPr>
            <w:tcW w:w="2070" w:type="dxa"/>
            <w:shd w:val="clear" w:color="auto" w:fill="DAE9F7" w:themeFill="text2" w:themeFillTint="1A"/>
            <w:noWrap/>
            <w:hideMark/>
          </w:tcPr>
          <w:p w14:paraId="60A05DF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emerged emotional profile through the comparison process was consisted of positive emotions: “interesting”, “entertainment”, “pleasure” and “happiness". The mood-</w:t>
            </w:r>
            <w:r w:rsidRPr="00C1491B">
              <w:rPr>
                <w:rFonts w:cs="Times New Roman"/>
                <w:sz w:val="16"/>
                <w:szCs w:val="16"/>
                <w:lang w:val="en-US"/>
              </w:rPr>
              <w:lastRenderedPageBreak/>
              <w:t>state was composed of “attentive</w:t>
            </w:r>
            <w:proofErr w:type="gramStart"/>
            <w:r w:rsidRPr="00C1491B">
              <w:rPr>
                <w:rFonts w:cs="Times New Roman"/>
                <w:sz w:val="16"/>
                <w:szCs w:val="16"/>
                <w:lang w:val="en-US"/>
              </w:rPr>
              <w:t>”</w:t>
            </w:r>
            <w:proofErr w:type="gramEnd"/>
            <w:r w:rsidRPr="00C1491B">
              <w:rPr>
                <w:rFonts w:cs="Times New Roman"/>
                <w:sz w:val="16"/>
                <w:szCs w:val="16"/>
                <w:lang w:val="en-US"/>
              </w:rPr>
              <w:t xml:space="preserve"> and the needs were “love”, “justice”, and “understanding”.</w:t>
            </w:r>
          </w:p>
        </w:tc>
        <w:tc>
          <w:tcPr>
            <w:tcW w:w="2266" w:type="dxa"/>
            <w:shd w:val="clear" w:color="auto" w:fill="DAE9F7" w:themeFill="text2" w:themeFillTint="1A"/>
            <w:noWrap/>
            <w:hideMark/>
          </w:tcPr>
          <w:p w14:paraId="0340DD6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lastRenderedPageBreak/>
              <w:t>The description of the study methodology and results was not detailed enough. To note, findings might be primarily due to time and contextual factors (e.g., university life) rather than to Second Life use.</w:t>
            </w:r>
          </w:p>
        </w:tc>
      </w:tr>
      <w:tr w:rsidR="00A45A96" w:rsidRPr="00C1491B" w14:paraId="317BFB78" w14:textId="77777777" w:rsidTr="00830371">
        <w:trPr>
          <w:trHeight w:val="288"/>
          <w:jc w:val="center"/>
        </w:trPr>
        <w:tc>
          <w:tcPr>
            <w:tcW w:w="1080" w:type="dxa"/>
            <w:shd w:val="clear" w:color="auto" w:fill="auto"/>
            <w:noWrap/>
            <w:hideMark/>
          </w:tcPr>
          <w:p w14:paraId="64C38314"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t>Wei et al. 2018</w:t>
            </w:r>
          </w:p>
        </w:tc>
        <w:tc>
          <w:tcPr>
            <w:tcW w:w="1350" w:type="dxa"/>
            <w:shd w:val="clear" w:color="auto" w:fill="auto"/>
            <w:noWrap/>
            <w:hideMark/>
          </w:tcPr>
          <w:p w14:paraId="3B88730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Explore whether specific behaviors in VW predict symptoms of social anxiety</w:t>
            </w:r>
          </w:p>
        </w:tc>
        <w:tc>
          <w:tcPr>
            <w:tcW w:w="900" w:type="dxa"/>
            <w:shd w:val="clear" w:color="auto" w:fill="auto"/>
            <w:noWrap/>
            <w:hideMark/>
          </w:tcPr>
          <w:p w14:paraId="7CB1A86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China</w:t>
            </w:r>
          </w:p>
        </w:tc>
        <w:tc>
          <w:tcPr>
            <w:tcW w:w="1080" w:type="dxa"/>
            <w:shd w:val="clear" w:color="auto" w:fill="auto"/>
            <w:noWrap/>
            <w:hideMark/>
          </w:tcPr>
          <w:p w14:paraId="4697A2CF"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Quasi-experimental</w:t>
            </w:r>
          </w:p>
        </w:tc>
        <w:tc>
          <w:tcPr>
            <w:tcW w:w="990" w:type="dxa"/>
            <w:shd w:val="clear" w:color="auto" w:fill="auto"/>
            <w:noWrap/>
            <w:hideMark/>
          </w:tcPr>
          <w:p w14:paraId="424DBC0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Undergraduates</w:t>
            </w:r>
          </w:p>
        </w:tc>
        <w:tc>
          <w:tcPr>
            <w:tcW w:w="810" w:type="dxa"/>
            <w:shd w:val="clear" w:color="auto" w:fill="auto"/>
            <w:noWrap/>
            <w:hideMark/>
          </w:tcPr>
          <w:p w14:paraId="3B33812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29</w:t>
            </w:r>
          </w:p>
        </w:tc>
        <w:tc>
          <w:tcPr>
            <w:tcW w:w="630" w:type="dxa"/>
            <w:shd w:val="clear" w:color="auto" w:fill="auto"/>
            <w:noWrap/>
            <w:hideMark/>
          </w:tcPr>
          <w:p w14:paraId="41EDC35A"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1080" w:type="dxa"/>
            <w:shd w:val="clear" w:color="auto" w:fill="auto"/>
            <w:noWrap/>
            <w:hideMark/>
          </w:tcPr>
          <w:p w14:paraId="596C30E8"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Sandplay</w:t>
            </w:r>
            <w:proofErr w:type="spellEnd"/>
            <w:r w:rsidRPr="00C1491B">
              <w:rPr>
                <w:rFonts w:cs="Times New Roman"/>
                <w:sz w:val="16"/>
                <w:szCs w:val="16"/>
                <w:lang w:val="en-US"/>
              </w:rPr>
              <w:t xml:space="preserve"> therapy</w:t>
            </w:r>
          </w:p>
        </w:tc>
        <w:tc>
          <w:tcPr>
            <w:tcW w:w="900" w:type="dxa"/>
            <w:shd w:val="clear" w:color="auto" w:fill="auto"/>
            <w:noWrap/>
            <w:hideMark/>
          </w:tcPr>
          <w:p w14:paraId="269D0CA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There</w:t>
            </w:r>
          </w:p>
        </w:tc>
        <w:tc>
          <w:tcPr>
            <w:tcW w:w="1890" w:type="dxa"/>
            <w:shd w:val="clear" w:color="auto" w:fill="auto"/>
            <w:noWrap/>
            <w:hideMark/>
          </w:tcPr>
          <w:p w14:paraId="71FA0F8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Avatar dressing, house construction, and action characteristics in "There"</w:t>
            </w:r>
          </w:p>
        </w:tc>
        <w:tc>
          <w:tcPr>
            <w:tcW w:w="1080" w:type="dxa"/>
            <w:shd w:val="clear" w:color="auto" w:fill="auto"/>
            <w:noWrap/>
            <w:hideMark/>
          </w:tcPr>
          <w:p w14:paraId="21324067"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Social anxiety</w:t>
            </w:r>
          </w:p>
        </w:tc>
        <w:tc>
          <w:tcPr>
            <w:tcW w:w="2070" w:type="dxa"/>
            <w:shd w:val="clear" w:color="auto" w:fill="auto"/>
            <w:noWrap/>
            <w:hideMark/>
          </w:tcPr>
          <w:p w14:paraId="1FDD763A"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quantity of windows, turn frequency, and trousers length (for males) and top and trousers fitness (for females) in the virtual world were all associated with symptoms of social anxiety.</w:t>
            </w:r>
          </w:p>
        </w:tc>
        <w:tc>
          <w:tcPr>
            <w:tcW w:w="2266" w:type="dxa"/>
            <w:shd w:val="clear" w:color="auto" w:fill="auto"/>
            <w:noWrap/>
            <w:hideMark/>
          </w:tcPr>
          <w:p w14:paraId="0E0D5B8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study procedure and methodology did not include variable manipulation, different conditions or participants randomization. Different VW variables were explored and while some were associated with social anxiety, others were not. The findings need to be confirmed by future research.</w:t>
            </w:r>
          </w:p>
        </w:tc>
      </w:tr>
      <w:tr w:rsidR="00A45A96" w:rsidRPr="00981244" w14:paraId="68593CE1" w14:textId="77777777" w:rsidTr="00830371">
        <w:trPr>
          <w:trHeight w:val="288"/>
          <w:jc w:val="center"/>
        </w:trPr>
        <w:tc>
          <w:tcPr>
            <w:tcW w:w="1080" w:type="dxa"/>
            <w:shd w:val="clear" w:color="auto" w:fill="DAE9F7" w:themeFill="text2" w:themeFillTint="1A"/>
            <w:noWrap/>
            <w:hideMark/>
          </w:tcPr>
          <w:p w14:paraId="7C6AE662"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t>Liang et al. 2023</w:t>
            </w:r>
          </w:p>
        </w:tc>
        <w:tc>
          <w:tcPr>
            <w:tcW w:w="1350" w:type="dxa"/>
            <w:shd w:val="clear" w:color="auto" w:fill="DAE9F7" w:themeFill="text2" w:themeFillTint="1A"/>
            <w:noWrap/>
            <w:hideMark/>
          </w:tcPr>
          <w:p w14:paraId="2C153BDB"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Evaluate the effectiveness of a prototype system in alleviating loneliness among the elderly</w:t>
            </w:r>
          </w:p>
        </w:tc>
        <w:tc>
          <w:tcPr>
            <w:tcW w:w="900" w:type="dxa"/>
            <w:shd w:val="clear" w:color="auto" w:fill="DAE9F7" w:themeFill="text2" w:themeFillTint="1A"/>
            <w:noWrap/>
            <w:hideMark/>
          </w:tcPr>
          <w:p w14:paraId="45A61CF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China</w:t>
            </w:r>
          </w:p>
        </w:tc>
        <w:tc>
          <w:tcPr>
            <w:tcW w:w="1080" w:type="dxa"/>
            <w:shd w:val="clear" w:color="auto" w:fill="DAE9F7" w:themeFill="text2" w:themeFillTint="1A"/>
            <w:noWrap/>
            <w:hideMark/>
          </w:tcPr>
          <w:p w14:paraId="10B14855"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Quasi-experimental</w:t>
            </w:r>
          </w:p>
        </w:tc>
        <w:tc>
          <w:tcPr>
            <w:tcW w:w="990" w:type="dxa"/>
            <w:shd w:val="clear" w:color="auto" w:fill="DAE9F7" w:themeFill="text2" w:themeFillTint="1A"/>
            <w:noWrap/>
            <w:hideMark/>
          </w:tcPr>
          <w:p w14:paraId="7C30A53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Older people aged 60-80 years and meeting the diagnostic criteria for depression</w:t>
            </w:r>
          </w:p>
        </w:tc>
        <w:tc>
          <w:tcPr>
            <w:tcW w:w="810" w:type="dxa"/>
            <w:shd w:val="clear" w:color="auto" w:fill="DAE9F7" w:themeFill="text2" w:themeFillTint="1A"/>
            <w:noWrap/>
            <w:hideMark/>
          </w:tcPr>
          <w:p w14:paraId="7140167C"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60</w:t>
            </w:r>
          </w:p>
        </w:tc>
        <w:tc>
          <w:tcPr>
            <w:tcW w:w="630" w:type="dxa"/>
            <w:shd w:val="clear" w:color="auto" w:fill="DAE9F7" w:themeFill="text2" w:themeFillTint="1A"/>
            <w:noWrap/>
            <w:hideMark/>
          </w:tcPr>
          <w:p w14:paraId="42AB80AB"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1080" w:type="dxa"/>
            <w:shd w:val="clear" w:color="auto" w:fill="DAE9F7" w:themeFill="text2" w:themeFillTint="1A"/>
            <w:noWrap/>
            <w:hideMark/>
          </w:tcPr>
          <w:p w14:paraId="4873F01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Virtual social center framework</w:t>
            </w:r>
          </w:p>
        </w:tc>
        <w:tc>
          <w:tcPr>
            <w:tcW w:w="900" w:type="dxa"/>
            <w:shd w:val="clear" w:color="auto" w:fill="DAE9F7" w:themeFill="text2" w:themeFillTint="1A"/>
            <w:noWrap/>
            <w:hideMark/>
          </w:tcPr>
          <w:p w14:paraId="22CDB51D"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 prototype for online interaction</w:t>
            </w:r>
          </w:p>
        </w:tc>
        <w:tc>
          <w:tcPr>
            <w:tcW w:w="1890" w:type="dxa"/>
            <w:shd w:val="clear" w:color="auto" w:fill="DAE9F7" w:themeFill="text2" w:themeFillTint="1A"/>
            <w:noWrap/>
            <w:hideMark/>
          </w:tcPr>
          <w:p w14:paraId="48A9D37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Using a virtual social center (experimental) vs. mobile phones, computers, and other communication tools (control) for social activities</w:t>
            </w:r>
          </w:p>
        </w:tc>
        <w:tc>
          <w:tcPr>
            <w:tcW w:w="1080" w:type="dxa"/>
            <w:shd w:val="clear" w:color="auto" w:fill="DAE9F7" w:themeFill="text2" w:themeFillTint="1A"/>
            <w:noWrap/>
            <w:hideMark/>
          </w:tcPr>
          <w:p w14:paraId="3621F2A4"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Anxiety; depressive symptoms; somatization; obsessive-compulsive symptoms; paranoia; psychosis; loneliness; sleep quality (i.e. poor sleep)</w:t>
            </w:r>
          </w:p>
        </w:tc>
        <w:tc>
          <w:tcPr>
            <w:tcW w:w="2070" w:type="dxa"/>
            <w:shd w:val="clear" w:color="auto" w:fill="DAE9F7" w:themeFill="text2" w:themeFillTint="1A"/>
            <w:noWrap/>
            <w:hideMark/>
          </w:tcPr>
          <w:p w14:paraId="4F664DD3"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mental state of the elderly who had used the virtual social center was significantly better than that of those who had not used it. Thus, virtual social centers can help relieve loneliness and depression among the elderly with increasing global epidemics and an aging society.</w:t>
            </w:r>
          </w:p>
        </w:tc>
        <w:tc>
          <w:tcPr>
            <w:tcW w:w="2266" w:type="dxa"/>
            <w:shd w:val="clear" w:color="auto" w:fill="DAE9F7" w:themeFill="text2" w:themeFillTint="1A"/>
            <w:noWrap/>
            <w:hideMark/>
          </w:tcPr>
          <w:p w14:paraId="22C4861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It should be noted that the authors compared the scores from the two conditions after treatment only and did not test the significance of the interaction between Condition and Time (to analyze whether scores decreased more in one of the two groups compared to the other). Importantly, cognitive impairment scores were higher in the control group than in the experimental group at baseline, which may have affected the possibility for older adults from the control group to use digital devices for social activities, ultimately biasing the results of the study.</w:t>
            </w:r>
          </w:p>
        </w:tc>
      </w:tr>
      <w:tr w:rsidR="00A45A96" w:rsidRPr="00981244" w14:paraId="2B8E6A40" w14:textId="77777777" w:rsidTr="00830371">
        <w:trPr>
          <w:trHeight w:val="288"/>
          <w:jc w:val="center"/>
        </w:trPr>
        <w:tc>
          <w:tcPr>
            <w:tcW w:w="1080" w:type="dxa"/>
            <w:shd w:val="clear" w:color="auto" w:fill="auto"/>
            <w:noWrap/>
            <w:hideMark/>
          </w:tcPr>
          <w:p w14:paraId="42816EBC" w14:textId="77777777" w:rsidR="00A45A96" w:rsidRPr="00C1491B" w:rsidRDefault="00A45A96" w:rsidP="00830371">
            <w:pPr>
              <w:spacing w:before="0" w:line="240" w:lineRule="auto"/>
              <w:jc w:val="left"/>
              <w:rPr>
                <w:rFonts w:cs="Times New Roman"/>
                <w:i/>
                <w:iCs/>
                <w:sz w:val="16"/>
                <w:szCs w:val="16"/>
                <w:lang w:val="en-US"/>
              </w:rPr>
            </w:pPr>
            <w:r w:rsidRPr="00C1491B">
              <w:rPr>
                <w:rFonts w:cs="Times New Roman"/>
                <w:i/>
                <w:iCs/>
                <w:sz w:val="16"/>
                <w:szCs w:val="16"/>
                <w:lang w:val="en-US"/>
              </w:rPr>
              <w:t>Kavanagh et al. 2024</w:t>
            </w:r>
          </w:p>
        </w:tc>
        <w:tc>
          <w:tcPr>
            <w:tcW w:w="1350" w:type="dxa"/>
            <w:shd w:val="clear" w:color="auto" w:fill="auto"/>
            <w:noWrap/>
            <w:hideMark/>
          </w:tcPr>
          <w:p w14:paraId="7A820AD2"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Compare inside/outside game discrepancy of self-esteem in people with gaming disorder (GD) cut-off scores and in those with the lowest scores</w:t>
            </w:r>
          </w:p>
        </w:tc>
        <w:tc>
          <w:tcPr>
            <w:tcW w:w="900" w:type="dxa"/>
            <w:shd w:val="clear" w:color="auto" w:fill="auto"/>
            <w:noWrap/>
            <w:hideMark/>
          </w:tcPr>
          <w:p w14:paraId="69E6030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United Kingdom</w:t>
            </w:r>
          </w:p>
        </w:tc>
        <w:tc>
          <w:tcPr>
            <w:tcW w:w="1080" w:type="dxa"/>
            <w:shd w:val="clear" w:color="auto" w:fill="auto"/>
            <w:noWrap/>
            <w:hideMark/>
          </w:tcPr>
          <w:p w14:paraId="380F6E13"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Quasi-experimental</w:t>
            </w:r>
          </w:p>
        </w:tc>
        <w:tc>
          <w:tcPr>
            <w:tcW w:w="990" w:type="dxa"/>
            <w:shd w:val="clear" w:color="auto" w:fill="auto"/>
            <w:noWrap/>
            <w:hideMark/>
          </w:tcPr>
          <w:p w14:paraId="42FEA7C4" w14:textId="77777777" w:rsidR="00A45A96" w:rsidRPr="00C1491B" w:rsidRDefault="00A45A96" w:rsidP="00830371">
            <w:pPr>
              <w:spacing w:before="0" w:line="240" w:lineRule="auto"/>
              <w:jc w:val="left"/>
              <w:rPr>
                <w:rFonts w:cs="Times New Roman"/>
                <w:sz w:val="16"/>
                <w:szCs w:val="16"/>
                <w:lang w:val="en-US"/>
              </w:rPr>
            </w:pPr>
            <w:proofErr w:type="spellStart"/>
            <w:r w:rsidRPr="00C1491B">
              <w:rPr>
                <w:rFonts w:cs="Times New Roman"/>
                <w:sz w:val="16"/>
                <w:szCs w:val="16"/>
                <w:lang w:val="en-US"/>
              </w:rPr>
              <w:t>na</w:t>
            </w:r>
            <w:proofErr w:type="spellEnd"/>
          </w:p>
        </w:tc>
        <w:tc>
          <w:tcPr>
            <w:tcW w:w="810" w:type="dxa"/>
            <w:shd w:val="clear" w:color="auto" w:fill="auto"/>
            <w:noWrap/>
            <w:hideMark/>
          </w:tcPr>
          <w:p w14:paraId="3E76F460"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1712</w:t>
            </w:r>
          </w:p>
        </w:tc>
        <w:tc>
          <w:tcPr>
            <w:tcW w:w="630" w:type="dxa"/>
            <w:shd w:val="clear" w:color="auto" w:fill="auto"/>
            <w:noWrap/>
            <w:hideMark/>
          </w:tcPr>
          <w:p w14:paraId="7489EF7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30.3</w:t>
            </w:r>
          </w:p>
        </w:tc>
        <w:tc>
          <w:tcPr>
            <w:tcW w:w="1080" w:type="dxa"/>
            <w:shd w:val="clear" w:color="auto" w:fill="auto"/>
            <w:noWrap/>
            <w:hideMark/>
          </w:tcPr>
          <w:p w14:paraId="6AB4E4AC"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Self-determination theory; maintenance model of gaming disorder</w:t>
            </w:r>
          </w:p>
        </w:tc>
        <w:tc>
          <w:tcPr>
            <w:tcW w:w="900" w:type="dxa"/>
            <w:shd w:val="clear" w:color="auto" w:fill="auto"/>
            <w:noWrap/>
            <w:hideMark/>
          </w:tcPr>
          <w:p w14:paraId="38B59418"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MMORPGs</w:t>
            </w:r>
          </w:p>
        </w:tc>
        <w:tc>
          <w:tcPr>
            <w:tcW w:w="1890" w:type="dxa"/>
            <w:shd w:val="clear" w:color="auto" w:fill="auto"/>
            <w:noWrap/>
            <w:hideMark/>
          </w:tcPr>
          <w:p w14:paraId="28FF2EF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GD cut-off scores vs. lowest score group</w:t>
            </w:r>
          </w:p>
        </w:tc>
        <w:tc>
          <w:tcPr>
            <w:tcW w:w="1080" w:type="dxa"/>
            <w:shd w:val="clear" w:color="auto" w:fill="auto"/>
            <w:noWrap/>
            <w:hideMark/>
          </w:tcPr>
          <w:p w14:paraId="60BA8AAE"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Self-esteem</w:t>
            </w:r>
          </w:p>
        </w:tc>
        <w:tc>
          <w:tcPr>
            <w:tcW w:w="2070" w:type="dxa"/>
            <w:shd w:val="clear" w:color="auto" w:fill="auto"/>
            <w:noWrap/>
            <w:hideMark/>
          </w:tcPr>
          <w:p w14:paraId="6F672F31"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Persons with GD cut-off scores showed larger differences between their low self-esteem outside of the game and their increased self-esteem in the gaming-world compared to the lowest scores group, for which no difference in self-esteem was evident.</w:t>
            </w:r>
          </w:p>
        </w:tc>
        <w:tc>
          <w:tcPr>
            <w:tcW w:w="2266" w:type="dxa"/>
            <w:shd w:val="clear" w:color="auto" w:fill="auto"/>
            <w:noWrap/>
            <w:hideMark/>
          </w:tcPr>
          <w:p w14:paraId="648A5FE9" w14:textId="77777777" w:rsidR="00A45A96" w:rsidRPr="00C1491B" w:rsidRDefault="00A45A96" w:rsidP="00830371">
            <w:pPr>
              <w:spacing w:before="0" w:line="240" w:lineRule="auto"/>
              <w:jc w:val="left"/>
              <w:rPr>
                <w:rFonts w:cs="Times New Roman"/>
                <w:sz w:val="16"/>
                <w:szCs w:val="16"/>
                <w:lang w:val="en-US"/>
              </w:rPr>
            </w:pPr>
            <w:r w:rsidRPr="00C1491B">
              <w:rPr>
                <w:rFonts w:cs="Times New Roman"/>
                <w:sz w:val="16"/>
                <w:szCs w:val="16"/>
                <w:lang w:val="en-US"/>
              </w:rPr>
              <w:t>The study pointed out an association between GD and low self-esteem but did not inform on whether the association is causal and, if any, what is the direction of the causal effect.</w:t>
            </w:r>
          </w:p>
        </w:tc>
      </w:tr>
    </w:tbl>
    <w:p w14:paraId="64D9906D" w14:textId="1935D093" w:rsidR="00341C07" w:rsidRPr="00C363A9" w:rsidRDefault="00A45A96" w:rsidP="00341C07">
      <w:pPr>
        <w:rPr>
          <w:sz w:val="16"/>
          <w:szCs w:val="16"/>
          <w:lang w:val="en-US"/>
        </w:rPr>
      </w:pPr>
      <w:r>
        <w:rPr>
          <w:i/>
          <w:iCs/>
          <w:sz w:val="16"/>
          <w:szCs w:val="16"/>
          <w:lang w:val="en-US"/>
        </w:rPr>
        <w:t xml:space="preserve">Note. </w:t>
      </w:r>
      <w:proofErr w:type="spellStart"/>
      <w:r w:rsidRPr="002B3A04">
        <w:rPr>
          <w:i/>
          <w:iCs/>
          <w:sz w:val="16"/>
          <w:szCs w:val="16"/>
          <w:lang w:val="en-US"/>
        </w:rPr>
        <w:t>na</w:t>
      </w:r>
      <w:proofErr w:type="spellEnd"/>
      <w:r w:rsidRPr="002B3A04">
        <w:rPr>
          <w:sz w:val="16"/>
          <w:szCs w:val="16"/>
          <w:lang w:val="en-US"/>
        </w:rPr>
        <w:t>: not available.</w:t>
      </w:r>
    </w:p>
    <w:sectPr w:rsidR="00341C07" w:rsidRPr="00C363A9" w:rsidSect="00A45A96">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8441E" w14:textId="77777777" w:rsidR="00264F04" w:rsidRDefault="00264F04" w:rsidP="00F14184">
      <w:pPr>
        <w:spacing w:before="0" w:after="0" w:line="240" w:lineRule="auto"/>
      </w:pPr>
      <w:r>
        <w:separator/>
      </w:r>
    </w:p>
  </w:endnote>
  <w:endnote w:type="continuationSeparator" w:id="0">
    <w:p w14:paraId="49D86CDD" w14:textId="77777777" w:rsidR="00264F04" w:rsidRDefault="00264F04" w:rsidP="00F141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16A71" w14:textId="77777777" w:rsidR="00F14184" w:rsidRDefault="00F14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3C4D8" w14:textId="77777777" w:rsidR="00F14184" w:rsidRDefault="00F141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3C00" w14:textId="77777777" w:rsidR="00F14184" w:rsidRDefault="00F14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351A" w14:textId="77777777" w:rsidR="00264F04" w:rsidRDefault="00264F04" w:rsidP="00F14184">
      <w:pPr>
        <w:spacing w:before="0" w:after="0" w:line="240" w:lineRule="auto"/>
      </w:pPr>
      <w:r>
        <w:separator/>
      </w:r>
    </w:p>
  </w:footnote>
  <w:footnote w:type="continuationSeparator" w:id="0">
    <w:p w14:paraId="5924D5CB" w14:textId="77777777" w:rsidR="00264F04" w:rsidRDefault="00264F04" w:rsidP="00F14184">
      <w:pPr>
        <w:spacing w:before="0" w:after="0" w:line="240" w:lineRule="auto"/>
      </w:pPr>
      <w:r>
        <w:continuationSeparator/>
      </w:r>
    </w:p>
  </w:footnote>
  <w:footnote w:id="1">
    <w:p w14:paraId="687D6908" w14:textId="3EEC8B63" w:rsidR="00A45A96" w:rsidRPr="00981244" w:rsidRDefault="00A45A96">
      <w:pPr>
        <w:pStyle w:val="FootnoteText"/>
        <w:rPr>
          <w:lang w:val="en-GB"/>
        </w:rPr>
      </w:pPr>
      <w:r>
        <w:rPr>
          <w:rStyle w:val="FootnoteReference"/>
        </w:rPr>
        <w:footnoteRef/>
      </w:r>
      <w:r w:rsidRPr="00A45A96">
        <w:rPr>
          <w:lang w:val="es-ES"/>
        </w:rPr>
        <w:t xml:space="preserve"> </w:t>
      </w:r>
      <w:proofErr w:type="spellStart"/>
      <w:r w:rsidRPr="00A45A96">
        <w:rPr>
          <w:lang w:val="es-ES"/>
        </w:rPr>
        <w:t>Boetje</w:t>
      </w:r>
      <w:proofErr w:type="spellEnd"/>
      <w:r w:rsidRPr="00A45A96">
        <w:rPr>
          <w:lang w:val="es-ES"/>
        </w:rPr>
        <w:t xml:space="preserve">, J., &amp; Van De </w:t>
      </w:r>
      <w:proofErr w:type="spellStart"/>
      <w:r w:rsidRPr="00A45A96">
        <w:rPr>
          <w:lang w:val="es-ES"/>
        </w:rPr>
        <w:t>Schoot</w:t>
      </w:r>
      <w:proofErr w:type="spellEnd"/>
      <w:r w:rsidRPr="00A45A96">
        <w:rPr>
          <w:lang w:val="es-ES"/>
        </w:rPr>
        <w:t xml:space="preserve">, R. (2024). </w:t>
      </w:r>
      <w:r w:rsidRPr="00A45A96">
        <w:rPr>
          <w:lang w:val="en-US"/>
        </w:rPr>
        <w:t xml:space="preserve">The SAFE procedure: A practical stopping heuristic for active learning-based screening in systematic reviews and meta-analyses. </w:t>
      </w:r>
      <w:r w:rsidRPr="00981244">
        <w:rPr>
          <w:i/>
          <w:iCs/>
          <w:lang w:val="en-GB"/>
        </w:rPr>
        <w:t>Systematic Reviews, 13</w:t>
      </w:r>
      <w:r w:rsidRPr="00981244">
        <w:rPr>
          <w:lang w:val="en-GB"/>
        </w:rPr>
        <w:t>(1), 81. https://doi.org/10.1186/s13643-024-02502-7</w:t>
      </w:r>
    </w:p>
  </w:footnote>
  <w:footnote w:id="2">
    <w:p w14:paraId="44C26042" w14:textId="4776711E" w:rsidR="00A45A96" w:rsidRPr="00A45A96" w:rsidRDefault="00A45A96">
      <w:pPr>
        <w:pStyle w:val="FootnoteText"/>
        <w:rPr>
          <w:lang w:val="es-ES"/>
        </w:rPr>
      </w:pPr>
      <w:r>
        <w:rPr>
          <w:rStyle w:val="FootnoteReference"/>
        </w:rPr>
        <w:footnoteRef/>
      </w:r>
      <w:r w:rsidRPr="00A45A96">
        <w:rPr>
          <w:lang w:val="en-US"/>
        </w:rPr>
        <w:t xml:space="preserve"> Callon, M., </w:t>
      </w:r>
      <w:proofErr w:type="spellStart"/>
      <w:r w:rsidRPr="00A45A96">
        <w:rPr>
          <w:lang w:val="en-US"/>
        </w:rPr>
        <w:t>Courtial</w:t>
      </w:r>
      <w:proofErr w:type="spellEnd"/>
      <w:r w:rsidRPr="00A45A96">
        <w:rPr>
          <w:lang w:val="en-US"/>
        </w:rPr>
        <w:t xml:space="preserve">, J. P., Turner, W. A., &amp; </w:t>
      </w:r>
      <w:proofErr w:type="spellStart"/>
      <w:r w:rsidRPr="00A45A96">
        <w:rPr>
          <w:lang w:val="en-US"/>
        </w:rPr>
        <w:t>Bauin</w:t>
      </w:r>
      <w:proofErr w:type="spellEnd"/>
      <w:r w:rsidRPr="00A45A96">
        <w:rPr>
          <w:lang w:val="en-US"/>
        </w:rPr>
        <w:t xml:space="preserve">, S. (1983). From translations to problematic networks: An introduction to co-word analysis. </w:t>
      </w:r>
      <w:r w:rsidRPr="00A45A96">
        <w:rPr>
          <w:i/>
          <w:iCs/>
        </w:rPr>
        <w:t>Social Science Information, 22</w:t>
      </w:r>
      <w:r w:rsidRPr="00A45A96">
        <w:t>(2), 191–235. https://doi.org/10.1177/053901883022002003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D73D" w14:textId="77777777" w:rsidR="00F14184" w:rsidRDefault="00F141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062634"/>
      <w:docPartObj>
        <w:docPartGallery w:val="Page Numbers (Top of Page)"/>
        <w:docPartUnique/>
      </w:docPartObj>
    </w:sdtPr>
    <w:sdtEndPr>
      <w:rPr>
        <w:noProof/>
      </w:rPr>
    </w:sdtEndPr>
    <w:sdtContent>
      <w:p w14:paraId="0E79F6AE" w14:textId="4A6729AA" w:rsidR="00F22D3A" w:rsidRPr="00F22D3A" w:rsidRDefault="00F22D3A">
        <w:pPr>
          <w:pStyle w:val="Header"/>
          <w:jc w:val="right"/>
          <w:rPr>
            <w:lang w:val="en-US"/>
          </w:rPr>
        </w:pPr>
        <w:r w:rsidRPr="00F22D3A">
          <w:rPr>
            <w:lang w:val="en-US"/>
          </w:rPr>
          <w:t xml:space="preserve">VIRTUAL WORLDS AND MENTAL HEALTH      </w:t>
        </w:r>
        <w:r>
          <w:rPr>
            <w:lang w:val="en-US"/>
          </w:rPr>
          <w:t xml:space="preserve">                                                              </w:t>
        </w:r>
        <w:r>
          <w:fldChar w:fldCharType="begin"/>
        </w:r>
        <w:r w:rsidRPr="00F22D3A">
          <w:rPr>
            <w:lang w:val="en-US"/>
          </w:rPr>
          <w:instrText xml:space="preserve"> PAGE   \* MERGEFORMAT </w:instrText>
        </w:r>
        <w:r>
          <w:fldChar w:fldCharType="separate"/>
        </w:r>
        <w:r w:rsidRPr="00F22D3A">
          <w:rPr>
            <w:noProof/>
            <w:lang w:val="en-US"/>
          </w:rPr>
          <w:t>2</w:t>
        </w:r>
        <w:r>
          <w:rPr>
            <w:noProof/>
          </w:rPr>
          <w:fldChar w:fldCharType="end"/>
        </w:r>
      </w:p>
    </w:sdtContent>
  </w:sdt>
  <w:p w14:paraId="6FE11CA3" w14:textId="2296CE6D" w:rsidR="00F14184" w:rsidRPr="00F22D3A" w:rsidRDefault="00F14184">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B079" w14:textId="77777777" w:rsidR="00F14184" w:rsidRDefault="00F14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26D4"/>
    <w:multiLevelType w:val="hybridMultilevel"/>
    <w:tmpl w:val="BA5A85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9C2E2E"/>
    <w:multiLevelType w:val="hybridMultilevel"/>
    <w:tmpl w:val="BAB2E8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C640E0"/>
    <w:multiLevelType w:val="multilevel"/>
    <w:tmpl w:val="0DBA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413A3A"/>
    <w:multiLevelType w:val="hybridMultilevel"/>
    <w:tmpl w:val="450EC084"/>
    <w:lvl w:ilvl="0" w:tplc="13D88F26">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B603727"/>
    <w:multiLevelType w:val="hybridMultilevel"/>
    <w:tmpl w:val="2FD0B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5CC6A8F"/>
    <w:multiLevelType w:val="hybridMultilevel"/>
    <w:tmpl w:val="70D2B8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C93474E"/>
    <w:multiLevelType w:val="hybridMultilevel"/>
    <w:tmpl w:val="641869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94F3734"/>
    <w:multiLevelType w:val="multilevel"/>
    <w:tmpl w:val="18A03C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3878914">
    <w:abstractNumId w:val="5"/>
  </w:num>
  <w:num w:numId="2" w16cid:durableId="718670561">
    <w:abstractNumId w:val="2"/>
  </w:num>
  <w:num w:numId="3" w16cid:durableId="847906688">
    <w:abstractNumId w:val="7"/>
  </w:num>
  <w:num w:numId="4" w16cid:durableId="2071151907">
    <w:abstractNumId w:val="3"/>
  </w:num>
  <w:num w:numId="5" w16cid:durableId="849485345">
    <w:abstractNumId w:val="0"/>
  </w:num>
  <w:num w:numId="6" w16cid:durableId="299918647">
    <w:abstractNumId w:val="4"/>
  </w:num>
  <w:num w:numId="7" w16cid:durableId="1694846518">
    <w:abstractNumId w:val="1"/>
  </w:num>
  <w:num w:numId="8" w16cid:durableId="260301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9E3"/>
    <w:rsid w:val="001120E9"/>
    <w:rsid w:val="001C7219"/>
    <w:rsid w:val="00221E41"/>
    <w:rsid w:val="00264F04"/>
    <w:rsid w:val="00303232"/>
    <w:rsid w:val="0031272D"/>
    <w:rsid w:val="00333DA5"/>
    <w:rsid w:val="00341C07"/>
    <w:rsid w:val="004561F2"/>
    <w:rsid w:val="004F3772"/>
    <w:rsid w:val="005A173B"/>
    <w:rsid w:val="006669E3"/>
    <w:rsid w:val="00766BC7"/>
    <w:rsid w:val="00801A61"/>
    <w:rsid w:val="00890AE9"/>
    <w:rsid w:val="0094228B"/>
    <w:rsid w:val="00981244"/>
    <w:rsid w:val="00A45A96"/>
    <w:rsid w:val="00AB66B1"/>
    <w:rsid w:val="00AC5FF2"/>
    <w:rsid w:val="00B05DDE"/>
    <w:rsid w:val="00B66515"/>
    <w:rsid w:val="00B97EE8"/>
    <w:rsid w:val="00C363A9"/>
    <w:rsid w:val="00C463EC"/>
    <w:rsid w:val="00D938BF"/>
    <w:rsid w:val="00ED6520"/>
    <w:rsid w:val="00F14184"/>
    <w:rsid w:val="00F211F0"/>
    <w:rsid w:val="00F22D3A"/>
    <w:rsid w:val="3C2AC3A7"/>
    <w:rsid w:val="54D6DC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613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232"/>
    <w:pPr>
      <w:spacing w:before="120" w:after="120" w:line="360" w:lineRule="auto"/>
      <w:jc w:val="both"/>
    </w:pPr>
    <w:rPr>
      <w:rFonts w:ascii="Times New Roman" w:hAnsi="Times New Roman"/>
      <w:color w:val="000000" w:themeColor="text1"/>
    </w:rPr>
  </w:style>
  <w:style w:type="paragraph" w:styleId="Heading1">
    <w:name w:val="heading 1"/>
    <w:basedOn w:val="Normal"/>
    <w:next w:val="Normal"/>
    <w:link w:val="Heading1Char"/>
    <w:uiPriority w:val="9"/>
    <w:qFormat/>
    <w:rsid w:val="00303232"/>
    <w:pPr>
      <w:keepNext/>
      <w:keepLines/>
      <w:spacing w:before="240" w:line="480" w:lineRule="auto"/>
      <w:jc w:val="center"/>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303232"/>
    <w:pPr>
      <w:keepNext/>
      <w:keepLines/>
      <w:spacing w:before="240" w:after="24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303232"/>
    <w:pPr>
      <w:keepNext/>
      <w:keepLines/>
      <w:spacing w:before="160" w:after="80"/>
      <w:outlineLvl w:val="2"/>
    </w:pPr>
    <w:rPr>
      <w:rFonts w:eastAsiaTheme="majorEastAsia" w:cstheme="majorBidi"/>
      <w:i/>
      <w:color w:val="auto"/>
      <w:sz w:val="28"/>
      <w:szCs w:val="28"/>
    </w:rPr>
  </w:style>
  <w:style w:type="paragraph" w:styleId="Heading4">
    <w:name w:val="heading 4"/>
    <w:basedOn w:val="Normal"/>
    <w:next w:val="Normal"/>
    <w:link w:val="Heading4Char"/>
    <w:uiPriority w:val="9"/>
    <w:semiHidden/>
    <w:unhideWhenUsed/>
    <w:qFormat/>
    <w:rsid w:val="006669E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669E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669E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669E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69E3"/>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69E3"/>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232"/>
    <w:rPr>
      <w:rFonts w:ascii="Times New Roman" w:eastAsiaTheme="majorEastAsia" w:hAnsi="Times New Roman" w:cstheme="majorBidi"/>
      <w:b/>
      <w:color w:val="000000" w:themeColor="text1"/>
      <w:sz w:val="32"/>
      <w:szCs w:val="40"/>
    </w:rPr>
  </w:style>
  <w:style w:type="character" w:customStyle="1" w:styleId="Heading2Char">
    <w:name w:val="Heading 2 Char"/>
    <w:basedOn w:val="DefaultParagraphFont"/>
    <w:link w:val="Heading2"/>
    <w:uiPriority w:val="9"/>
    <w:rsid w:val="00303232"/>
    <w:rPr>
      <w:rFonts w:ascii="Times New Roman" w:eastAsiaTheme="majorEastAsia" w:hAnsi="Times New Roman" w:cstheme="majorBidi"/>
      <w:b/>
      <w:color w:val="000000" w:themeColor="text1"/>
      <w:szCs w:val="32"/>
    </w:rPr>
  </w:style>
  <w:style w:type="paragraph" w:styleId="Title">
    <w:name w:val="Title"/>
    <w:basedOn w:val="Normal"/>
    <w:next w:val="Normal"/>
    <w:link w:val="TitleChar"/>
    <w:uiPriority w:val="10"/>
    <w:qFormat/>
    <w:rsid w:val="00303232"/>
    <w:pPr>
      <w:spacing w:after="80" w:line="48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303232"/>
    <w:rPr>
      <w:rFonts w:ascii="Times New Roman" w:eastAsiaTheme="majorEastAsia" w:hAnsi="Times New Roman" w:cstheme="majorBidi"/>
      <w:b/>
      <w:color w:val="000000" w:themeColor="text1"/>
      <w:spacing w:val="-10"/>
      <w:kern w:val="28"/>
      <w:sz w:val="40"/>
      <w:szCs w:val="56"/>
    </w:rPr>
  </w:style>
  <w:style w:type="character" w:customStyle="1" w:styleId="Heading3Char">
    <w:name w:val="Heading 3 Char"/>
    <w:basedOn w:val="DefaultParagraphFont"/>
    <w:link w:val="Heading3"/>
    <w:uiPriority w:val="9"/>
    <w:semiHidden/>
    <w:rsid w:val="00303232"/>
    <w:rPr>
      <w:rFonts w:ascii="Times New Roman" w:eastAsiaTheme="majorEastAsia" w:hAnsi="Times New Roman" w:cstheme="majorBidi"/>
      <w:i/>
      <w:sz w:val="28"/>
      <w:szCs w:val="28"/>
    </w:rPr>
  </w:style>
  <w:style w:type="character" w:customStyle="1" w:styleId="Heading4Char">
    <w:name w:val="Heading 4 Char"/>
    <w:basedOn w:val="DefaultParagraphFont"/>
    <w:link w:val="Heading4"/>
    <w:uiPriority w:val="9"/>
    <w:semiHidden/>
    <w:rsid w:val="006669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9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9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9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9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9E3"/>
    <w:rPr>
      <w:rFonts w:eastAsiaTheme="majorEastAsia" w:cstheme="majorBidi"/>
      <w:color w:val="272727" w:themeColor="text1" w:themeTint="D8"/>
    </w:rPr>
  </w:style>
  <w:style w:type="paragraph" w:styleId="Subtitle">
    <w:name w:val="Subtitle"/>
    <w:basedOn w:val="Normal"/>
    <w:next w:val="Normal"/>
    <w:link w:val="SubtitleChar"/>
    <w:uiPriority w:val="11"/>
    <w:qFormat/>
    <w:rsid w:val="006669E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9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9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69E3"/>
    <w:rPr>
      <w:rFonts w:ascii="Times New Roman" w:hAnsi="Times New Roman"/>
      <w:i/>
      <w:iCs/>
      <w:color w:val="404040" w:themeColor="text1" w:themeTint="BF"/>
    </w:rPr>
  </w:style>
  <w:style w:type="paragraph" w:styleId="ListParagraph">
    <w:name w:val="List Paragraph"/>
    <w:basedOn w:val="Normal"/>
    <w:uiPriority w:val="34"/>
    <w:qFormat/>
    <w:rsid w:val="006669E3"/>
    <w:pPr>
      <w:ind w:left="720"/>
      <w:contextualSpacing/>
    </w:pPr>
  </w:style>
  <w:style w:type="character" w:styleId="IntenseEmphasis">
    <w:name w:val="Intense Emphasis"/>
    <w:basedOn w:val="DefaultParagraphFont"/>
    <w:uiPriority w:val="21"/>
    <w:qFormat/>
    <w:rsid w:val="006669E3"/>
    <w:rPr>
      <w:i/>
      <w:iCs/>
      <w:color w:val="0F4761" w:themeColor="accent1" w:themeShade="BF"/>
    </w:rPr>
  </w:style>
  <w:style w:type="paragraph" w:styleId="IntenseQuote">
    <w:name w:val="Intense Quote"/>
    <w:basedOn w:val="Normal"/>
    <w:next w:val="Normal"/>
    <w:link w:val="IntenseQuoteChar"/>
    <w:uiPriority w:val="30"/>
    <w:qFormat/>
    <w:rsid w:val="006669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9E3"/>
    <w:rPr>
      <w:rFonts w:ascii="Times New Roman" w:hAnsi="Times New Roman"/>
      <w:i/>
      <w:iCs/>
      <w:color w:val="0F4761" w:themeColor="accent1" w:themeShade="BF"/>
    </w:rPr>
  </w:style>
  <w:style w:type="character" w:styleId="IntenseReference">
    <w:name w:val="Intense Reference"/>
    <w:basedOn w:val="DefaultParagraphFont"/>
    <w:uiPriority w:val="32"/>
    <w:qFormat/>
    <w:rsid w:val="006669E3"/>
    <w:rPr>
      <w:b/>
      <w:bCs/>
      <w:smallCaps/>
      <w:color w:val="0F4761" w:themeColor="accent1" w:themeShade="BF"/>
      <w:spacing w:val="5"/>
    </w:rPr>
  </w:style>
  <w:style w:type="paragraph" w:styleId="Header">
    <w:name w:val="header"/>
    <w:basedOn w:val="Normal"/>
    <w:link w:val="HeaderChar"/>
    <w:uiPriority w:val="99"/>
    <w:unhideWhenUsed/>
    <w:rsid w:val="00F1418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14184"/>
    <w:rPr>
      <w:rFonts w:ascii="Times New Roman" w:hAnsi="Times New Roman"/>
      <w:color w:val="000000" w:themeColor="text1"/>
    </w:rPr>
  </w:style>
  <w:style w:type="paragraph" w:styleId="Footer">
    <w:name w:val="footer"/>
    <w:basedOn w:val="Normal"/>
    <w:link w:val="FooterChar"/>
    <w:uiPriority w:val="99"/>
    <w:unhideWhenUsed/>
    <w:rsid w:val="00F1418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14184"/>
    <w:rPr>
      <w:rFonts w:ascii="Times New Roman" w:hAnsi="Times New Roman"/>
      <w:color w:val="000000" w:themeColor="text1"/>
    </w:rPr>
  </w:style>
  <w:style w:type="paragraph" w:styleId="FootnoteText">
    <w:name w:val="footnote text"/>
    <w:basedOn w:val="Normal"/>
    <w:link w:val="FootnoteTextChar"/>
    <w:uiPriority w:val="99"/>
    <w:semiHidden/>
    <w:unhideWhenUsed/>
    <w:rsid w:val="00A45A9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A45A96"/>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A45A96"/>
    <w:rPr>
      <w:vertAlign w:val="superscript"/>
    </w:rPr>
  </w:style>
  <w:style w:type="table" w:styleId="TableGrid">
    <w:name w:val="Table Grid"/>
    <w:basedOn w:val="TableNormal"/>
    <w:uiPriority w:val="39"/>
    <w:rsid w:val="00A45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07526">
      <w:bodyDiv w:val="1"/>
      <w:marLeft w:val="0"/>
      <w:marRight w:val="0"/>
      <w:marTop w:val="0"/>
      <w:marBottom w:val="0"/>
      <w:divBdr>
        <w:top w:val="none" w:sz="0" w:space="0" w:color="auto"/>
        <w:left w:val="none" w:sz="0" w:space="0" w:color="auto"/>
        <w:bottom w:val="none" w:sz="0" w:space="0" w:color="auto"/>
        <w:right w:val="none" w:sz="0" w:space="0" w:color="auto"/>
      </w:divBdr>
      <w:divsChild>
        <w:div w:id="437482087">
          <w:marLeft w:val="0"/>
          <w:marRight w:val="0"/>
          <w:marTop w:val="0"/>
          <w:marBottom w:val="0"/>
          <w:divBdr>
            <w:top w:val="none" w:sz="0" w:space="0" w:color="auto"/>
            <w:left w:val="none" w:sz="0" w:space="0" w:color="auto"/>
            <w:bottom w:val="none" w:sz="0" w:space="0" w:color="auto"/>
            <w:right w:val="none" w:sz="0" w:space="0" w:color="auto"/>
          </w:divBdr>
        </w:div>
        <w:div w:id="970865436">
          <w:marLeft w:val="0"/>
          <w:marRight w:val="0"/>
          <w:marTop w:val="0"/>
          <w:marBottom w:val="0"/>
          <w:divBdr>
            <w:top w:val="none" w:sz="0" w:space="0" w:color="auto"/>
            <w:left w:val="none" w:sz="0" w:space="0" w:color="auto"/>
            <w:bottom w:val="none" w:sz="0" w:space="0" w:color="auto"/>
            <w:right w:val="none" w:sz="0" w:space="0" w:color="auto"/>
          </w:divBdr>
        </w:div>
        <w:div w:id="984088980">
          <w:marLeft w:val="0"/>
          <w:marRight w:val="0"/>
          <w:marTop w:val="0"/>
          <w:marBottom w:val="0"/>
          <w:divBdr>
            <w:top w:val="none" w:sz="0" w:space="0" w:color="auto"/>
            <w:left w:val="none" w:sz="0" w:space="0" w:color="auto"/>
            <w:bottom w:val="none" w:sz="0" w:space="0" w:color="auto"/>
            <w:right w:val="none" w:sz="0" w:space="0" w:color="auto"/>
          </w:divBdr>
        </w:div>
        <w:div w:id="996693840">
          <w:marLeft w:val="0"/>
          <w:marRight w:val="0"/>
          <w:marTop w:val="0"/>
          <w:marBottom w:val="0"/>
          <w:divBdr>
            <w:top w:val="none" w:sz="0" w:space="0" w:color="auto"/>
            <w:left w:val="none" w:sz="0" w:space="0" w:color="auto"/>
            <w:bottom w:val="none" w:sz="0" w:space="0" w:color="auto"/>
            <w:right w:val="none" w:sz="0" w:space="0" w:color="auto"/>
          </w:divBdr>
        </w:div>
        <w:div w:id="1033455582">
          <w:marLeft w:val="0"/>
          <w:marRight w:val="0"/>
          <w:marTop w:val="0"/>
          <w:marBottom w:val="0"/>
          <w:divBdr>
            <w:top w:val="none" w:sz="0" w:space="0" w:color="auto"/>
            <w:left w:val="none" w:sz="0" w:space="0" w:color="auto"/>
            <w:bottom w:val="none" w:sz="0" w:space="0" w:color="auto"/>
            <w:right w:val="none" w:sz="0" w:space="0" w:color="auto"/>
          </w:divBdr>
        </w:div>
        <w:div w:id="1151630479">
          <w:marLeft w:val="0"/>
          <w:marRight w:val="0"/>
          <w:marTop w:val="0"/>
          <w:marBottom w:val="0"/>
          <w:divBdr>
            <w:top w:val="none" w:sz="0" w:space="0" w:color="auto"/>
            <w:left w:val="none" w:sz="0" w:space="0" w:color="auto"/>
            <w:bottom w:val="none" w:sz="0" w:space="0" w:color="auto"/>
            <w:right w:val="none" w:sz="0" w:space="0" w:color="auto"/>
          </w:divBdr>
        </w:div>
        <w:div w:id="1282418656">
          <w:marLeft w:val="0"/>
          <w:marRight w:val="0"/>
          <w:marTop w:val="0"/>
          <w:marBottom w:val="0"/>
          <w:divBdr>
            <w:top w:val="none" w:sz="0" w:space="0" w:color="auto"/>
            <w:left w:val="none" w:sz="0" w:space="0" w:color="auto"/>
            <w:bottom w:val="none" w:sz="0" w:space="0" w:color="auto"/>
            <w:right w:val="none" w:sz="0" w:space="0" w:color="auto"/>
          </w:divBdr>
        </w:div>
        <w:div w:id="1477062671">
          <w:marLeft w:val="0"/>
          <w:marRight w:val="0"/>
          <w:marTop w:val="0"/>
          <w:marBottom w:val="0"/>
          <w:divBdr>
            <w:top w:val="none" w:sz="0" w:space="0" w:color="auto"/>
            <w:left w:val="none" w:sz="0" w:space="0" w:color="auto"/>
            <w:bottom w:val="none" w:sz="0" w:space="0" w:color="auto"/>
            <w:right w:val="none" w:sz="0" w:space="0" w:color="auto"/>
          </w:divBdr>
        </w:div>
        <w:div w:id="1595746323">
          <w:marLeft w:val="0"/>
          <w:marRight w:val="0"/>
          <w:marTop w:val="0"/>
          <w:marBottom w:val="0"/>
          <w:divBdr>
            <w:top w:val="none" w:sz="0" w:space="0" w:color="auto"/>
            <w:left w:val="none" w:sz="0" w:space="0" w:color="auto"/>
            <w:bottom w:val="none" w:sz="0" w:space="0" w:color="auto"/>
            <w:right w:val="none" w:sz="0" w:space="0" w:color="auto"/>
          </w:divBdr>
        </w:div>
        <w:div w:id="1678999221">
          <w:marLeft w:val="0"/>
          <w:marRight w:val="0"/>
          <w:marTop w:val="0"/>
          <w:marBottom w:val="0"/>
          <w:divBdr>
            <w:top w:val="none" w:sz="0" w:space="0" w:color="auto"/>
            <w:left w:val="none" w:sz="0" w:space="0" w:color="auto"/>
            <w:bottom w:val="none" w:sz="0" w:space="0" w:color="auto"/>
            <w:right w:val="none" w:sz="0" w:space="0" w:color="auto"/>
          </w:divBdr>
        </w:div>
        <w:div w:id="1714187327">
          <w:marLeft w:val="0"/>
          <w:marRight w:val="0"/>
          <w:marTop w:val="0"/>
          <w:marBottom w:val="0"/>
          <w:divBdr>
            <w:top w:val="none" w:sz="0" w:space="0" w:color="auto"/>
            <w:left w:val="none" w:sz="0" w:space="0" w:color="auto"/>
            <w:bottom w:val="none" w:sz="0" w:space="0" w:color="auto"/>
            <w:right w:val="none" w:sz="0" w:space="0" w:color="auto"/>
          </w:divBdr>
        </w:div>
      </w:divsChild>
    </w:div>
    <w:div w:id="2118134751">
      <w:bodyDiv w:val="1"/>
      <w:marLeft w:val="0"/>
      <w:marRight w:val="0"/>
      <w:marTop w:val="0"/>
      <w:marBottom w:val="0"/>
      <w:divBdr>
        <w:top w:val="none" w:sz="0" w:space="0" w:color="auto"/>
        <w:left w:val="none" w:sz="0" w:space="0" w:color="auto"/>
        <w:bottom w:val="none" w:sz="0" w:space="0" w:color="auto"/>
        <w:right w:val="none" w:sz="0" w:space="0" w:color="auto"/>
      </w:divBdr>
      <w:divsChild>
        <w:div w:id="18363240">
          <w:marLeft w:val="0"/>
          <w:marRight w:val="0"/>
          <w:marTop w:val="0"/>
          <w:marBottom w:val="0"/>
          <w:divBdr>
            <w:top w:val="none" w:sz="0" w:space="0" w:color="auto"/>
            <w:left w:val="none" w:sz="0" w:space="0" w:color="auto"/>
            <w:bottom w:val="none" w:sz="0" w:space="0" w:color="auto"/>
            <w:right w:val="none" w:sz="0" w:space="0" w:color="auto"/>
          </w:divBdr>
        </w:div>
        <w:div w:id="127406561">
          <w:marLeft w:val="0"/>
          <w:marRight w:val="0"/>
          <w:marTop w:val="0"/>
          <w:marBottom w:val="0"/>
          <w:divBdr>
            <w:top w:val="none" w:sz="0" w:space="0" w:color="auto"/>
            <w:left w:val="none" w:sz="0" w:space="0" w:color="auto"/>
            <w:bottom w:val="none" w:sz="0" w:space="0" w:color="auto"/>
            <w:right w:val="none" w:sz="0" w:space="0" w:color="auto"/>
          </w:divBdr>
        </w:div>
        <w:div w:id="157426547">
          <w:marLeft w:val="0"/>
          <w:marRight w:val="0"/>
          <w:marTop w:val="0"/>
          <w:marBottom w:val="0"/>
          <w:divBdr>
            <w:top w:val="none" w:sz="0" w:space="0" w:color="auto"/>
            <w:left w:val="none" w:sz="0" w:space="0" w:color="auto"/>
            <w:bottom w:val="none" w:sz="0" w:space="0" w:color="auto"/>
            <w:right w:val="none" w:sz="0" w:space="0" w:color="auto"/>
          </w:divBdr>
        </w:div>
        <w:div w:id="227618627">
          <w:marLeft w:val="0"/>
          <w:marRight w:val="0"/>
          <w:marTop w:val="0"/>
          <w:marBottom w:val="0"/>
          <w:divBdr>
            <w:top w:val="none" w:sz="0" w:space="0" w:color="auto"/>
            <w:left w:val="none" w:sz="0" w:space="0" w:color="auto"/>
            <w:bottom w:val="none" w:sz="0" w:space="0" w:color="auto"/>
            <w:right w:val="none" w:sz="0" w:space="0" w:color="auto"/>
          </w:divBdr>
        </w:div>
        <w:div w:id="643463393">
          <w:marLeft w:val="0"/>
          <w:marRight w:val="0"/>
          <w:marTop w:val="0"/>
          <w:marBottom w:val="0"/>
          <w:divBdr>
            <w:top w:val="none" w:sz="0" w:space="0" w:color="auto"/>
            <w:left w:val="none" w:sz="0" w:space="0" w:color="auto"/>
            <w:bottom w:val="none" w:sz="0" w:space="0" w:color="auto"/>
            <w:right w:val="none" w:sz="0" w:space="0" w:color="auto"/>
          </w:divBdr>
        </w:div>
        <w:div w:id="725110511">
          <w:marLeft w:val="0"/>
          <w:marRight w:val="0"/>
          <w:marTop w:val="0"/>
          <w:marBottom w:val="0"/>
          <w:divBdr>
            <w:top w:val="none" w:sz="0" w:space="0" w:color="auto"/>
            <w:left w:val="none" w:sz="0" w:space="0" w:color="auto"/>
            <w:bottom w:val="none" w:sz="0" w:space="0" w:color="auto"/>
            <w:right w:val="none" w:sz="0" w:space="0" w:color="auto"/>
          </w:divBdr>
        </w:div>
        <w:div w:id="1058357850">
          <w:marLeft w:val="0"/>
          <w:marRight w:val="0"/>
          <w:marTop w:val="0"/>
          <w:marBottom w:val="0"/>
          <w:divBdr>
            <w:top w:val="none" w:sz="0" w:space="0" w:color="auto"/>
            <w:left w:val="none" w:sz="0" w:space="0" w:color="auto"/>
            <w:bottom w:val="none" w:sz="0" w:space="0" w:color="auto"/>
            <w:right w:val="none" w:sz="0" w:space="0" w:color="auto"/>
          </w:divBdr>
        </w:div>
        <w:div w:id="1197277239">
          <w:marLeft w:val="0"/>
          <w:marRight w:val="0"/>
          <w:marTop w:val="0"/>
          <w:marBottom w:val="0"/>
          <w:divBdr>
            <w:top w:val="none" w:sz="0" w:space="0" w:color="auto"/>
            <w:left w:val="none" w:sz="0" w:space="0" w:color="auto"/>
            <w:bottom w:val="none" w:sz="0" w:space="0" w:color="auto"/>
            <w:right w:val="none" w:sz="0" w:space="0" w:color="auto"/>
          </w:divBdr>
        </w:div>
        <w:div w:id="1323462802">
          <w:marLeft w:val="0"/>
          <w:marRight w:val="0"/>
          <w:marTop w:val="0"/>
          <w:marBottom w:val="0"/>
          <w:divBdr>
            <w:top w:val="none" w:sz="0" w:space="0" w:color="auto"/>
            <w:left w:val="none" w:sz="0" w:space="0" w:color="auto"/>
            <w:bottom w:val="none" w:sz="0" w:space="0" w:color="auto"/>
            <w:right w:val="none" w:sz="0" w:space="0" w:color="auto"/>
          </w:divBdr>
        </w:div>
        <w:div w:id="1417437559">
          <w:marLeft w:val="0"/>
          <w:marRight w:val="0"/>
          <w:marTop w:val="0"/>
          <w:marBottom w:val="0"/>
          <w:divBdr>
            <w:top w:val="none" w:sz="0" w:space="0" w:color="auto"/>
            <w:left w:val="none" w:sz="0" w:space="0" w:color="auto"/>
            <w:bottom w:val="none" w:sz="0" w:space="0" w:color="auto"/>
            <w:right w:val="none" w:sz="0" w:space="0" w:color="auto"/>
          </w:divBdr>
        </w:div>
        <w:div w:id="2077820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D387D-E24B-4B31-ACDF-E95996965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4119</Words>
  <Characters>24591</Characters>
  <Application>Microsoft Office Word</Application>
  <DocSecurity>0</DocSecurity>
  <Lines>1229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2025-09-08T07:05:00Z</dcterms:created>
  <dcterms:modified xsi:type="dcterms:W3CDTF">2025-09-08T07:05:00Z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2025-09-08T07:05:27Z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d216d317-23d7-4053-8e17-de895926579f</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